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of the Securities Exchange Act of 1934</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Date of Report (Date of earliest event reported): May 7, 2026</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CHERRY HILL MORTGAGE INVESTMENT CORPORATION</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(Exact name of registrant as specified in its charter)</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r>
    </w:p>
    <w:p>
      <w:pPr>
        <w:pStyle w:val="HorizontalLine"/>
        <w:bidi w:val="0"/>
        <w:jc w:val="left"/>
        <w:rPr/>
      </w:pPr>
      <w:r>
        <w:rPr/>
      </w:r>
    </w:p>
    <w:p>
      <w:pPr>
        <w:pStyle w:val="TextBody"/>
        <w:bidi w:val="0"/>
        <w:spacing w:before="0" w:after="0"/>
        <w:jc w:val="left"/>
        <w:rPr/>
      </w:pPr>
      <w:r>
        <w:rPr/>
      </w:r>
    </w:p>
    <w:tbl>
      <w:tblPr>
        <w:tblW w:w="8865" w:type="dxa"/>
        <w:jc w:val="left"/>
        <w:tblInd w:w="0" w:type="dxa"/>
        <w:tblLayout w:type="fixed"/>
        <w:tblCellMar>
          <w:top w:w="0" w:type="dxa"/>
          <w:left w:w="0" w:type="dxa"/>
          <w:bottom w:w="0" w:type="dxa"/>
          <w:right w:w="0" w:type="dxa"/>
        </w:tblCellMar>
      </w:tblPr>
      <w:tblGrid>
        <w:gridCol w:w="3755"/>
        <w:gridCol w:w="2240"/>
        <w:gridCol w:w="2870"/>
      </w:tblGrid>
      <w:tr>
        <w:trPr/>
        <w:tc>
          <w:tcPr>
            <w:tcW w:w="3755" w:type="dxa"/>
            <w:tcBorders/>
            <w:vAlign w:val="center"/>
          </w:tcPr>
          <w:p>
            <w:pPr>
              <w:pStyle w:val="TableContents"/>
              <w:bidi w:val="0"/>
              <w:spacing w:before="0" w:after="283"/>
              <w:jc w:val="center"/>
              <w:rPr>
                <w:rFonts w:ascii="Times New Roman" w:hAnsi="Times New Roman"/>
                <w:b/>
                <w:sz w:val="20"/>
              </w:rPr>
            </w:pPr>
            <w:r>
              <w:rPr>
                <w:rFonts w:ascii="Times New Roman" w:hAnsi="Times New Roman"/>
                <w:b/>
                <w:sz w:val="20"/>
              </w:rPr>
              <w:t>Maryland</w:t>
            </w:r>
          </w:p>
        </w:tc>
        <w:tc>
          <w:tcPr>
            <w:tcW w:w="224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001-36099</w:t>
            </w:r>
          </w:p>
        </w:tc>
        <w:tc>
          <w:tcPr>
            <w:tcW w:w="287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46-1315605</w:t>
            </w:r>
          </w:p>
        </w:tc>
      </w:tr>
      <w:tr>
        <w:trPr/>
        <w:tc>
          <w:tcPr>
            <w:tcW w:w="375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(State or other jurisdiction of incorporation)</w:t>
            </w:r>
          </w:p>
        </w:tc>
        <w:tc>
          <w:tcPr>
            <w:tcW w:w="224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Commission File Number:</w:t>
            </w:r>
          </w:p>
        </w:tc>
        <w:tc>
          <w:tcPr>
            <w:tcW w:w="287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(IRS Employer Identification No.)</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2" w:right="2" w:hanging="0"/>
        <w:jc w:val="center"/>
        <w:rPr>
          <w:rFonts w:ascii="Times New Roman" w:hAnsi="Times New Roman"/>
          <w:b/>
          <w:color w:val="000000"/>
          <w:sz w:val="20"/>
          <w:shd w:fill="FFFFFF" w:val="clear"/>
        </w:rPr>
      </w:pPr>
      <w:r>
        <w:rPr>
          <w:rFonts w:ascii="Times New Roman" w:hAnsi="Times New Roman"/>
          <w:b/>
          <w:color w:val="000000"/>
          <w:sz w:val="20"/>
          <w:shd w:fill="FFFFFF" w:val="clear"/>
        </w:rPr>
        <w:t>4000 Route 66, Suite 310</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Tinton Falls, New Jersey 07753</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(Address of principal executive offices, including zip code)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877.870.7005</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(Registrant’s telephone number, including area code)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(Former name or former address, if changed since last report)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rFonts w:ascii="Times New Roman" w:hAnsi="Times New Roman"/>
          <w:sz w:val="20"/>
        </w:rPr>
      </w:pPr>
      <w:r>
        <w:rPr>
          <w:rFonts w:ascii="Times New Roman" w:hAnsi="Times New Roman"/>
          <w:sz w:val="20"/>
        </w:rPr>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olor w:val="000000"/>
              </w:rPr>
            </w:pPr>
            <w:r>
              <w:rPr>
                <w:color w:val="000000"/>
              </w:rPr>
              <w:t>☐</w:t>
            </w:r>
          </w:p>
        </w:tc>
        <w:tc>
          <w:tcPr>
            <w:tcW w:w="729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olor w:val="000000"/>
              </w:rPr>
            </w:pPr>
            <w:r>
              <w:rPr>
                <w:color w:val="000000"/>
              </w:rPr>
              <w:t>☐</w:t>
            </w:r>
          </w:p>
        </w:tc>
        <w:tc>
          <w:tcPr>
            <w:tcW w:w="732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olor w:val="000000"/>
              </w:rPr>
            </w:pPr>
            <w:r>
              <w:rPr>
                <w:color w:val="000000"/>
              </w:rPr>
              <w:t>☐</w:t>
            </w:r>
          </w:p>
        </w:tc>
        <w:tc>
          <w:tcPr>
            <w:tcW w:w="906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olor w:val="000000"/>
              </w:rPr>
            </w:pPr>
            <w:r>
              <w:rPr>
                <w:color w:val="000000"/>
              </w:rPr>
              <w:t>☐</w:t>
            </w:r>
          </w:p>
        </w:tc>
        <w:tc>
          <w:tcPr>
            <w:tcW w:w="900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Securities registered pursuant to Section 12(b) of the Act:</w:t>
      </w:r>
    </w:p>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15" w:type="dxa"/>
        <w:tblLayout w:type="fixed"/>
        <w:tblCellMar>
          <w:top w:w="28" w:type="dxa"/>
          <w:left w:w="28" w:type="dxa"/>
          <w:bottom w:w="28" w:type="dxa"/>
          <w:right w:w="28" w:type="dxa"/>
        </w:tblCellMar>
      </w:tblPr>
      <w:tblGrid>
        <w:gridCol w:w="5944"/>
        <w:gridCol w:w="1575"/>
        <w:gridCol w:w="2686"/>
      </w:tblGrid>
      <w:tr>
        <w:trPr/>
        <w:tc>
          <w:tcPr>
            <w:tcW w:w="5944"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Title of each class</w:t>
            </w:r>
          </w:p>
        </w:tc>
        <w:tc>
          <w:tcPr>
            <w:tcW w:w="157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Trading Symbol(s)</w:t>
            </w:r>
          </w:p>
        </w:tc>
        <w:tc>
          <w:tcPr>
            <w:tcW w:w="2686"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Name of each exchange on which</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registered</w:t>
            </w:r>
          </w:p>
        </w:tc>
      </w:tr>
      <w:tr>
        <w:trPr/>
        <w:tc>
          <w:tcPr>
            <w:tcW w:w="5944"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Common Stock, $0.01 par value</w:t>
            </w:r>
          </w:p>
        </w:tc>
        <w:tc>
          <w:tcPr>
            <w:tcW w:w="15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 w:hAnsi="Times New Roman"/>
                <w:b/>
                <w:sz w:val="20"/>
              </w:rPr>
            </w:pPr>
            <w:r>
              <w:rPr>
                <w:rFonts w:ascii="Times New Roman" w:hAnsi="Times New Roman"/>
                <w:b/>
                <w:sz w:val="20"/>
              </w:rPr>
              <w:t>CHMI</w:t>
            </w:r>
          </w:p>
        </w:tc>
        <w:tc>
          <w:tcPr>
            <w:tcW w:w="2686"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 w:hAnsi="Times New Roman"/>
                <w:b/>
                <w:sz w:val="20"/>
              </w:rPr>
            </w:pPr>
            <w:r>
              <w:rPr>
                <w:rFonts w:ascii="Times New Roman" w:hAnsi="Times New Roman"/>
                <w:b/>
                <w:sz w:val="20"/>
              </w:rPr>
              <w:t>NYSE</w:t>
            </w:r>
          </w:p>
        </w:tc>
      </w:tr>
      <w:tr>
        <w:trPr/>
        <w:tc>
          <w:tcPr>
            <w:tcW w:w="5944"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8.20% Series A Cumulative Redeemable Preferred Stock, $0.01 par value</w:t>
            </w:r>
          </w:p>
        </w:tc>
        <w:tc>
          <w:tcPr>
            <w:tcW w:w="15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 w:hAnsi="Times New Roman"/>
                <w:b/>
                <w:sz w:val="20"/>
              </w:rPr>
            </w:pPr>
            <w:r>
              <w:rPr>
                <w:rFonts w:ascii="Times New Roman" w:hAnsi="Times New Roman"/>
                <w:b/>
                <w:sz w:val="20"/>
              </w:rPr>
              <w:t>CHMI-PRA</w:t>
            </w:r>
          </w:p>
        </w:tc>
        <w:tc>
          <w:tcPr>
            <w:tcW w:w="2686"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 w:hAnsi="Times New Roman"/>
                <w:b/>
                <w:sz w:val="20"/>
              </w:rPr>
            </w:pPr>
            <w:r>
              <w:rPr>
                <w:rFonts w:ascii="Times New Roman" w:hAnsi="Times New Roman"/>
                <w:b/>
                <w:sz w:val="20"/>
              </w:rPr>
              <w:t>NYSE</w:t>
            </w:r>
          </w:p>
        </w:tc>
      </w:tr>
      <w:tr>
        <w:trPr/>
        <w:tc>
          <w:tcPr>
            <w:tcW w:w="5944"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8.250% Series B Fixed-to-Floating Rate Cumulative Redeemable</w:t>
            </w:r>
          </w:p>
        </w:tc>
        <w:tc>
          <w:tcPr>
            <w:tcW w:w="15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CHMI-PRB</w:t>
            </w:r>
          </w:p>
        </w:tc>
        <w:tc>
          <w:tcPr>
            <w:tcW w:w="2686"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NYSE</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jc w:val="left"/>
        <w:rPr/>
      </w:pPr>
      <w:r>
        <w:rPr/>
      </w:r>
    </w:p>
    <w:p>
      <w:pPr>
        <w:pStyle w:val="HorizontalLine"/>
        <w:bidi w:val="0"/>
        <w:spacing w:before="200" w:after="200"/>
        <w:jc w:val="left"/>
        <w:rPr/>
      </w:pPr>
      <w:r>
        <w:rPr/>
      </w:r>
    </w:p>
    <w:tbl>
      <w:tblPr>
        <w:tblW w:w="4855" w:type="dxa"/>
        <w:jc w:val="left"/>
        <w:tblInd w:w="0" w:type="dxa"/>
        <w:tblLayout w:type="fixed"/>
        <w:tblCellMar>
          <w:top w:w="0" w:type="dxa"/>
          <w:left w:w="0" w:type="dxa"/>
          <w:bottom w:w="0" w:type="dxa"/>
          <w:right w:w="0" w:type="dxa"/>
        </w:tblCellMar>
      </w:tblPr>
      <w:tblGrid>
        <w:gridCol w:w="875"/>
        <w:gridCol w:w="3980"/>
      </w:tblGrid>
      <w:tr>
        <w:trPr/>
        <w:tc>
          <w:tcPr>
            <w:tcW w:w="8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2.02.</w:t>
            </w:r>
          </w:p>
        </w:tc>
        <w:tc>
          <w:tcPr>
            <w:tcW w:w="398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Results of Operations and Financial Condition.</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On May 7, 2026, Cherry Hill Mortgage Investment Corporation (the “Company”) reported its results of operations for the quarter ended March 31, 2026. A copy of the press release is furnished as Exhibit 99.1.</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information in this Current Report on Form 8-K, including the exhibit attached hereto, is being furnished and shall not be deemed “filed” for purposes of Section 18 of the Securities Exchange Act of 1934, as amended, or otherwise subject to the liability of that section, and shall not be deemed incorporated by reference in any filing under the Securities Act of 1933, as amended.</w:t>
      </w:r>
    </w:p>
    <w:p>
      <w:pPr>
        <w:pStyle w:val="TextBody"/>
        <w:bidi w:val="0"/>
        <w:spacing w:before="0" w:after="0"/>
        <w:jc w:val="left"/>
        <w:rPr>
          <w:rFonts w:ascii="Times New Roman" w:hAnsi="Times New Roman"/>
          <w:sz w:val="20"/>
        </w:rPr>
      </w:pPr>
      <w:r>
        <w:rPr>
          <w:rFonts w:ascii="Times New Roman" w:hAnsi="Times New Roman"/>
          <w:sz w:val="20"/>
        </w:rPr>
      </w:r>
    </w:p>
    <w:tbl>
      <w:tblPr>
        <w:tblW w:w="3835" w:type="dxa"/>
        <w:jc w:val="left"/>
        <w:tblInd w:w="0" w:type="dxa"/>
        <w:tblLayout w:type="fixed"/>
        <w:tblCellMar>
          <w:top w:w="0" w:type="dxa"/>
          <w:left w:w="0" w:type="dxa"/>
          <w:bottom w:w="0" w:type="dxa"/>
          <w:right w:w="0" w:type="dxa"/>
        </w:tblCellMar>
      </w:tblPr>
      <w:tblGrid>
        <w:gridCol w:w="875"/>
        <w:gridCol w:w="2960"/>
      </w:tblGrid>
      <w:tr>
        <w:trPr/>
        <w:tc>
          <w:tcPr>
            <w:tcW w:w="8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9.01.</w:t>
            </w:r>
          </w:p>
        </w:tc>
        <w:tc>
          <w:tcPr>
            <w:tcW w:w="296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Financial Statements and Exhibits.</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(d)</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Exhibits:</w:t>
      </w:r>
    </w:p>
    <w:p>
      <w:pPr>
        <w:pStyle w:val="TextBody"/>
        <w:bidi w:val="0"/>
        <w:spacing w:before="0" w:after="0"/>
        <w:jc w:val="left"/>
        <w:rPr>
          <w:rFonts w:ascii="Times New Roman" w:hAnsi="Times New Roman"/>
          <w:sz w:val="20"/>
        </w:rPr>
      </w:pPr>
      <w:r>
        <w:rPr>
          <w:rFonts w:ascii="Times New Roman" w:hAnsi="Times New Roman"/>
          <w:sz w:val="20"/>
        </w:rPr>
      </w:r>
    </w:p>
    <w:tbl>
      <w:tblPr>
        <w:tblW w:w="3100" w:type="dxa"/>
        <w:jc w:val="left"/>
        <w:tblInd w:w="0" w:type="dxa"/>
        <w:tblLayout w:type="fixed"/>
        <w:tblCellMar>
          <w:top w:w="0" w:type="dxa"/>
          <w:left w:w="0" w:type="dxa"/>
          <w:bottom w:w="0" w:type="dxa"/>
          <w:right w:w="0" w:type="dxa"/>
        </w:tblCellMar>
      </w:tblPr>
      <w:tblGrid>
        <w:gridCol w:w="395"/>
        <w:gridCol w:w="2705"/>
      </w:tblGrid>
      <w:tr>
        <w:trPr/>
        <w:tc>
          <w:tcPr>
            <w:tcW w:w="3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99.1</w:t>
            </w:r>
          </w:p>
        </w:tc>
        <w:tc>
          <w:tcPr>
            <w:tcW w:w="27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Press release, dated May 7, 2026.</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as amended, the registrant has duly caused this report to be signed on its behalf by the undersigned, hereunto duly authorized.</w:t>
      </w:r>
    </w:p>
    <w:p>
      <w:pPr>
        <w:pStyle w:val="TextBody"/>
        <w:bidi w:val="0"/>
        <w:spacing w:before="0" w:after="0"/>
        <w:jc w:val="left"/>
        <w:rPr>
          <w:rFonts w:ascii="Times New Roman" w:hAnsi="Times New Roman"/>
          <w:sz w:val="20"/>
        </w:rPr>
      </w:pPr>
      <w:r>
        <w:rPr>
          <w:rFonts w:ascii="Times New Roman" w:hAnsi="Times New Roman"/>
          <w:sz w:val="20"/>
        </w:rPr>
      </w:r>
    </w:p>
    <w:tbl>
      <w:tblPr>
        <w:tblW w:w="5244" w:type="dxa"/>
        <w:jc w:val="left"/>
        <w:tblInd w:w="0" w:type="dxa"/>
        <w:tblLayout w:type="fixed"/>
        <w:tblCellMar>
          <w:top w:w="0" w:type="dxa"/>
          <w:left w:w="0" w:type="dxa"/>
          <w:bottom w:w="0" w:type="dxa"/>
          <w:right w:w="0" w:type="dxa"/>
        </w:tblCellMar>
      </w:tblPr>
      <w:tblGrid>
        <w:gridCol w:w="1535"/>
        <w:gridCol w:w="355"/>
        <w:gridCol w:w="3354"/>
      </w:tblGrid>
      <w:tr>
        <w:trPr/>
        <w:tc>
          <w:tcPr>
            <w:tcW w:w="1535" w:type="dxa"/>
            <w:tcBorders/>
            <w:vAlign w:val="center"/>
          </w:tcPr>
          <w:p>
            <w:pPr>
              <w:pStyle w:val="TableContents"/>
              <w:bidi w:val="0"/>
              <w:spacing w:before="0" w:after="283"/>
              <w:jc w:val="left"/>
              <w:rPr/>
            </w:pPr>
            <w:r>
              <w:rPr/>
              <w:t> </w:t>
            </w:r>
          </w:p>
        </w:tc>
        <w:tc>
          <w:tcPr>
            <w:tcW w:w="3709" w:type="dxa"/>
            <w:gridSpan w:val="2"/>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CHERRY HILL MORTGAGE INVESTMENT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CORPORATION</w:t>
            </w:r>
          </w:p>
        </w:tc>
      </w:tr>
      <w:tr>
        <w:trPr/>
        <w:tc>
          <w:tcPr>
            <w:tcW w:w="1535" w:type="dxa"/>
            <w:tcBorders/>
            <w:vAlign w:val="center"/>
          </w:tcPr>
          <w:p>
            <w:pPr>
              <w:pStyle w:val="TableContents"/>
              <w:bidi w:val="0"/>
              <w:spacing w:before="0" w:after="283"/>
              <w:jc w:val="left"/>
              <w:rPr/>
            </w:pPr>
            <w:r>
              <w:rPr/>
              <w:t> </w:t>
            </w:r>
          </w:p>
        </w:tc>
        <w:tc>
          <w:tcPr>
            <w:tcW w:w="35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By:</w:t>
            </w:r>
          </w:p>
        </w:tc>
        <w:tc>
          <w:tcPr>
            <w:tcW w:w="3354"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 Apeksha Patel</w:t>
            </w:r>
          </w:p>
        </w:tc>
      </w:tr>
      <w:tr>
        <w:trPr/>
        <w:tc>
          <w:tcPr>
            <w:tcW w:w="1535" w:type="dxa"/>
            <w:tcBorders/>
            <w:vAlign w:val="center"/>
          </w:tcPr>
          <w:p>
            <w:pPr>
              <w:pStyle w:val="TableContents"/>
              <w:bidi w:val="0"/>
              <w:spacing w:before="0" w:after="283"/>
              <w:jc w:val="left"/>
              <w:rPr/>
            </w:pPr>
            <w:r>
              <w:rPr/>
              <w:t> </w:t>
            </w:r>
          </w:p>
        </w:tc>
        <w:tc>
          <w:tcPr>
            <w:tcW w:w="355" w:type="dxa"/>
            <w:tcBorders/>
            <w:vAlign w:val="center"/>
          </w:tcPr>
          <w:p>
            <w:pPr>
              <w:pStyle w:val="TableContents"/>
              <w:bidi w:val="0"/>
              <w:spacing w:before="0" w:after="283"/>
              <w:jc w:val="left"/>
              <w:rPr/>
            </w:pPr>
            <w:r>
              <w:rPr/>
              <w:t> </w:t>
            </w:r>
          </w:p>
        </w:tc>
        <w:tc>
          <w:tcPr>
            <w:tcW w:w="3354"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Apeksha Patel</w:t>
            </w:r>
          </w:p>
        </w:tc>
      </w:tr>
      <w:tr>
        <w:trPr/>
        <w:tc>
          <w:tcPr>
            <w:tcW w:w="153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Date: May 7, 2026</w:t>
            </w:r>
          </w:p>
        </w:tc>
        <w:tc>
          <w:tcPr>
            <w:tcW w:w="355" w:type="dxa"/>
            <w:tcBorders/>
            <w:vAlign w:val="center"/>
          </w:tcPr>
          <w:p>
            <w:pPr>
              <w:pStyle w:val="TableContents"/>
              <w:bidi w:val="0"/>
              <w:spacing w:before="0" w:after="283"/>
              <w:jc w:val="left"/>
              <w:rPr/>
            </w:pPr>
            <w:r>
              <w:rPr/>
              <w:t> </w:t>
            </w:r>
          </w:p>
        </w:tc>
        <w:tc>
          <w:tcPr>
            <w:tcW w:w="3354"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Chief Financial Officer and Treasurer</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EXHIBIT INDEX</w:t>
      </w:r>
    </w:p>
    <w:p>
      <w:pPr>
        <w:pStyle w:val="TextBody"/>
        <w:bidi w:val="0"/>
        <w:spacing w:before="0" w:after="0"/>
        <w:jc w:val="left"/>
        <w:rPr>
          <w:rFonts w:ascii="Times New Roman" w:hAnsi="Times New Roman"/>
          <w:sz w:val="20"/>
        </w:rPr>
      </w:pPr>
      <w:r>
        <w:rPr>
          <w:rFonts w:ascii="Times New Roman" w:hAnsi="Times New Roman"/>
          <w:sz w:val="20"/>
        </w:rPr>
      </w:r>
    </w:p>
    <w:tbl>
      <w:tblPr>
        <w:tblW w:w="3415" w:type="dxa"/>
        <w:jc w:val="left"/>
        <w:tblInd w:w="0" w:type="dxa"/>
        <w:tblLayout w:type="fixed"/>
        <w:tblCellMar>
          <w:top w:w="0" w:type="dxa"/>
          <w:left w:w="0" w:type="dxa"/>
          <w:bottom w:w="28" w:type="dxa"/>
          <w:right w:w="0" w:type="dxa"/>
        </w:tblCellMar>
      </w:tblPr>
      <w:tblGrid>
        <w:gridCol w:w="710"/>
        <w:gridCol w:w="60"/>
        <w:gridCol w:w="2645"/>
      </w:tblGrid>
      <w:tr>
        <w:trPr/>
        <w:tc>
          <w:tcPr>
            <w:tcW w:w="710"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Number</w:t>
            </w:r>
          </w:p>
        </w:tc>
        <w:tc>
          <w:tcPr>
            <w:tcW w:w="60" w:type="dxa"/>
            <w:tcBorders/>
            <w:tcMar>
              <w:bottom w:w="0" w:type="dxa"/>
            </w:tcMar>
            <w:vAlign w:val="center"/>
          </w:tcPr>
          <w:p>
            <w:pPr>
              <w:pStyle w:val="TableContents"/>
              <w:bidi w:val="0"/>
              <w:spacing w:before="0" w:after="283"/>
              <w:jc w:val="left"/>
              <w:rPr/>
            </w:pPr>
            <w:r>
              <w:rPr/>
              <w:t> </w:t>
            </w:r>
          </w:p>
        </w:tc>
        <w:tc>
          <w:tcPr>
            <w:tcW w:w="2645" w:type="dxa"/>
            <w:tcBorders>
              <w:bottom w:val="single" w:sz="12" w:space="0" w:color="000000"/>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Description</w:t>
            </w:r>
          </w:p>
        </w:tc>
      </w:tr>
      <w:tr>
        <w:trPr/>
        <w:tc>
          <w:tcPr>
            <w:tcW w:w="710" w:type="dxa"/>
            <w:tcBorders/>
            <w:tcMar>
              <w:bottom w:w="0" w:type="dxa"/>
            </w:tcMar>
            <w:vAlign w:val="center"/>
          </w:tcPr>
          <w:p>
            <w:pPr>
              <w:pStyle w:val="TableContents"/>
              <w:bidi w:val="0"/>
              <w:spacing w:before="0" w:after="0"/>
              <w:jc w:val="center"/>
              <w:rPr/>
            </w:pPr>
            <w:hyperlink w:anchor="ef20072705_ex99-1.htm">
              <w:r>
                <w:rPr>
                  <w:rStyle w:val="InternetLink"/>
                  <w:rFonts w:ascii="Times New Roman" w:hAnsi="Times New Roman"/>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2645"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Press release, dated May 7, 2026</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HorizontalLine"/>
        <w:bidi w:val="0"/>
        <w:jc w:val="left"/>
        <w:rPr/>
      </w:pPr>
      <w:r>
        <w:rPr/>
      </w:r>
    </w:p>
    <w:p>
      <w:pPr>
        <w:pStyle w:val="HorizontalLine"/>
        <w:pBdr>
          <w:bottom w:val="single" w:sz="12" w:space="0" w:color="808080"/>
        </w:pBdr>
        <w:bidi w:val="0"/>
        <w:jc w:val="left"/>
        <w:rPr/>
      </w:pPr>
      <w:r>
        <w:rPr/>
      </w:r>
      <w:bookmarkStart w:id="0" w:name="ef20072705_ex99-1.htm"/>
      <w:bookmarkStart w:id="1" w:name="ksef20072705_ex991"/>
      <w:bookmarkStart w:id="2" w:name="ef20072705_ex99-1.htm"/>
      <w:bookmarkStart w:id="3" w:name="ksef20072705_ex991"/>
      <w:bookmarkEnd w:id="2"/>
      <w:bookmarkEnd w:id="3"/>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0"/>
        <w:jc w:val="left"/>
        <w:rPr>
          <w:sz w:val="20"/>
        </w:rPr>
      </w:pPr>
      <w:r>
        <w:rPr>
          <w:sz w:val="20"/>
        </w:rPr>
      </w:r>
    </w:p>
    <w:p>
      <w:pPr>
        <w:pStyle w:val="TextBody"/>
        <w:bidi w:val="0"/>
        <w:spacing w:before="0" w:after="0"/>
        <w:jc w:val="center"/>
        <w:rPr>
          <w:color w:val="000000"/>
        </w:rPr>
      </w:pPr>
      <w:r>
        <w:rPr>
          <w:color w:val="000000"/>
        </w:rPr>
        <w:drawing>
          <wp:inline distT="0" distB="0" distL="0" distR="0">
            <wp:extent cx="3571875" cy="581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571875" cy="581025"/>
                    </a:xfrm>
                    <a:prstGeom prst="rect">
                      <a:avLst/>
                    </a:prstGeom>
                  </pic:spPr>
                </pic:pic>
              </a:graphicData>
            </a:graphic>
          </wp:inline>
        </w:drawing>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CHERRY HILL MORTGAGE INVESTMENT CORPORATION</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ANNOUNCES FIRST QUARTER 2026 RESULTS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TINTON FALLS, NJ – May 7, 2026 — Cherry Hill Mortgage Investment Corporation (NYSE: CHMI) (“Cherry Hill” or the “Company”) today reported results for the first quarter 2026.</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First Quarter 2026 Highlights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 w:name="zbf6dc4d63d804631b3f1023e208d0709"/>
      <w:bookmarkStart w:id="5" w:name="zbf6dc4d63d804631b3f1023e208d0709"/>
      <w:bookmarkEnd w:id="5"/>
    </w:p>
    <w:tbl>
      <w:tblPr>
        <w:tblW w:w="8395" w:type="dxa"/>
        <w:jc w:val="left"/>
        <w:tblInd w:w="0" w:type="dxa"/>
        <w:tblLayout w:type="fixed"/>
        <w:tblCellMar>
          <w:top w:w="0" w:type="dxa"/>
          <w:left w:w="0" w:type="dxa"/>
          <w:bottom w:w="0" w:type="dxa"/>
          <w:right w:w="0" w:type="dxa"/>
        </w:tblCellMar>
      </w:tblPr>
      <w:tblGrid>
        <w:gridCol w:w="75"/>
        <w:gridCol w:w="110"/>
        <w:gridCol w:w="82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pPr>
            <w:r>
              <w:rPr/>
              <w:t>•</w:t>
            </w:r>
          </w:p>
        </w:tc>
        <w:tc>
          <w:tcPr>
            <w:tcW w:w="8210" w:type="dxa"/>
            <w:tcBorders/>
            <w:vAlign w:val="center"/>
          </w:tcPr>
          <w:p>
            <w:pPr>
              <w:pStyle w:val="TableContents"/>
              <w:bidi w:val="0"/>
              <w:spacing w:before="0" w:after="0"/>
              <w:jc w:val="both"/>
              <w:rPr>
                <w:rFonts w:ascii="Times New Roman" w:hAnsi="Times New Roman"/>
              </w:rPr>
            </w:pPr>
            <w:r>
              <w:rPr>
                <w:rFonts w:ascii="Times New Roman" w:hAnsi="Times New Roman"/>
              </w:rPr>
              <w:t>GAAP net loss applicable to common stockholders of $2.0 million, or $0.05 per share.</w:t>
            </w:r>
          </w:p>
        </w:tc>
      </w:tr>
    </w:tbl>
    <w:p>
      <w:pPr>
        <w:pStyle w:val="Normal"/>
        <w:bidi w:val="0"/>
        <w:spacing w:before="0" w:after="0"/>
        <w:jc w:val="left"/>
        <w:rPr>
          <w:sz w:val="4"/>
          <w:szCs w:val="4"/>
        </w:rPr>
      </w:pPr>
      <w:r>
        <w:rPr>
          <w:sz w:val="4"/>
          <w:szCs w:val="4"/>
        </w:rPr>
      </w:r>
      <w:bookmarkStart w:id="6" w:name="z7e6062c24c764781b0b1fb6a1c8df317"/>
      <w:bookmarkStart w:id="7" w:name="z7e6062c24c764781b0b1fb6a1c8df317"/>
      <w:bookmarkEnd w:id="7"/>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pPr>
            <w:r>
              <w:rPr/>
              <w:t>•</w:t>
            </w:r>
          </w:p>
        </w:tc>
        <w:tc>
          <w:tcPr>
            <w:tcW w:w="1002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Earnings available for distribution (“EAD”) attributable to common stockholders of $5.3 million, or $0.14 per diluted share.</w:t>
            </w:r>
          </w:p>
        </w:tc>
      </w:tr>
    </w:tbl>
    <w:p>
      <w:pPr>
        <w:pStyle w:val="Normal"/>
        <w:bidi w:val="0"/>
        <w:spacing w:before="0" w:after="0"/>
        <w:jc w:val="left"/>
        <w:rPr>
          <w:sz w:val="4"/>
          <w:szCs w:val="4"/>
        </w:rPr>
      </w:pPr>
      <w:r>
        <w:rPr>
          <w:sz w:val="4"/>
          <w:szCs w:val="4"/>
        </w:rPr>
      </w:r>
      <w:bookmarkStart w:id="8" w:name="za12f2cb1d293462ab29cc2ca1cbab1ce"/>
      <w:bookmarkStart w:id="9" w:name="za12f2cb1d293462ab29cc2ca1cbab1ce"/>
      <w:bookmarkEnd w:id="9"/>
    </w:p>
    <w:tbl>
      <w:tblPr>
        <w:tblW w:w="4990" w:type="dxa"/>
        <w:jc w:val="left"/>
        <w:tblInd w:w="0" w:type="dxa"/>
        <w:tblLayout w:type="fixed"/>
        <w:tblCellMar>
          <w:top w:w="0" w:type="dxa"/>
          <w:left w:w="0" w:type="dxa"/>
          <w:bottom w:w="0" w:type="dxa"/>
          <w:right w:w="0" w:type="dxa"/>
        </w:tblCellMar>
      </w:tblPr>
      <w:tblGrid>
        <w:gridCol w:w="75"/>
        <w:gridCol w:w="110"/>
        <w:gridCol w:w="48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pPr>
            <w:r>
              <w:rPr/>
              <w:t>•</w:t>
            </w:r>
          </w:p>
        </w:tc>
        <w:tc>
          <w:tcPr>
            <w:tcW w:w="480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Common book value per share of $3.23 at March 31, 2026.</w:t>
            </w:r>
          </w:p>
        </w:tc>
      </w:tr>
    </w:tbl>
    <w:p>
      <w:pPr>
        <w:pStyle w:val="Normal"/>
        <w:bidi w:val="0"/>
        <w:spacing w:before="0" w:after="0"/>
        <w:jc w:val="left"/>
        <w:rPr>
          <w:sz w:val="4"/>
          <w:szCs w:val="4"/>
        </w:rPr>
      </w:pPr>
      <w:r>
        <w:rPr>
          <w:sz w:val="4"/>
          <w:szCs w:val="4"/>
        </w:rPr>
      </w:r>
      <w:bookmarkStart w:id="10" w:name="zdf714a44f864481e95523230fdfa5213"/>
      <w:bookmarkStart w:id="11" w:name="zdf714a44f864481e95523230fdfa5213"/>
      <w:bookmarkEnd w:id="11"/>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pPr>
            <w:r>
              <w:rPr/>
              <w:t>•</w:t>
            </w:r>
          </w:p>
        </w:tc>
        <w:tc>
          <w:tcPr>
            <w:tcW w:w="1002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Declared regular common dividend of $0.10 per share; annualized common dividend yield was 15.5% based on the closing sale price of the Company’s common stock as reported by the NYSE on May 6, 2026.</w:t>
            </w:r>
          </w:p>
        </w:tc>
      </w:tr>
    </w:tbl>
    <w:p>
      <w:pPr>
        <w:pStyle w:val="Normal"/>
        <w:bidi w:val="0"/>
        <w:spacing w:before="0" w:after="0"/>
        <w:jc w:val="left"/>
        <w:rPr>
          <w:sz w:val="4"/>
          <w:szCs w:val="4"/>
        </w:rPr>
      </w:pPr>
      <w:r>
        <w:rPr>
          <w:sz w:val="4"/>
          <w:szCs w:val="4"/>
        </w:rPr>
      </w:r>
      <w:bookmarkStart w:id="12" w:name="zd804eb8b8d1d41b682bbbc46aa9d89c1"/>
      <w:bookmarkStart w:id="13" w:name="zd804eb8b8d1d41b682bbbc46aa9d89c1"/>
      <w:bookmarkEnd w:id="13"/>
    </w:p>
    <w:tbl>
      <w:tblPr>
        <w:tblW w:w="5230" w:type="dxa"/>
        <w:jc w:val="left"/>
        <w:tblInd w:w="0" w:type="dxa"/>
        <w:tblLayout w:type="fixed"/>
        <w:tblCellMar>
          <w:top w:w="0" w:type="dxa"/>
          <w:left w:w="0" w:type="dxa"/>
          <w:bottom w:w="0" w:type="dxa"/>
          <w:right w:w="0" w:type="dxa"/>
        </w:tblCellMar>
      </w:tblPr>
      <w:tblGrid>
        <w:gridCol w:w="75"/>
        <w:gridCol w:w="110"/>
        <w:gridCol w:w="50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pPr>
            <w:r>
              <w:rPr/>
              <w:t>•</w:t>
            </w:r>
          </w:p>
        </w:tc>
        <w:tc>
          <w:tcPr>
            <w:tcW w:w="504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Aggregate portfolio leverage stood at 5.5x at March 31, 2026.</w:t>
            </w:r>
          </w:p>
        </w:tc>
      </w:tr>
    </w:tbl>
    <w:p>
      <w:pPr>
        <w:pStyle w:val="Normal"/>
        <w:bidi w:val="0"/>
        <w:spacing w:before="0" w:after="0"/>
        <w:jc w:val="left"/>
        <w:rPr>
          <w:sz w:val="4"/>
          <w:szCs w:val="4"/>
        </w:rPr>
      </w:pPr>
      <w:r>
        <w:rPr>
          <w:sz w:val="4"/>
          <w:szCs w:val="4"/>
        </w:rPr>
      </w:r>
      <w:bookmarkStart w:id="14" w:name="z8469f869af50433ab2a67f077e7be5b2"/>
      <w:bookmarkStart w:id="15" w:name="z8469f869af50433ab2a67f077e7be5b2"/>
      <w:bookmarkEnd w:id="15"/>
    </w:p>
    <w:tbl>
      <w:tblPr>
        <w:tblW w:w="6325" w:type="dxa"/>
        <w:jc w:val="left"/>
        <w:tblInd w:w="0" w:type="dxa"/>
        <w:tblLayout w:type="fixed"/>
        <w:tblCellMar>
          <w:top w:w="0" w:type="dxa"/>
          <w:left w:w="0" w:type="dxa"/>
          <w:bottom w:w="0" w:type="dxa"/>
          <w:right w:w="0" w:type="dxa"/>
        </w:tblCellMar>
      </w:tblPr>
      <w:tblGrid>
        <w:gridCol w:w="75"/>
        <w:gridCol w:w="110"/>
        <w:gridCol w:w="61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pPr>
            <w:r>
              <w:rPr/>
              <w:t>•</w:t>
            </w:r>
          </w:p>
        </w:tc>
        <w:tc>
          <w:tcPr>
            <w:tcW w:w="614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As of March 31, 2026, the Company had unrestricted cash of $46.7 million.</w:t>
            </w:r>
          </w:p>
        </w:tc>
      </w:tr>
    </w:tbl>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color w:val="000000"/>
          <w:sz w:val="20"/>
        </w:rPr>
        <w:t>The first quarter was marked by unprecedented geopolitical actions that created significant volatility, and our team reacted quickly and decisively to protect shareholder interests and mitigate risk,” said Jay Lown, President and CEO of Cherry Hill Mortgage Investment Corporation. “While we are encouraged by the stabilization we saw in April, we remain focused on thoughtfully and proactively managing our diversified portfolio of RMBS and MSRs as uncertainty persists.”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Operating Results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Cherry Hill reported GAAP net loss applicable to common stockholders for the first quarter of 2026 of $2.0 million, or $0.05 per basic and diluted weighted average common share outstanding. Reported GAAP net loss was determined based primarily on the following: $4.5 million of net interest income, $7.9 million of net servicing income, a net realized loss of $0.1 million on derivatives, a net unrealized loss of $12.4 million on RMBS measured at fair value through earnings, a net unrealized gain of $6.1 million on derivatives, a net unrealized loss of $1.4 million on investments in Servicing Related Assets, and general and administrative expenses and compensation and benefits in the aggregate amount of $3.3 million.</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Earnings available for distribution attributable to common stockholders for the first quarter of 2026 were $5.3 million, or $0.14 per basic and diluted weighted average common share outstanding. For a reconciliation of GAAP net income to non-GAAP earnings available for distribution, please refer to the reconciliation table accompanying this release.</w:t>
      </w:r>
    </w:p>
    <w:p>
      <w:pPr>
        <w:pStyle w:val="TextBody"/>
        <w:bidi w:val="0"/>
        <w:spacing w:before="0" w:after="0"/>
        <w:jc w:val="both"/>
        <w:rPr>
          <w:rFonts w:ascii="Times New Roman" w:hAnsi="Times New Roman"/>
          <w:sz w:val="20"/>
        </w:rPr>
      </w:pPr>
      <w:r>
        <w:rPr>
          <w:rFonts w:ascii="Times New Roman" w:hAnsi="Times New Roman"/>
          <w:sz w:val="20"/>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6" w:name="z4e97356959324a969a3d85c8d8bc9edc"/>
      <w:bookmarkStart w:id="17" w:name="z4e97356959324a969a3d85c8d8bc9edc"/>
      <w:bookmarkEnd w:id="17"/>
    </w:p>
    <w:tbl>
      <w:tblPr>
        <w:tblW w:w="9580" w:type="dxa"/>
        <w:jc w:val="left"/>
        <w:tblInd w:w="0" w:type="dxa"/>
        <w:tblLayout w:type="fixed"/>
        <w:tblCellMar>
          <w:top w:w="0" w:type="dxa"/>
          <w:left w:w="0" w:type="dxa"/>
          <w:bottom w:w="0" w:type="dxa"/>
          <w:right w:w="0" w:type="dxa"/>
        </w:tblCellMar>
      </w:tblPr>
      <w:tblGrid>
        <w:gridCol w:w="6290"/>
        <w:gridCol w:w="60"/>
        <w:gridCol w:w="157"/>
        <w:gridCol w:w="1198"/>
        <w:gridCol w:w="80"/>
        <w:gridCol w:w="60"/>
        <w:gridCol w:w="190"/>
        <w:gridCol w:w="1450"/>
        <w:gridCol w:w="95"/>
      </w:tblGrid>
      <w:tr>
        <w:trPr/>
        <w:tc>
          <w:tcPr>
            <w:tcW w:w="6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35"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Three Months Ended</w:t>
            </w:r>
          </w:p>
        </w:tc>
        <w:tc>
          <w:tcPr>
            <w:tcW w:w="95" w:type="dxa"/>
            <w:tcBorders/>
            <w:vAlign w:val="bottom"/>
          </w:tcPr>
          <w:p>
            <w:pPr>
              <w:pStyle w:val="TableContents"/>
              <w:bidi w:val="0"/>
              <w:spacing w:before="0" w:after="283"/>
              <w:jc w:val="left"/>
              <w:rPr/>
            </w:pPr>
            <w:r>
              <w:rPr/>
              <w:t> </w:t>
            </w:r>
          </w:p>
        </w:tc>
      </w:tr>
      <w:tr>
        <w:trPr/>
        <w:tc>
          <w:tcPr>
            <w:tcW w:w="6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March 31, 2026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December 31, 2025</w:t>
            </w:r>
          </w:p>
        </w:tc>
        <w:tc>
          <w:tcPr>
            <w:tcW w:w="95" w:type="dxa"/>
            <w:tcBorders/>
            <w:vAlign w:val="bottom"/>
          </w:tcPr>
          <w:p>
            <w:pPr>
              <w:pStyle w:val="TableContents"/>
              <w:bidi w:val="0"/>
              <w:spacing w:before="0" w:after="283"/>
              <w:jc w:val="left"/>
              <w:rPr/>
            </w:pPr>
            <w:r>
              <w:rPr/>
              <w:t> </w:t>
            </w:r>
          </w:p>
        </w:tc>
      </w:tr>
      <w:tr>
        <w:trPr/>
        <w:tc>
          <w:tcPr>
            <w:tcW w:w="6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5"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(unaudited)</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0"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(unaudited)</w:t>
            </w:r>
          </w:p>
        </w:tc>
        <w:tc>
          <w:tcPr>
            <w:tcW w:w="95" w:type="dxa"/>
            <w:tcBorders/>
            <w:vAlign w:val="bottom"/>
          </w:tcPr>
          <w:p>
            <w:pPr>
              <w:pStyle w:val="TableContents"/>
              <w:bidi w:val="0"/>
              <w:spacing w:before="0" w:after="283"/>
              <w:jc w:val="left"/>
              <w:rPr/>
            </w:pPr>
            <w:r>
              <w:rPr/>
              <w:t> </w:t>
            </w:r>
          </w:p>
        </w:tc>
      </w:tr>
      <w:tr>
        <w:trPr/>
        <w:tc>
          <w:tcPr>
            <w:tcW w:w="6290" w:type="dxa"/>
            <w:tcBorders/>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Income</w:t>
            </w:r>
          </w:p>
        </w:tc>
        <w:tc>
          <w:tcPr>
            <w:tcW w:w="60" w:type="dxa"/>
            <w:tcBorders/>
            <w:vAlign w:val="bottom"/>
          </w:tcPr>
          <w:p>
            <w:pPr>
              <w:pStyle w:val="TableContents"/>
              <w:bidi w:val="0"/>
              <w:spacing w:before="0" w:after="283"/>
              <w:jc w:val="left"/>
              <w:rPr/>
            </w:pPr>
            <w:r>
              <w:rPr/>
              <w:t> </w:t>
            </w:r>
          </w:p>
        </w:tc>
        <w:tc>
          <w:tcPr>
            <w:tcW w:w="135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6290"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Interest income</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9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15,850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15,838</w:t>
            </w:r>
          </w:p>
        </w:tc>
        <w:tc>
          <w:tcPr>
            <w:tcW w:w="95" w:type="dxa"/>
            <w:tcBorders/>
            <w:shd w:fill="CCEEFF" w:val="clear"/>
            <w:vAlign w:val="bottom"/>
          </w:tcPr>
          <w:p>
            <w:pPr>
              <w:pStyle w:val="TableContents"/>
              <w:bidi w:val="0"/>
              <w:spacing w:before="0" w:after="283"/>
              <w:jc w:val="left"/>
              <w:rPr/>
            </w:pPr>
            <w:r>
              <w:rPr/>
              <w:t> </w:t>
            </w:r>
          </w:p>
        </w:tc>
      </w:tr>
      <w:tr>
        <w:trPr/>
        <w:tc>
          <w:tcPr>
            <w:tcW w:w="6290" w:type="dxa"/>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Interest expense</w:t>
            </w:r>
          </w:p>
        </w:tc>
        <w:tc>
          <w:tcPr>
            <w:tcW w:w="60" w:type="dxa"/>
            <w:tcBorders/>
            <w:vAlign w:val="bottom"/>
          </w:tcPr>
          <w:p>
            <w:pPr>
              <w:pStyle w:val="TableContents"/>
              <w:bidi w:val="0"/>
              <w:spacing w:before="0" w:after="283"/>
              <w:jc w:val="left"/>
              <w:rPr/>
            </w:pPr>
            <w:r>
              <w:rPr/>
              <w:t> </w:t>
            </w:r>
          </w:p>
        </w:tc>
        <w:tc>
          <w:tcPr>
            <w:tcW w:w="157" w:type="dxa"/>
            <w:tcBorders>
              <w:bottom w:val="single" w:sz="12" w:space="0" w:color="000000"/>
            </w:tcBorders>
            <w:tcMar>
              <w:bottom w:w="28" w:type="dxa"/>
            </w:tcMar>
            <w:vAlign w:val="bottom"/>
          </w:tcPr>
          <w:p>
            <w:pPr>
              <w:pStyle w:val="TableContents"/>
              <w:bidi w:val="0"/>
              <w:spacing w:before="0" w:after="283"/>
              <w:jc w:val="left"/>
              <w:rPr/>
            </w:pPr>
            <w:r>
              <w:rPr/>
              <w:t> </w:t>
            </w:r>
          </w:p>
        </w:tc>
        <w:tc>
          <w:tcPr>
            <w:tcW w:w="119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11,394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4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12,628</w:t>
            </w:r>
          </w:p>
        </w:tc>
        <w:tc>
          <w:tcPr>
            <w:tcW w:w="95" w:type="dxa"/>
            <w:tcBorders/>
            <w:vAlign w:val="bottom"/>
          </w:tcPr>
          <w:p>
            <w:pPr>
              <w:pStyle w:val="TableContents"/>
              <w:bidi w:val="0"/>
              <w:spacing w:before="0" w:after="283"/>
              <w:jc w:val="left"/>
              <w:rPr/>
            </w:pPr>
            <w:r>
              <w:rPr/>
              <w:t> </w:t>
            </w:r>
          </w:p>
        </w:tc>
      </w:tr>
      <w:tr>
        <w:trPr/>
        <w:tc>
          <w:tcPr>
            <w:tcW w:w="6290"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Net interest income</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4,456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4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3,210</w:t>
            </w:r>
          </w:p>
        </w:tc>
        <w:tc>
          <w:tcPr>
            <w:tcW w:w="95" w:type="dxa"/>
            <w:tcBorders/>
            <w:shd w:fill="CCEEFF" w:val="clear"/>
            <w:vAlign w:val="bottom"/>
          </w:tcPr>
          <w:p>
            <w:pPr>
              <w:pStyle w:val="TableContents"/>
              <w:bidi w:val="0"/>
              <w:spacing w:before="0" w:after="283"/>
              <w:jc w:val="left"/>
              <w:rPr/>
            </w:pPr>
            <w:r>
              <w:rPr/>
              <w:t> </w:t>
            </w:r>
          </w:p>
        </w:tc>
      </w:tr>
      <w:tr>
        <w:trPr/>
        <w:tc>
          <w:tcPr>
            <w:tcW w:w="6290" w:type="dxa"/>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Servicing fee income</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10,219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10,629</w:t>
            </w:r>
          </w:p>
        </w:tc>
        <w:tc>
          <w:tcPr>
            <w:tcW w:w="95" w:type="dxa"/>
            <w:tcBorders/>
            <w:vAlign w:val="bottom"/>
          </w:tcPr>
          <w:p>
            <w:pPr>
              <w:pStyle w:val="TableContents"/>
              <w:bidi w:val="0"/>
              <w:spacing w:before="0" w:after="283"/>
              <w:jc w:val="left"/>
              <w:rPr/>
            </w:pPr>
            <w:r>
              <w:rPr/>
              <w:t> </w:t>
            </w:r>
          </w:p>
        </w:tc>
      </w:tr>
      <w:tr>
        <w:trPr/>
        <w:tc>
          <w:tcPr>
            <w:tcW w:w="6290"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Servicing costs</w:t>
            </w:r>
          </w:p>
        </w:tc>
        <w:tc>
          <w:tcPr>
            <w:tcW w:w="60" w:type="dxa"/>
            <w:tcBorders/>
            <w:shd w:fill="CCEEFF" w:val="clear"/>
            <w:vAlign w:val="bottom"/>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9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2,289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2,481</w:t>
            </w:r>
          </w:p>
        </w:tc>
        <w:tc>
          <w:tcPr>
            <w:tcW w:w="95" w:type="dxa"/>
            <w:tcBorders/>
            <w:shd w:fill="CCEEFF" w:val="clear"/>
            <w:vAlign w:val="bottom"/>
          </w:tcPr>
          <w:p>
            <w:pPr>
              <w:pStyle w:val="TableContents"/>
              <w:bidi w:val="0"/>
              <w:spacing w:before="0" w:after="283"/>
              <w:jc w:val="left"/>
              <w:rPr/>
            </w:pPr>
            <w:r>
              <w:rPr/>
              <w:t> </w:t>
            </w:r>
          </w:p>
        </w:tc>
      </w:tr>
      <w:tr>
        <w:trPr/>
        <w:tc>
          <w:tcPr>
            <w:tcW w:w="6290" w:type="dxa"/>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Net servicing income</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7,930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8,148</w:t>
            </w:r>
          </w:p>
        </w:tc>
        <w:tc>
          <w:tcPr>
            <w:tcW w:w="95" w:type="dxa"/>
            <w:tcBorders/>
            <w:vAlign w:val="bottom"/>
          </w:tcPr>
          <w:p>
            <w:pPr>
              <w:pStyle w:val="TableContents"/>
              <w:bidi w:val="0"/>
              <w:spacing w:before="0" w:after="283"/>
              <w:jc w:val="left"/>
              <w:rPr/>
            </w:pPr>
            <w:r>
              <w:rPr/>
              <w:t> </w:t>
            </w:r>
          </w:p>
        </w:tc>
      </w:tr>
      <w:tr>
        <w:trPr/>
        <w:tc>
          <w:tcPr>
            <w:tcW w:w="6290"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Other income (loss)</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45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6290" w:type="dxa"/>
            <w:tcBorders/>
            <w:vAlign w:val="bottom"/>
          </w:tcPr>
          <w:p>
            <w:pPr>
              <w:pStyle w:val="TableContents"/>
              <w:bidi w:val="0"/>
              <w:spacing w:before="0" w:after="0"/>
              <w:ind w:left="540" w:right="0" w:hanging="180"/>
              <w:jc w:val="left"/>
              <w:rPr>
                <w:rFonts w:ascii="Times New Roman" w:hAnsi="Times New Roman"/>
                <w:sz w:val="20"/>
              </w:rPr>
            </w:pPr>
            <w:r>
              <w:rPr>
                <w:rFonts w:ascii="Times New Roman" w:hAnsi="Times New Roman"/>
                <w:sz w:val="20"/>
              </w:rPr>
              <w:t>Realized loss on derivatives, net</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(70</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(1,939</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290" w:type="dxa"/>
            <w:tcBorders/>
            <w:shd w:fill="CCEEFF" w:val="clear"/>
            <w:vAlign w:val="bottom"/>
          </w:tcPr>
          <w:p>
            <w:pPr>
              <w:pStyle w:val="TableContents"/>
              <w:bidi w:val="0"/>
              <w:spacing w:before="0" w:after="0"/>
              <w:ind w:left="540" w:right="0" w:hanging="180"/>
              <w:jc w:val="left"/>
              <w:rPr>
                <w:rFonts w:ascii="Times New Roman" w:hAnsi="Times New Roman"/>
                <w:sz w:val="20"/>
              </w:rPr>
            </w:pPr>
            <w:r>
              <w:rPr>
                <w:rFonts w:ascii="Times New Roman" w:hAnsi="Times New Roman"/>
                <w:sz w:val="20"/>
              </w:rPr>
              <w:t>Unrealized gain (loss) on RMBS, measured at fair value through earnings, net</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(12,436</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4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6,560</w:t>
            </w:r>
          </w:p>
        </w:tc>
        <w:tc>
          <w:tcPr>
            <w:tcW w:w="95" w:type="dxa"/>
            <w:tcBorders/>
            <w:shd w:fill="CCEEFF" w:val="clear"/>
            <w:vAlign w:val="bottom"/>
          </w:tcPr>
          <w:p>
            <w:pPr>
              <w:pStyle w:val="TableContents"/>
              <w:bidi w:val="0"/>
              <w:spacing w:before="0" w:after="283"/>
              <w:jc w:val="left"/>
              <w:rPr/>
            </w:pPr>
            <w:r>
              <w:rPr/>
              <w:t> </w:t>
            </w:r>
          </w:p>
        </w:tc>
      </w:tr>
      <w:tr>
        <w:trPr/>
        <w:tc>
          <w:tcPr>
            <w:tcW w:w="6290" w:type="dxa"/>
            <w:tcBorders/>
            <w:vAlign w:val="bottom"/>
          </w:tcPr>
          <w:p>
            <w:pPr>
              <w:pStyle w:val="TableContents"/>
              <w:bidi w:val="0"/>
              <w:spacing w:before="0" w:after="0"/>
              <w:ind w:left="540" w:right="0" w:hanging="180"/>
              <w:jc w:val="left"/>
              <w:rPr>
                <w:rFonts w:ascii="Times New Roman" w:hAnsi="Times New Roman"/>
                <w:sz w:val="20"/>
              </w:rPr>
            </w:pPr>
            <w:r>
              <w:rPr>
                <w:rFonts w:ascii="Times New Roman" w:hAnsi="Times New Roman"/>
                <w:sz w:val="20"/>
              </w:rPr>
              <w:t>Unrealized gain (loss) on derivatives, net</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6,121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(361</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290" w:type="dxa"/>
            <w:tcBorders/>
            <w:shd w:fill="CCEEFF" w:val="clear"/>
            <w:vAlign w:val="bottom"/>
          </w:tcPr>
          <w:p>
            <w:pPr>
              <w:pStyle w:val="TableContents"/>
              <w:bidi w:val="0"/>
              <w:spacing w:before="0" w:after="0"/>
              <w:ind w:left="540" w:right="0" w:hanging="180"/>
              <w:jc w:val="left"/>
              <w:rPr>
                <w:rFonts w:ascii="Times New Roman" w:hAnsi="Times New Roman"/>
                <w:sz w:val="20"/>
              </w:rPr>
            </w:pPr>
            <w:r>
              <w:rPr>
                <w:rFonts w:ascii="Times New Roman" w:hAnsi="Times New Roman"/>
                <w:sz w:val="20"/>
              </w:rPr>
              <w:t>Unrealized loss on investments in Servicing Related Assets</w:t>
            </w:r>
          </w:p>
        </w:tc>
        <w:tc>
          <w:tcPr>
            <w:tcW w:w="60" w:type="dxa"/>
            <w:tcBorders/>
            <w:shd w:fill="CCEEFF" w:val="clear"/>
            <w:vAlign w:val="bottom"/>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9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(1,361</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(3,857</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290" w:type="dxa"/>
            <w:tcBorders/>
            <w:vAlign w:val="bottom"/>
          </w:tcPr>
          <w:p>
            <w:pPr>
              <w:pStyle w:val="TableContents"/>
              <w:bidi w:val="0"/>
              <w:spacing w:before="0" w:after="0"/>
              <w:ind w:left="360" w:right="0" w:hanging="180"/>
              <w:jc w:val="left"/>
              <w:rPr>
                <w:rFonts w:ascii="Times New Roman" w:hAnsi="Times New Roman"/>
                <w:b/>
                <w:sz w:val="20"/>
              </w:rPr>
            </w:pPr>
            <w:r>
              <w:rPr>
                <w:rFonts w:ascii="Times New Roman" w:hAnsi="Times New Roman"/>
                <w:b/>
                <w:sz w:val="20"/>
              </w:rPr>
              <w:t>Total Income</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4,640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5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11,761</w:t>
            </w:r>
          </w:p>
        </w:tc>
        <w:tc>
          <w:tcPr>
            <w:tcW w:w="95" w:type="dxa"/>
            <w:tcBorders/>
            <w:vAlign w:val="bottom"/>
          </w:tcPr>
          <w:p>
            <w:pPr>
              <w:pStyle w:val="TableContents"/>
              <w:bidi w:val="0"/>
              <w:spacing w:before="0" w:after="283"/>
              <w:jc w:val="left"/>
              <w:rPr/>
            </w:pPr>
            <w:r>
              <w:rPr/>
              <w:t> </w:t>
            </w:r>
          </w:p>
        </w:tc>
      </w:tr>
      <w:tr>
        <w:trPr/>
        <w:tc>
          <w:tcPr>
            <w:tcW w:w="6290" w:type="dxa"/>
            <w:tcBorders/>
            <w:shd w:fill="CCEEFF" w:val="clear"/>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Expenses</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45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6290" w:type="dxa"/>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General and administrative expense</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1,693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1,544</w:t>
            </w:r>
          </w:p>
        </w:tc>
        <w:tc>
          <w:tcPr>
            <w:tcW w:w="95" w:type="dxa"/>
            <w:tcBorders/>
            <w:vAlign w:val="bottom"/>
          </w:tcPr>
          <w:p>
            <w:pPr>
              <w:pStyle w:val="TableContents"/>
              <w:bidi w:val="0"/>
              <w:spacing w:before="0" w:after="283"/>
              <w:jc w:val="left"/>
              <w:rPr/>
            </w:pPr>
            <w:r>
              <w:rPr/>
              <w:t> </w:t>
            </w:r>
          </w:p>
        </w:tc>
      </w:tr>
      <w:tr>
        <w:trPr/>
        <w:tc>
          <w:tcPr>
            <w:tcW w:w="6290"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Compensation and benefits</w:t>
            </w:r>
          </w:p>
        </w:tc>
        <w:tc>
          <w:tcPr>
            <w:tcW w:w="60" w:type="dxa"/>
            <w:tcBorders/>
            <w:shd w:fill="CCEEFF" w:val="clear"/>
            <w:vAlign w:val="bottom"/>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9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1,579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1,740</w:t>
            </w:r>
          </w:p>
        </w:tc>
        <w:tc>
          <w:tcPr>
            <w:tcW w:w="95" w:type="dxa"/>
            <w:tcBorders/>
            <w:shd w:fill="CCEEFF" w:val="clear"/>
            <w:vAlign w:val="bottom"/>
          </w:tcPr>
          <w:p>
            <w:pPr>
              <w:pStyle w:val="TableContents"/>
              <w:bidi w:val="0"/>
              <w:spacing w:before="0" w:after="283"/>
              <w:jc w:val="left"/>
              <w:rPr/>
            </w:pPr>
            <w:r>
              <w:rPr/>
              <w:t> </w:t>
            </w:r>
          </w:p>
        </w:tc>
      </w:tr>
      <w:tr>
        <w:trPr/>
        <w:tc>
          <w:tcPr>
            <w:tcW w:w="6290" w:type="dxa"/>
            <w:tcBorders/>
            <w:vAlign w:val="bottom"/>
          </w:tcPr>
          <w:p>
            <w:pPr>
              <w:pStyle w:val="TableContents"/>
              <w:bidi w:val="0"/>
              <w:spacing w:before="0" w:after="0"/>
              <w:ind w:left="360" w:right="0" w:hanging="180"/>
              <w:jc w:val="left"/>
              <w:rPr>
                <w:rFonts w:ascii="Times New Roman" w:hAnsi="Times New Roman"/>
                <w:b/>
                <w:sz w:val="20"/>
              </w:rPr>
            </w:pPr>
            <w:r>
              <w:rPr>
                <w:rFonts w:ascii="Times New Roman" w:hAnsi="Times New Roman"/>
                <w:b/>
                <w:sz w:val="20"/>
              </w:rPr>
              <w:t>Total Expenses</w:t>
            </w:r>
          </w:p>
        </w:tc>
        <w:tc>
          <w:tcPr>
            <w:tcW w:w="60" w:type="dxa"/>
            <w:tcBorders/>
            <w:vAlign w:val="bottom"/>
          </w:tcPr>
          <w:p>
            <w:pPr>
              <w:pStyle w:val="TableContents"/>
              <w:bidi w:val="0"/>
              <w:spacing w:before="0" w:after="283"/>
              <w:jc w:val="left"/>
              <w:rPr/>
            </w:pPr>
            <w:r>
              <w:rPr/>
              <w:t> </w:t>
            </w:r>
          </w:p>
        </w:tc>
        <w:tc>
          <w:tcPr>
            <w:tcW w:w="157" w:type="dxa"/>
            <w:tcBorders>
              <w:bottom w:val="single" w:sz="12" w:space="0" w:color="000000"/>
            </w:tcBorders>
            <w:tcMar>
              <w:bottom w:w="28" w:type="dxa"/>
            </w:tcMar>
            <w:vAlign w:val="bottom"/>
          </w:tcPr>
          <w:p>
            <w:pPr>
              <w:pStyle w:val="TableContents"/>
              <w:bidi w:val="0"/>
              <w:spacing w:before="0" w:after="283"/>
              <w:jc w:val="left"/>
              <w:rPr/>
            </w:pPr>
            <w:r>
              <w:rPr/>
              <w:t> </w:t>
            </w:r>
          </w:p>
        </w:tc>
        <w:tc>
          <w:tcPr>
            <w:tcW w:w="119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3,272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4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3,284</w:t>
            </w:r>
          </w:p>
        </w:tc>
        <w:tc>
          <w:tcPr>
            <w:tcW w:w="95" w:type="dxa"/>
            <w:tcBorders/>
            <w:vAlign w:val="bottom"/>
          </w:tcPr>
          <w:p>
            <w:pPr>
              <w:pStyle w:val="TableContents"/>
              <w:bidi w:val="0"/>
              <w:spacing w:before="0" w:after="283"/>
              <w:jc w:val="left"/>
              <w:rPr/>
            </w:pPr>
            <w:r>
              <w:rPr/>
              <w:t> </w:t>
            </w:r>
          </w:p>
        </w:tc>
      </w:tr>
      <w:tr>
        <w:trPr/>
        <w:tc>
          <w:tcPr>
            <w:tcW w:w="6290" w:type="dxa"/>
            <w:tcBorders/>
            <w:shd w:fill="CCEEFF" w:val="clear"/>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Income Before Income Taxes</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1,368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45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8,477</w:t>
            </w:r>
          </w:p>
        </w:tc>
        <w:tc>
          <w:tcPr>
            <w:tcW w:w="95" w:type="dxa"/>
            <w:tcBorders/>
            <w:shd w:fill="CCEEFF" w:val="clear"/>
            <w:vAlign w:val="bottom"/>
          </w:tcPr>
          <w:p>
            <w:pPr>
              <w:pStyle w:val="TableContents"/>
              <w:bidi w:val="0"/>
              <w:spacing w:before="0" w:after="283"/>
              <w:jc w:val="left"/>
              <w:rPr/>
            </w:pPr>
            <w:r>
              <w:rPr/>
              <w:t> </w:t>
            </w:r>
          </w:p>
        </w:tc>
      </w:tr>
      <w:tr>
        <w:trPr/>
        <w:tc>
          <w:tcPr>
            <w:tcW w:w="629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Provision for corporate business taxes</w:t>
            </w:r>
          </w:p>
        </w:tc>
        <w:tc>
          <w:tcPr>
            <w:tcW w:w="60" w:type="dxa"/>
            <w:tcBorders/>
            <w:vAlign w:val="bottom"/>
          </w:tcPr>
          <w:p>
            <w:pPr>
              <w:pStyle w:val="TableContents"/>
              <w:bidi w:val="0"/>
              <w:spacing w:before="0" w:after="283"/>
              <w:jc w:val="left"/>
              <w:rPr/>
            </w:pPr>
            <w:r>
              <w:rPr/>
              <w:t> </w:t>
            </w:r>
          </w:p>
        </w:tc>
        <w:tc>
          <w:tcPr>
            <w:tcW w:w="157" w:type="dxa"/>
            <w:tcBorders>
              <w:bottom w:val="single" w:sz="12" w:space="0" w:color="000000"/>
            </w:tcBorders>
            <w:tcMar>
              <w:bottom w:w="28" w:type="dxa"/>
            </w:tcMar>
            <w:vAlign w:val="bottom"/>
          </w:tcPr>
          <w:p>
            <w:pPr>
              <w:pStyle w:val="TableContents"/>
              <w:bidi w:val="0"/>
              <w:spacing w:before="0" w:after="283"/>
              <w:jc w:val="left"/>
              <w:rPr/>
            </w:pPr>
            <w:r>
              <w:rPr/>
              <w:t> </w:t>
            </w:r>
          </w:p>
        </w:tc>
        <w:tc>
          <w:tcPr>
            <w:tcW w:w="119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939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4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619</w:t>
            </w:r>
          </w:p>
        </w:tc>
        <w:tc>
          <w:tcPr>
            <w:tcW w:w="95" w:type="dxa"/>
            <w:tcBorders/>
            <w:vAlign w:val="bottom"/>
          </w:tcPr>
          <w:p>
            <w:pPr>
              <w:pStyle w:val="TableContents"/>
              <w:bidi w:val="0"/>
              <w:spacing w:before="0" w:after="283"/>
              <w:jc w:val="left"/>
              <w:rPr/>
            </w:pPr>
            <w:r>
              <w:rPr/>
              <w:t> </w:t>
            </w:r>
          </w:p>
        </w:tc>
      </w:tr>
      <w:tr>
        <w:trPr/>
        <w:tc>
          <w:tcPr>
            <w:tcW w:w="6290" w:type="dxa"/>
            <w:tcBorders/>
            <w:shd w:fill="CCEEFF" w:val="clear"/>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Net Income</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429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45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7,858</w:t>
            </w:r>
          </w:p>
        </w:tc>
        <w:tc>
          <w:tcPr>
            <w:tcW w:w="95" w:type="dxa"/>
            <w:tcBorders/>
            <w:shd w:fill="CCEEFF" w:val="clear"/>
            <w:vAlign w:val="bottom"/>
          </w:tcPr>
          <w:p>
            <w:pPr>
              <w:pStyle w:val="TableContents"/>
              <w:bidi w:val="0"/>
              <w:spacing w:before="0" w:after="283"/>
              <w:jc w:val="left"/>
              <w:rPr/>
            </w:pPr>
            <w:r>
              <w:rPr/>
              <w:t> </w:t>
            </w:r>
          </w:p>
        </w:tc>
      </w:tr>
      <w:tr>
        <w:trPr/>
        <w:tc>
          <w:tcPr>
            <w:tcW w:w="629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Net income allocated to noncontrolling interests in Operating Partnership</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(130</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29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Dividends on preferred stock</w:t>
            </w:r>
          </w:p>
        </w:tc>
        <w:tc>
          <w:tcPr>
            <w:tcW w:w="60" w:type="dxa"/>
            <w:tcBorders/>
            <w:shd w:fill="CCEEFF" w:val="clear"/>
            <w:vAlign w:val="bottom"/>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9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(2,391</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(2,436</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290" w:type="dxa"/>
            <w:tcBorders/>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Net Income (Loss) Applicable to Common Stockholders</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198"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(1,968</w:t>
            </w:r>
          </w:p>
        </w:tc>
        <w:tc>
          <w:tcPr>
            <w:tcW w:w="8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45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5,292</w:t>
            </w:r>
          </w:p>
        </w:tc>
        <w:tc>
          <w:tcPr>
            <w:tcW w:w="95" w:type="dxa"/>
            <w:tcBorders/>
            <w:vAlign w:val="bottom"/>
          </w:tcPr>
          <w:p>
            <w:pPr>
              <w:pStyle w:val="TableContents"/>
              <w:bidi w:val="0"/>
              <w:spacing w:before="0" w:after="283"/>
              <w:jc w:val="left"/>
              <w:rPr/>
            </w:pPr>
            <w:r>
              <w:rPr/>
              <w:t> </w:t>
            </w:r>
          </w:p>
        </w:tc>
      </w:tr>
      <w:tr>
        <w:trPr/>
        <w:tc>
          <w:tcPr>
            <w:tcW w:w="6290" w:type="dxa"/>
            <w:tcBorders/>
            <w:shd w:fill="CCEEFF" w:val="clear"/>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Net Income (Loss) Per Share of Common Stock</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45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6290" w:type="dxa"/>
            <w:tcBorders/>
            <w:vAlign w:val="bottom"/>
          </w:tcPr>
          <w:p>
            <w:pPr>
              <w:pStyle w:val="TableContents"/>
              <w:bidi w:val="0"/>
              <w:spacing w:before="0" w:after="0"/>
              <w:ind w:left="360" w:right="0" w:hanging="180"/>
              <w:jc w:val="left"/>
              <w:rPr>
                <w:rFonts w:ascii="Times New Roman" w:hAnsi="Times New Roman"/>
                <w:b/>
                <w:sz w:val="20"/>
              </w:rPr>
            </w:pPr>
            <w:r>
              <w:rPr>
                <w:rFonts w:ascii="Times New Roman" w:hAnsi="Times New Roman"/>
                <w:b/>
                <w:sz w:val="20"/>
              </w:rPr>
              <w:t>Basic</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198"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(0.05</w:t>
            </w:r>
          </w:p>
        </w:tc>
        <w:tc>
          <w:tcPr>
            <w:tcW w:w="8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45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0.14</w:t>
            </w:r>
          </w:p>
        </w:tc>
        <w:tc>
          <w:tcPr>
            <w:tcW w:w="95" w:type="dxa"/>
            <w:tcBorders/>
            <w:vAlign w:val="bottom"/>
          </w:tcPr>
          <w:p>
            <w:pPr>
              <w:pStyle w:val="TableContents"/>
              <w:bidi w:val="0"/>
              <w:spacing w:before="0" w:after="283"/>
              <w:jc w:val="left"/>
              <w:rPr/>
            </w:pPr>
            <w:r>
              <w:rPr/>
              <w:t> </w:t>
            </w:r>
          </w:p>
        </w:tc>
      </w:tr>
      <w:tr>
        <w:trPr/>
        <w:tc>
          <w:tcPr>
            <w:tcW w:w="6290" w:type="dxa"/>
            <w:tcBorders/>
            <w:shd w:fill="CCEEFF" w:val="clear"/>
            <w:vAlign w:val="bottom"/>
          </w:tcPr>
          <w:p>
            <w:pPr>
              <w:pStyle w:val="TableContents"/>
              <w:bidi w:val="0"/>
              <w:spacing w:before="0" w:after="0"/>
              <w:ind w:left="360" w:right="0" w:hanging="180"/>
              <w:jc w:val="left"/>
              <w:rPr>
                <w:rFonts w:ascii="Times New Roman" w:hAnsi="Times New Roman"/>
                <w:b/>
                <w:sz w:val="20"/>
              </w:rPr>
            </w:pPr>
            <w:r>
              <w:rPr>
                <w:rFonts w:ascii="Times New Roman" w:hAnsi="Times New Roman"/>
                <w:b/>
                <w:sz w:val="20"/>
              </w:rPr>
              <w:t>Diluted</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198"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(0.05</w:t>
            </w:r>
          </w:p>
        </w:tc>
        <w:tc>
          <w:tcPr>
            <w:tcW w:w="8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45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0.14</w:t>
            </w:r>
          </w:p>
        </w:tc>
        <w:tc>
          <w:tcPr>
            <w:tcW w:w="95" w:type="dxa"/>
            <w:tcBorders/>
            <w:shd w:fill="CCEEFF" w:val="clear"/>
            <w:vAlign w:val="bottom"/>
          </w:tcPr>
          <w:p>
            <w:pPr>
              <w:pStyle w:val="TableContents"/>
              <w:bidi w:val="0"/>
              <w:spacing w:before="0" w:after="283"/>
              <w:jc w:val="left"/>
              <w:rPr/>
            </w:pPr>
            <w:r>
              <w:rPr/>
              <w:t> </w:t>
            </w:r>
          </w:p>
        </w:tc>
      </w:tr>
      <w:tr>
        <w:trPr/>
        <w:tc>
          <w:tcPr>
            <w:tcW w:w="6290" w:type="dxa"/>
            <w:tcBorders/>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Weighted Average Number of Shares of Common Stock Outstanding</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5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6290"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Basic</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36,593,018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4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36,593,018</w:t>
            </w:r>
          </w:p>
        </w:tc>
        <w:tc>
          <w:tcPr>
            <w:tcW w:w="95" w:type="dxa"/>
            <w:tcBorders/>
            <w:shd w:fill="CCEEFF" w:val="clear"/>
            <w:vAlign w:val="bottom"/>
          </w:tcPr>
          <w:p>
            <w:pPr>
              <w:pStyle w:val="TableContents"/>
              <w:bidi w:val="0"/>
              <w:spacing w:before="0" w:after="283"/>
              <w:jc w:val="left"/>
              <w:rPr/>
            </w:pPr>
            <w:r>
              <w:rPr/>
              <w:t> </w:t>
            </w:r>
          </w:p>
        </w:tc>
      </w:tr>
      <w:tr>
        <w:trPr/>
        <w:tc>
          <w:tcPr>
            <w:tcW w:w="6290" w:type="dxa"/>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Diluted</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36,593,018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36,630,066</w:t>
            </w:r>
          </w:p>
        </w:tc>
        <w:tc>
          <w:tcPr>
            <w:tcW w:w="95" w:type="dxa"/>
            <w:tcBorders/>
            <w:vAlign w:val="bottom"/>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HorizontalLine"/>
        <w:pBdr>
          <w:bottom w:val="single" w:sz="12" w:space="0" w:color="808080"/>
        </w:pBdr>
        <w:bidi w:val="0"/>
        <w:jc w:val="both"/>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Dollar amounts in thousands, except per share amounts.</w:t>
      </w:r>
    </w:p>
    <w:p>
      <w:pPr>
        <w:pStyle w:val="TextBody"/>
        <w:bidi w:val="0"/>
        <w:spacing w:before="0" w:after="0"/>
        <w:jc w:val="left"/>
        <w:rPr>
          <w:sz w:val="20"/>
        </w:rPr>
      </w:pPr>
      <w:r>
        <w:rPr>
          <w:sz w:val="20"/>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Net unrealized loss on the Company’s RMBS portfolio classified as available-for-sale that are reported in accumulated other comprehensive income was approximately $2.4 million.</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8" w:name="zcc146c21a22840dabe397c40aa499121"/>
      <w:bookmarkStart w:id="19" w:name="zcc146c21a22840dabe397c40aa499121"/>
      <w:bookmarkEnd w:id="19"/>
    </w:p>
    <w:tbl>
      <w:tblPr>
        <w:tblW w:w="10205" w:type="dxa"/>
        <w:jc w:val="left"/>
        <w:tblInd w:w="0" w:type="dxa"/>
        <w:tblLayout w:type="fixed"/>
        <w:tblCellMar>
          <w:top w:w="0" w:type="dxa"/>
          <w:left w:w="0" w:type="dxa"/>
          <w:bottom w:w="0" w:type="dxa"/>
          <w:right w:w="0" w:type="dxa"/>
        </w:tblCellMar>
      </w:tblPr>
      <w:tblGrid>
        <w:gridCol w:w="6890"/>
        <w:gridCol w:w="60"/>
        <w:gridCol w:w="252"/>
        <w:gridCol w:w="1103"/>
        <w:gridCol w:w="94"/>
        <w:gridCol w:w="70"/>
        <w:gridCol w:w="305"/>
        <w:gridCol w:w="1335"/>
        <w:gridCol w:w="96"/>
      </w:tblGrid>
      <w:tr>
        <w:trPr/>
        <w:tc>
          <w:tcPr>
            <w:tcW w:w="68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59"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Three Months Ended</w:t>
            </w:r>
          </w:p>
        </w:tc>
        <w:tc>
          <w:tcPr>
            <w:tcW w:w="96" w:type="dxa"/>
            <w:tcBorders/>
            <w:vAlign w:val="bottom"/>
          </w:tcPr>
          <w:p>
            <w:pPr>
              <w:pStyle w:val="TableContents"/>
              <w:bidi w:val="0"/>
              <w:spacing w:before="0" w:after="283"/>
              <w:jc w:val="left"/>
              <w:rPr/>
            </w:pPr>
            <w:r>
              <w:rPr/>
              <w:t> </w:t>
            </w:r>
          </w:p>
        </w:tc>
      </w:tr>
      <w:tr>
        <w:trPr/>
        <w:tc>
          <w:tcPr>
            <w:tcW w:w="68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March 31, 2026</w:t>
            </w:r>
          </w:p>
        </w:tc>
        <w:tc>
          <w:tcPr>
            <w:tcW w:w="9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64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December 31, 2025</w:t>
            </w:r>
          </w:p>
        </w:tc>
        <w:tc>
          <w:tcPr>
            <w:tcW w:w="96" w:type="dxa"/>
            <w:tcBorders/>
            <w:vAlign w:val="bottom"/>
          </w:tcPr>
          <w:p>
            <w:pPr>
              <w:pStyle w:val="TableContents"/>
              <w:bidi w:val="0"/>
              <w:spacing w:before="0" w:after="283"/>
              <w:jc w:val="left"/>
              <w:rPr/>
            </w:pPr>
            <w:r>
              <w:rPr/>
              <w:t> </w:t>
            </w:r>
          </w:p>
        </w:tc>
      </w:tr>
      <w:tr>
        <w:trPr/>
        <w:tc>
          <w:tcPr>
            <w:tcW w:w="68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5"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(unaudited)</w:t>
            </w:r>
          </w:p>
        </w:tc>
        <w:tc>
          <w:tcPr>
            <w:tcW w:w="9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640"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(unaudited)</w:t>
            </w:r>
          </w:p>
        </w:tc>
        <w:tc>
          <w:tcPr>
            <w:tcW w:w="96" w:type="dxa"/>
            <w:tcBorders/>
            <w:vAlign w:val="bottom"/>
          </w:tcPr>
          <w:p>
            <w:pPr>
              <w:pStyle w:val="TableContents"/>
              <w:bidi w:val="0"/>
              <w:spacing w:before="0" w:after="283"/>
              <w:jc w:val="left"/>
              <w:rPr/>
            </w:pPr>
            <w:r>
              <w:rPr/>
              <w:t> </w:t>
            </w:r>
          </w:p>
        </w:tc>
      </w:tr>
      <w:tr>
        <w:trPr/>
        <w:tc>
          <w:tcPr>
            <w:tcW w:w="689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Net Income</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0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429</w:t>
            </w:r>
          </w:p>
        </w:tc>
        <w:tc>
          <w:tcPr>
            <w:tcW w:w="94"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3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7,858</w:t>
            </w:r>
          </w:p>
        </w:tc>
        <w:tc>
          <w:tcPr>
            <w:tcW w:w="96" w:type="dxa"/>
            <w:tcBorders/>
            <w:shd w:fill="CCEEFF" w:val="clear"/>
            <w:vAlign w:val="bottom"/>
          </w:tcPr>
          <w:p>
            <w:pPr>
              <w:pStyle w:val="TableContents"/>
              <w:bidi w:val="0"/>
              <w:spacing w:before="0" w:after="283"/>
              <w:jc w:val="left"/>
              <w:rPr/>
            </w:pPr>
            <w:r>
              <w:rPr/>
              <w:t> </w:t>
            </w:r>
          </w:p>
        </w:tc>
      </w:tr>
      <w:tr>
        <w:trPr/>
        <w:tc>
          <w:tcPr>
            <w:tcW w:w="689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Other comprehensive income (loss):</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 </w:t>
            </w:r>
          </w:p>
        </w:tc>
        <w:tc>
          <w:tcPr>
            <w:tcW w:w="9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335" w:type="dxa"/>
            <w:tcBorders/>
            <w:vAlign w:val="bottom"/>
          </w:tcPr>
          <w:p>
            <w:pPr>
              <w:pStyle w:val="TableContents"/>
              <w:bidi w:val="0"/>
              <w:spacing w:before="0" w:after="283"/>
              <w:jc w:val="right"/>
              <w:rPr/>
            </w:pPr>
            <w:r>
              <w:rPr/>
              <w:t> </w:t>
            </w:r>
          </w:p>
        </w:tc>
        <w:tc>
          <w:tcPr>
            <w:tcW w:w="96" w:type="dxa"/>
            <w:tcBorders/>
            <w:vAlign w:val="bottom"/>
          </w:tcPr>
          <w:p>
            <w:pPr>
              <w:pStyle w:val="TableContents"/>
              <w:bidi w:val="0"/>
              <w:spacing w:before="0" w:after="283"/>
              <w:jc w:val="left"/>
              <w:rPr/>
            </w:pPr>
            <w:r>
              <w:rPr/>
              <w:t> </w:t>
            </w:r>
          </w:p>
        </w:tc>
      </w:tr>
      <w:tr>
        <w:trPr/>
        <w:tc>
          <w:tcPr>
            <w:tcW w:w="6890"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Unrealized gain (loss) on RMBS, available-for-sale, net</w:t>
            </w:r>
          </w:p>
        </w:tc>
        <w:tc>
          <w:tcPr>
            <w:tcW w:w="60" w:type="dxa"/>
            <w:tcBorders/>
            <w:shd w:fill="CCEEFF" w:val="clear"/>
            <w:vAlign w:val="bottom"/>
          </w:tcPr>
          <w:p>
            <w:pPr>
              <w:pStyle w:val="TableContents"/>
              <w:bidi w:val="0"/>
              <w:spacing w:before="0" w:after="283"/>
              <w:jc w:val="left"/>
              <w:rPr/>
            </w:pPr>
            <w:r>
              <w:rPr/>
              <w:t> </w:t>
            </w:r>
          </w:p>
        </w:tc>
        <w:tc>
          <w:tcPr>
            <w:tcW w:w="25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(2,442</w:t>
            </w:r>
          </w:p>
        </w:tc>
        <w:tc>
          <w:tcPr>
            <w:tcW w:w="9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0" w:type="dxa"/>
            <w:tcBorders/>
            <w:shd w:fill="CCEEFF" w:val="clear"/>
            <w:vAlign w:val="bottom"/>
          </w:tcPr>
          <w:p>
            <w:pPr>
              <w:pStyle w:val="TableContents"/>
              <w:bidi w:val="0"/>
              <w:spacing w:before="0" w:after="283"/>
              <w:jc w:val="left"/>
              <w:rPr/>
            </w:pPr>
            <w:r>
              <w:rPr/>
              <w:t> </w:t>
            </w:r>
          </w:p>
        </w:tc>
        <w:tc>
          <w:tcPr>
            <w:tcW w:w="30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3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1,173</w:t>
            </w:r>
          </w:p>
        </w:tc>
        <w:tc>
          <w:tcPr>
            <w:tcW w:w="96" w:type="dxa"/>
            <w:tcBorders/>
            <w:shd w:fill="CCEEFF" w:val="clear"/>
            <w:vAlign w:val="bottom"/>
          </w:tcPr>
          <w:p>
            <w:pPr>
              <w:pStyle w:val="TableContents"/>
              <w:bidi w:val="0"/>
              <w:spacing w:before="0" w:after="283"/>
              <w:jc w:val="left"/>
              <w:rPr/>
            </w:pPr>
            <w:r>
              <w:rPr/>
              <w:t> </w:t>
            </w:r>
          </w:p>
        </w:tc>
      </w:tr>
      <w:tr>
        <w:trPr/>
        <w:tc>
          <w:tcPr>
            <w:tcW w:w="689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Net other comprehensive income (loss)</w:t>
            </w:r>
          </w:p>
        </w:tc>
        <w:tc>
          <w:tcPr>
            <w:tcW w:w="60" w:type="dxa"/>
            <w:tcBorders/>
            <w:vAlign w:val="bottom"/>
          </w:tcPr>
          <w:p>
            <w:pPr>
              <w:pStyle w:val="TableContents"/>
              <w:bidi w:val="0"/>
              <w:spacing w:before="0" w:after="283"/>
              <w:jc w:val="left"/>
              <w:rPr/>
            </w:pPr>
            <w:r>
              <w:rPr/>
              <w:t> </w:t>
            </w:r>
          </w:p>
        </w:tc>
        <w:tc>
          <w:tcPr>
            <w:tcW w:w="252"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(2,442</w:t>
            </w:r>
          </w:p>
        </w:tc>
        <w:tc>
          <w:tcPr>
            <w:tcW w:w="9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0" w:type="dxa"/>
            <w:tcBorders/>
            <w:vAlign w:val="bottom"/>
          </w:tcPr>
          <w:p>
            <w:pPr>
              <w:pStyle w:val="TableContents"/>
              <w:bidi w:val="0"/>
              <w:spacing w:before="0" w:after="283"/>
              <w:jc w:val="left"/>
              <w:rPr/>
            </w:pPr>
            <w:r>
              <w:rPr/>
              <w:t> </w:t>
            </w:r>
          </w:p>
        </w:tc>
        <w:tc>
          <w:tcPr>
            <w:tcW w:w="305" w:type="dxa"/>
            <w:tcBorders>
              <w:bottom w:val="single" w:sz="12" w:space="0" w:color="000000"/>
            </w:tcBorders>
            <w:tcMar>
              <w:bottom w:w="28" w:type="dxa"/>
            </w:tcMar>
            <w:vAlign w:val="bottom"/>
          </w:tcPr>
          <w:p>
            <w:pPr>
              <w:pStyle w:val="TableContents"/>
              <w:bidi w:val="0"/>
              <w:spacing w:before="0" w:after="283"/>
              <w:jc w:val="left"/>
              <w:rPr/>
            </w:pPr>
            <w:r>
              <w:rPr/>
              <w:t> </w:t>
            </w:r>
          </w:p>
        </w:tc>
        <w:tc>
          <w:tcPr>
            <w:tcW w:w="133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1,173</w:t>
            </w:r>
          </w:p>
        </w:tc>
        <w:tc>
          <w:tcPr>
            <w:tcW w:w="96" w:type="dxa"/>
            <w:tcBorders/>
            <w:vAlign w:val="bottom"/>
          </w:tcPr>
          <w:p>
            <w:pPr>
              <w:pStyle w:val="TableContents"/>
              <w:bidi w:val="0"/>
              <w:spacing w:before="0" w:after="283"/>
              <w:jc w:val="left"/>
              <w:rPr/>
            </w:pPr>
            <w:r>
              <w:rPr/>
              <w:t> </w:t>
            </w:r>
          </w:p>
        </w:tc>
      </w:tr>
      <w:tr>
        <w:trPr/>
        <w:tc>
          <w:tcPr>
            <w:tcW w:w="6890" w:type="dxa"/>
            <w:tcBorders/>
            <w:shd w:fill="CCEEFF" w:val="clear"/>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Comprehensive income (loss)</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103"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(2,013</w:t>
            </w:r>
          </w:p>
        </w:tc>
        <w:tc>
          <w:tcPr>
            <w:tcW w:w="9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7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33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9,031</w:t>
            </w:r>
          </w:p>
        </w:tc>
        <w:tc>
          <w:tcPr>
            <w:tcW w:w="96" w:type="dxa"/>
            <w:tcBorders/>
            <w:shd w:fill="CCEEFF" w:val="clear"/>
            <w:vAlign w:val="bottom"/>
          </w:tcPr>
          <w:p>
            <w:pPr>
              <w:pStyle w:val="TableContents"/>
              <w:bidi w:val="0"/>
              <w:spacing w:before="0" w:after="283"/>
              <w:jc w:val="left"/>
              <w:rPr/>
            </w:pPr>
            <w:r>
              <w:rPr/>
              <w:t> </w:t>
            </w:r>
          </w:p>
        </w:tc>
      </w:tr>
      <w:tr>
        <w:trPr/>
        <w:tc>
          <w:tcPr>
            <w:tcW w:w="689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Comprehensive (income) loss attributable to noncontrolling interests in Operating Partnership</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29</w:t>
            </w:r>
          </w:p>
        </w:tc>
        <w:tc>
          <w:tcPr>
            <w:tcW w:w="9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33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(142</w:t>
            </w:r>
          </w:p>
        </w:tc>
        <w:tc>
          <w:tcPr>
            <w:tcW w:w="9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89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Dividends on preferred stock</w:t>
            </w:r>
          </w:p>
        </w:tc>
        <w:tc>
          <w:tcPr>
            <w:tcW w:w="60" w:type="dxa"/>
            <w:tcBorders/>
            <w:shd w:fill="CCEEFF" w:val="clear"/>
            <w:vAlign w:val="bottom"/>
          </w:tcPr>
          <w:p>
            <w:pPr>
              <w:pStyle w:val="TableContents"/>
              <w:bidi w:val="0"/>
              <w:spacing w:before="0" w:after="283"/>
              <w:jc w:val="left"/>
              <w:rPr/>
            </w:pPr>
            <w:r>
              <w:rPr/>
              <w:t> </w:t>
            </w:r>
          </w:p>
        </w:tc>
        <w:tc>
          <w:tcPr>
            <w:tcW w:w="25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(2,391</w:t>
            </w:r>
          </w:p>
        </w:tc>
        <w:tc>
          <w:tcPr>
            <w:tcW w:w="9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0" w:type="dxa"/>
            <w:tcBorders/>
            <w:shd w:fill="CCEEFF" w:val="clear"/>
            <w:vAlign w:val="bottom"/>
          </w:tcPr>
          <w:p>
            <w:pPr>
              <w:pStyle w:val="TableContents"/>
              <w:bidi w:val="0"/>
              <w:spacing w:before="0" w:after="283"/>
              <w:jc w:val="left"/>
              <w:rPr/>
            </w:pPr>
            <w:r>
              <w:rPr/>
              <w:t> </w:t>
            </w:r>
          </w:p>
        </w:tc>
        <w:tc>
          <w:tcPr>
            <w:tcW w:w="30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3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(2,436</w:t>
            </w:r>
          </w:p>
        </w:tc>
        <w:tc>
          <w:tcPr>
            <w:tcW w:w="9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890" w:type="dxa"/>
            <w:tcBorders/>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Comprehensive income (loss) attributable to common stockholders</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103"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(4,375</w:t>
            </w:r>
          </w:p>
        </w:tc>
        <w:tc>
          <w:tcPr>
            <w:tcW w:w="9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7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335"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6,453</w:t>
            </w:r>
          </w:p>
        </w:tc>
        <w:tc>
          <w:tcPr>
            <w:tcW w:w="96"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HorizontalLine"/>
        <w:pBdr>
          <w:bottom w:val="single" w:sz="12" w:space="0" w:color="808080"/>
        </w:pBdr>
        <w:bidi w:val="0"/>
        <w:jc w:val="both"/>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Dollar amounts in thousands.</w:t>
      </w:r>
      <w:bookmarkStart w:id="20" w:name="RANGEB8%3AE14"/>
      <w:bookmarkEnd w:id="20"/>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Portfolio Highlights for the Quarter Ended March 31, 2026</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Company realized net servicing fee income of $7.9 million, net interest income of $4.5 million and other loss of $7.7 million, primarily related to an unrealized loss on RMBS and an unrealized loss on investments in Servicing Related Assets, partially offset by an unrealized gain on derivatives. The unpaid principal balance for the MSR portfolio stood at $15.6 billion as of March 31, 2026 and the carrying value of the MSR portfolio ended the quarter at $213.5 million. Net interest spread for the RMBS portfolio stood at 2.90% and the debt-to-equity ratio on the aggregate portfolio ended the quarter at 5.5x.</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RMBS portfolio had a book value and carrying value of approximately $1.2 billion at quarter-end March 31, 2026.  The portfolio had a weighted average coupon of 4.98% and weighted average maturity of 27 years.</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 order to mitigate duration risk and interest rate risk associated with the Company’s RMBS and MSRs, Cherry Hill used interest rate swaps, TBAs, Treasury futures and Eris SOFR swap futures. At quarter end March 31, 2026, the Company held interest rate swaps with a notional amount of $833.7 million, TBAs with a notional amount of ($384.3) million, Treasury futures with a notional amount of $6.0 million and Eris SOFR swap futures with a notional amount of ($59.5) million.</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As of March 31, 2026, Cherry Hill’s GAAP book value was $3.23 per diluted share, net of the first quarter dividend.</w:t>
      </w:r>
    </w:p>
    <w:p>
      <w:pPr>
        <w:pStyle w:val="TextBody"/>
        <w:bidi w:val="0"/>
        <w:spacing w:before="0" w:after="0"/>
        <w:jc w:val="left"/>
        <w:rPr>
          <w:sz w:val="20"/>
        </w:rPr>
      </w:pPr>
      <w:r>
        <w:rPr>
          <w:sz w:val="20"/>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Dividends</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On March 12, 2026, the Board of Directors declared a quarterly dividend of $0.10 per share of common stock for the first quarter of 2026. The dividend was paid in cash on April 30, 2026 to common stockholders of record as of the close of business on March 31, 2026. Additionally, the Board of Directors declared a dividend of $0.5125 per share on the Company’s 8.20% Series A Cumulative Redeemable Preferred Stock and a dividend of $0.5978 per share on the Company’s 8.250% Series B Fixed-to-Floating Rate Cumulative Redeemable Preferred Stock for the first quarter 2026. The dividends were paid in cash on April 15, 2026 to Series A and B Preferred stockholders of record as of the close of business on March 31, 2026.</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Earnings Available for Distribution</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Earnings available for distribution (“EAD”) is a non-GAAP financial measure that we define as GAAP net income (loss), excluding realized gain (loss) on RMBS, unrealized gain (loss) on RMBS measured at fair value through earnings, realized and unrealized gain (loss) on derivatives, realized gain (loss) on acquired assets, realized and unrealized gain (loss) on investments in MSRs (net of any estimated MSR amortization) and any tax expense (benefit) on realized and unrealized gain (loss) on MSRs. MSR amortization refers to the portion of the change in fair value of the MSR that is primarily due to the realization of cashflows, runoff resulting from prepayments and an adjustment for any gain or loss on the capital used to purchase the MSR. EAD also includes interest rate swap periodic interest income (expense) and drop income on TBA dollar roll transactions, which are included in “Realized gain (loss) on derivatives, net” on the consolidated statements of income (loss). EAD is adjusted to exclude outstanding LTIP-OP Units in our Operating Partnership and dividends paid on our preferred stock.</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EAD is provided for purposes of potential comparability to other issuers that invest in residential mortgage-related assets. We believe providing investors with EAD, in addition to related GAAP financial measures, may provide investors some insight into our ongoing operational performance. However, the concept of EAD does have significant limitations, including the exclusion of realized and unrealized gains (losses), and given the apparent lack of a consistent methodology among issuers for defining EAD, it may not be comparable to similarly titled measures of other issuers, which define EAD differently from us and each other. As a result, EAD should not be considered a substitute for our GAAP net income (loss) or as a measure of our liquidity. While EAD is one indicia of the Company’s earnings capacity, it is not the only factor considered in setting a dividend and is not the same as REIT taxable income which is calculated in accordance with the rules of the IRS.</w:t>
      </w:r>
    </w:p>
    <w:p>
      <w:pPr>
        <w:pStyle w:val="TextBody"/>
        <w:bidi w:val="0"/>
        <w:spacing w:before="0" w:after="0"/>
        <w:jc w:val="left"/>
        <w:rPr>
          <w:sz w:val="20"/>
        </w:rPr>
      </w:pPr>
      <w:r>
        <w:rPr>
          <w:sz w:val="20"/>
        </w:rPr>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following table provides a reconciliation of net income to EAD for the three months ended March 31, 2026 and December 31, 2025.</w:t>
      </w:r>
    </w:p>
    <w:p>
      <w:pPr>
        <w:pStyle w:val="TextBody"/>
        <w:bidi w:val="0"/>
        <w:spacing w:before="0" w:after="0"/>
        <w:jc w:val="both"/>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21" w:name="zac9d728fb23841aabbe5ead6ac40ae7a"/>
      <w:bookmarkStart w:id="22" w:name="zac9d728fb23841aabbe5ead6ac40ae7a"/>
      <w:bookmarkEnd w:id="22"/>
    </w:p>
    <w:tbl>
      <w:tblPr>
        <w:tblW w:w="8761" w:type="dxa"/>
        <w:jc w:val="left"/>
        <w:tblInd w:w="0" w:type="dxa"/>
        <w:tblLayout w:type="fixed"/>
        <w:tblCellMar>
          <w:top w:w="0" w:type="dxa"/>
          <w:left w:w="0" w:type="dxa"/>
          <w:bottom w:w="0" w:type="dxa"/>
          <w:right w:w="0" w:type="dxa"/>
        </w:tblCellMar>
      </w:tblPr>
      <w:tblGrid>
        <w:gridCol w:w="6290"/>
        <w:gridCol w:w="60"/>
        <w:gridCol w:w="170"/>
        <w:gridCol w:w="809"/>
        <w:gridCol w:w="93"/>
        <w:gridCol w:w="70"/>
        <w:gridCol w:w="218"/>
        <w:gridCol w:w="956"/>
        <w:gridCol w:w="95"/>
      </w:tblGrid>
      <w:tr>
        <w:trPr/>
        <w:tc>
          <w:tcPr>
            <w:tcW w:w="6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6"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Three Months Ended</w:t>
            </w:r>
          </w:p>
        </w:tc>
        <w:tc>
          <w:tcPr>
            <w:tcW w:w="95" w:type="dxa"/>
            <w:tcBorders/>
            <w:vAlign w:val="bottom"/>
          </w:tcPr>
          <w:p>
            <w:pPr>
              <w:pStyle w:val="TableContents"/>
              <w:bidi w:val="0"/>
              <w:spacing w:before="0" w:after="283"/>
              <w:jc w:val="left"/>
              <w:rPr/>
            </w:pPr>
            <w:r>
              <w:rPr/>
              <w:t> </w:t>
            </w:r>
          </w:p>
        </w:tc>
      </w:tr>
      <w:tr>
        <w:trPr/>
        <w:tc>
          <w:tcPr>
            <w:tcW w:w="6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March 31,</w:t>
            </w:r>
          </w:p>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9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December 31,</w:t>
            </w:r>
          </w:p>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95" w:type="dxa"/>
            <w:tcBorders/>
            <w:vAlign w:val="bottom"/>
          </w:tcPr>
          <w:p>
            <w:pPr>
              <w:pStyle w:val="TableContents"/>
              <w:bidi w:val="0"/>
              <w:spacing w:before="0" w:after="283"/>
              <w:jc w:val="left"/>
              <w:rPr/>
            </w:pPr>
            <w:r>
              <w:rPr/>
              <w:t> </w:t>
            </w:r>
          </w:p>
        </w:tc>
      </w:tr>
      <w:tr>
        <w:trPr/>
        <w:tc>
          <w:tcPr>
            <w:tcW w:w="6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9"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(unaudited)</w:t>
            </w:r>
          </w:p>
        </w:tc>
        <w:tc>
          <w:tcPr>
            <w:tcW w:w="9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174"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(unaudited)</w:t>
            </w:r>
          </w:p>
        </w:tc>
        <w:tc>
          <w:tcPr>
            <w:tcW w:w="95" w:type="dxa"/>
            <w:tcBorders/>
            <w:vAlign w:val="bottom"/>
          </w:tcPr>
          <w:p>
            <w:pPr>
              <w:pStyle w:val="TableContents"/>
              <w:bidi w:val="0"/>
              <w:spacing w:before="0" w:after="283"/>
              <w:jc w:val="left"/>
              <w:rPr/>
            </w:pPr>
            <w:r>
              <w:rPr/>
              <w:t> </w:t>
            </w:r>
          </w:p>
        </w:tc>
      </w:tr>
      <w:tr>
        <w:trPr/>
        <w:tc>
          <w:tcPr>
            <w:tcW w:w="629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Net Income</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429</w:t>
            </w:r>
          </w:p>
        </w:tc>
        <w:tc>
          <w:tcPr>
            <w:tcW w:w="9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7,858</w:t>
            </w:r>
          </w:p>
        </w:tc>
        <w:tc>
          <w:tcPr>
            <w:tcW w:w="95" w:type="dxa"/>
            <w:tcBorders/>
            <w:shd w:fill="CCEEFF" w:val="clear"/>
            <w:vAlign w:val="bottom"/>
          </w:tcPr>
          <w:p>
            <w:pPr>
              <w:pStyle w:val="TableContents"/>
              <w:bidi w:val="0"/>
              <w:spacing w:before="0" w:after="283"/>
              <w:jc w:val="left"/>
              <w:rPr/>
            </w:pPr>
            <w:r>
              <w:rPr/>
              <w:t> </w:t>
            </w:r>
          </w:p>
        </w:tc>
      </w:tr>
      <w:tr>
        <w:trPr/>
        <w:tc>
          <w:tcPr>
            <w:tcW w:w="6290" w:type="dxa"/>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Realized loss on derivatives, net ¹</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4,297</w:t>
            </w:r>
          </w:p>
        </w:tc>
        <w:tc>
          <w:tcPr>
            <w:tcW w:w="9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95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6,497</w:t>
            </w:r>
          </w:p>
        </w:tc>
        <w:tc>
          <w:tcPr>
            <w:tcW w:w="95" w:type="dxa"/>
            <w:tcBorders/>
            <w:vAlign w:val="bottom"/>
          </w:tcPr>
          <w:p>
            <w:pPr>
              <w:pStyle w:val="TableContents"/>
              <w:bidi w:val="0"/>
              <w:spacing w:before="0" w:after="283"/>
              <w:jc w:val="left"/>
              <w:rPr/>
            </w:pPr>
            <w:r>
              <w:rPr/>
              <w:t> </w:t>
            </w:r>
          </w:p>
        </w:tc>
      </w:tr>
      <w:tr>
        <w:trPr/>
        <w:tc>
          <w:tcPr>
            <w:tcW w:w="6290"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Unrealized loss (gain) on RMBS, measured at fair value through earnings, net</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12,436</w:t>
            </w:r>
          </w:p>
        </w:tc>
        <w:tc>
          <w:tcPr>
            <w:tcW w:w="9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95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(6,560</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290" w:type="dxa"/>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Unrealized loss (gain) on derivatives, net</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(6,121</w:t>
            </w:r>
          </w:p>
        </w:tc>
        <w:tc>
          <w:tcPr>
            <w:tcW w:w="9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95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361</w:t>
            </w:r>
          </w:p>
        </w:tc>
        <w:tc>
          <w:tcPr>
            <w:tcW w:w="95" w:type="dxa"/>
            <w:tcBorders/>
            <w:vAlign w:val="bottom"/>
          </w:tcPr>
          <w:p>
            <w:pPr>
              <w:pStyle w:val="TableContents"/>
              <w:bidi w:val="0"/>
              <w:spacing w:before="0" w:after="283"/>
              <w:jc w:val="left"/>
              <w:rPr/>
            </w:pPr>
            <w:r>
              <w:rPr/>
              <w:t> </w:t>
            </w:r>
          </w:p>
        </w:tc>
      </w:tr>
      <w:tr>
        <w:trPr/>
        <w:tc>
          <w:tcPr>
            <w:tcW w:w="6290"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Unrealized gain on investments in MSRs, net of estimated MSR amortization</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(4,981</w:t>
            </w:r>
          </w:p>
        </w:tc>
        <w:tc>
          <w:tcPr>
            <w:tcW w:w="9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95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(3,053</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290" w:type="dxa"/>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Tax expense on realized and unrealized gain on MSRs</w:t>
            </w:r>
          </w:p>
        </w:tc>
        <w:tc>
          <w:tcPr>
            <w:tcW w:w="6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1,704</w:t>
            </w:r>
          </w:p>
        </w:tc>
        <w:tc>
          <w:tcPr>
            <w:tcW w:w="9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218" w:type="dxa"/>
            <w:tcBorders>
              <w:bottom w:val="single" w:sz="12" w:space="0" w:color="000000"/>
            </w:tcBorders>
            <w:tcMar>
              <w:bottom w:w="28" w:type="dxa"/>
            </w:tcMar>
            <w:vAlign w:val="bottom"/>
          </w:tcPr>
          <w:p>
            <w:pPr>
              <w:pStyle w:val="TableContents"/>
              <w:bidi w:val="0"/>
              <w:spacing w:before="0" w:after="283"/>
              <w:jc w:val="left"/>
              <w:rPr/>
            </w:pPr>
            <w:r>
              <w:rPr/>
              <w:t> </w:t>
            </w:r>
          </w:p>
        </w:tc>
        <w:tc>
          <w:tcPr>
            <w:tcW w:w="95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1,307</w:t>
            </w:r>
          </w:p>
        </w:tc>
        <w:tc>
          <w:tcPr>
            <w:tcW w:w="95" w:type="dxa"/>
            <w:tcBorders/>
            <w:vAlign w:val="bottom"/>
          </w:tcPr>
          <w:p>
            <w:pPr>
              <w:pStyle w:val="TableContents"/>
              <w:bidi w:val="0"/>
              <w:spacing w:before="0" w:after="283"/>
              <w:jc w:val="left"/>
              <w:rPr/>
            </w:pPr>
            <w:r>
              <w:rPr/>
              <w:t> </w:t>
            </w:r>
          </w:p>
        </w:tc>
      </w:tr>
      <w:tr>
        <w:trPr/>
        <w:tc>
          <w:tcPr>
            <w:tcW w:w="629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Total EAD:</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0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7,764</w:t>
            </w:r>
          </w:p>
        </w:tc>
        <w:tc>
          <w:tcPr>
            <w:tcW w:w="9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6,410</w:t>
            </w:r>
          </w:p>
        </w:tc>
        <w:tc>
          <w:tcPr>
            <w:tcW w:w="95" w:type="dxa"/>
            <w:tcBorders/>
            <w:shd w:fill="CCEEFF" w:val="clear"/>
            <w:vAlign w:val="bottom"/>
          </w:tcPr>
          <w:p>
            <w:pPr>
              <w:pStyle w:val="TableContents"/>
              <w:bidi w:val="0"/>
              <w:spacing w:before="0" w:after="283"/>
              <w:jc w:val="left"/>
              <w:rPr/>
            </w:pPr>
            <w:r>
              <w:rPr/>
              <w:t> </w:t>
            </w:r>
          </w:p>
        </w:tc>
      </w:tr>
      <w:tr>
        <w:trPr/>
        <w:tc>
          <w:tcPr>
            <w:tcW w:w="629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EAD attributable to noncontrolling interests in Operating Partnership</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(113</w:t>
            </w:r>
          </w:p>
        </w:tc>
        <w:tc>
          <w:tcPr>
            <w:tcW w:w="9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95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(92</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29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Dividends on preferred stock</w:t>
            </w:r>
          </w:p>
        </w:tc>
        <w:tc>
          <w:tcPr>
            <w:tcW w:w="6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(2,391</w:t>
            </w:r>
          </w:p>
        </w:tc>
        <w:tc>
          <w:tcPr>
            <w:tcW w:w="9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0" w:type="dxa"/>
            <w:tcBorders/>
            <w:shd w:fill="CCEEFF" w:val="clear"/>
            <w:vAlign w:val="bottom"/>
          </w:tcPr>
          <w:p>
            <w:pPr>
              <w:pStyle w:val="TableContents"/>
              <w:bidi w:val="0"/>
              <w:spacing w:before="0" w:after="283"/>
              <w:jc w:val="left"/>
              <w:rPr/>
            </w:pPr>
            <w:r>
              <w:rPr/>
              <w:t> </w:t>
            </w:r>
          </w:p>
        </w:tc>
        <w:tc>
          <w:tcPr>
            <w:tcW w:w="21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(2,436</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290" w:type="dxa"/>
            <w:tcBorders/>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EAD Attributable to Common Stockholders</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809" w:type="dxa"/>
            <w:tcBorders/>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5,260</w:t>
            </w:r>
          </w:p>
        </w:tc>
        <w:tc>
          <w:tcPr>
            <w:tcW w:w="9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956" w:type="dxa"/>
            <w:tcBorders/>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3,882</w:t>
            </w:r>
          </w:p>
        </w:tc>
        <w:tc>
          <w:tcPr>
            <w:tcW w:w="95" w:type="dxa"/>
            <w:tcBorders/>
            <w:vAlign w:val="bottom"/>
          </w:tcPr>
          <w:p>
            <w:pPr>
              <w:pStyle w:val="TableContents"/>
              <w:bidi w:val="0"/>
              <w:spacing w:before="0" w:after="283"/>
              <w:jc w:val="left"/>
              <w:rPr/>
            </w:pPr>
            <w:r>
              <w:rPr/>
              <w:t> </w:t>
            </w:r>
          </w:p>
        </w:tc>
      </w:tr>
      <w:tr>
        <w:trPr/>
        <w:tc>
          <w:tcPr>
            <w:tcW w:w="6290" w:type="dxa"/>
            <w:tcBorders/>
            <w:shd w:fill="CCEEFF" w:val="clear"/>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EAD Attributable to Common Stockholders, per Diluted Share</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809"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0.14</w:t>
            </w:r>
          </w:p>
        </w:tc>
        <w:tc>
          <w:tcPr>
            <w:tcW w:w="9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56"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0.11</w:t>
            </w:r>
          </w:p>
        </w:tc>
        <w:tc>
          <w:tcPr>
            <w:tcW w:w="95" w:type="dxa"/>
            <w:tcBorders/>
            <w:shd w:fill="CCEEFF" w:val="clear"/>
            <w:vAlign w:val="bottom"/>
          </w:tcPr>
          <w:p>
            <w:pPr>
              <w:pStyle w:val="TableContents"/>
              <w:bidi w:val="0"/>
              <w:spacing w:before="0" w:after="283"/>
              <w:jc w:val="left"/>
              <w:rPr/>
            </w:pPr>
            <w:r>
              <w:rPr/>
              <w:t> </w:t>
            </w:r>
          </w:p>
        </w:tc>
      </w:tr>
      <w:tr>
        <w:trPr/>
        <w:tc>
          <w:tcPr>
            <w:tcW w:w="6290" w:type="dxa"/>
            <w:tcBorders/>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GAAP Net Income (Loss) Per Share of Common Stock, per Diluted Share</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809" w:type="dxa"/>
            <w:tcBorders/>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(0.05</w:t>
            </w:r>
          </w:p>
        </w:tc>
        <w:tc>
          <w:tcPr>
            <w:tcW w:w="93"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7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956" w:type="dxa"/>
            <w:tcBorders/>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0.14</w:t>
            </w:r>
          </w:p>
        </w:tc>
        <w:tc>
          <w:tcPr>
            <w:tcW w:w="95" w:type="dxa"/>
            <w:tcBorders/>
            <w:vAlign w:val="bottom"/>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HorizontalLine"/>
        <w:pBdr>
          <w:bottom w:val="single" w:sz="12" w:space="0" w:color="808080"/>
        </w:pBdr>
        <w:bidi w:val="0"/>
        <w:jc w:val="both"/>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Dollar amounts in thousands, except per share amounts.</w:t>
      </w:r>
    </w:p>
    <w:p>
      <w:pPr>
        <w:pStyle w:val="Normal"/>
        <w:bidi w:val="0"/>
        <w:spacing w:before="0" w:after="0"/>
        <w:jc w:val="left"/>
        <w:rPr>
          <w:sz w:val="4"/>
          <w:szCs w:val="4"/>
        </w:rPr>
      </w:pPr>
      <w:r>
        <w:rPr>
          <w:sz w:val="4"/>
          <w:szCs w:val="4"/>
        </w:rPr>
      </w:r>
      <w:bookmarkStart w:id="23" w:name="z66f8e9f3c59747609ff5f6bb44dc7d7a"/>
      <w:bookmarkStart w:id="24" w:name="z66f8e9f3c59747609ff5f6bb44dc7d7a"/>
      <w:bookmarkEnd w:id="24"/>
    </w:p>
    <w:tbl>
      <w:tblPr>
        <w:tblW w:w="10205" w:type="dxa"/>
        <w:jc w:val="left"/>
        <w:tblInd w:w="0" w:type="dxa"/>
        <w:tblLayout w:type="fixed"/>
        <w:tblCellMar>
          <w:top w:w="0" w:type="dxa"/>
          <w:left w:w="0" w:type="dxa"/>
          <w:bottom w:w="0" w:type="dxa"/>
          <w:right w:w="0" w:type="dxa"/>
        </w:tblCellMar>
      </w:tblPr>
      <w:tblGrid>
        <w:gridCol w:w="75"/>
        <w:gridCol w:w="164"/>
        <w:gridCol w:w="9966"/>
      </w:tblGrid>
      <w:tr>
        <w:trPr/>
        <w:tc>
          <w:tcPr>
            <w:tcW w:w="75"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jc w:val="left"/>
              <w:rPr>
                <w:rFonts w:ascii="Times New Roman" w:hAnsi="Times New Roman"/>
              </w:rPr>
            </w:pPr>
            <w:r>
              <w:rPr>
                <w:rFonts w:ascii="Times New Roman" w:hAnsi="Times New Roman"/>
              </w:rPr>
              <w:t>1.</w:t>
            </w:r>
          </w:p>
        </w:tc>
        <w:tc>
          <w:tcPr>
            <w:tcW w:w="9966" w:type="dxa"/>
            <w:tcBorders/>
            <w:vAlign w:val="center"/>
          </w:tcPr>
          <w:p>
            <w:pPr>
              <w:pStyle w:val="TableContents"/>
              <w:bidi w:val="0"/>
              <w:spacing w:before="0" w:after="0"/>
              <w:jc w:val="both"/>
              <w:rPr>
                <w:rFonts w:ascii="Times New Roman" w:hAnsi="Times New Roman"/>
              </w:rPr>
            </w:pPr>
            <w:r>
              <w:rPr>
                <w:rFonts w:ascii="Times New Roman" w:hAnsi="Times New Roman"/>
              </w:rPr>
              <w:t>Excludes drop income on TBA dollar rolls of $419,000 and $167,000 and interest rate swap periodic interest income of $3.8 million and $4.4 million for the three-month periods ended March 31, 2026 and December 31, 2025, respectively.</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Additional Information</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Additional information regarding Cherry Hill’s financial condition and results of operations will be available in its Quarterly Report on Form 10-Q for the quarter ended March 31, 2026, which will be filed with the Securities and Exchange Commission. In addition, an investor presentation with supplemental information regarding Cherry Hill, its business and its financial condition as of March 31, 2026 and its results of operations for the quarter ended March 31, 2026 will be posted to the Investor Relations section of Cherry Hill’s website, www.chmireit.com. Cherry Hill will discuss the investor presentation on the conference call referenced below.</w:t>
      </w:r>
    </w:p>
    <w:p>
      <w:pPr>
        <w:pStyle w:val="TextBody"/>
        <w:bidi w:val="0"/>
        <w:spacing w:before="0" w:after="0"/>
        <w:jc w:val="left"/>
        <w:rPr>
          <w:sz w:val="20"/>
        </w:rPr>
      </w:pPr>
      <w:r>
        <w:rPr>
          <w:sz w:val="20"/>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Webcast and Conference Call</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Company’s management will host a conference call today at 5:00 pm Eastern Time. A copy of this earnings release and the investor presentation referenced above will be posted to the Investor Relations section of Cherry Hill’s website, www.chmireit.com. All interested parties are welcome to participate on the live call.</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bookmarkStart w:id="25" w:name="z_Hlk117280831"/>
      <w:bookmarkEnd w:id="25"/>
      <w:r>
        <w:rPr>
          <w:rFonts w:ascii="Times New Roman" w:hAnsi="Times New Roman"/>
          <w:color w:val="000000"/>
          <w:sz w:val="20"/>
        </w:rPr>
        <w:t>A live webcast of the conference call will be available in the investor relations section of the Company’s website at www.chmireit.com. To listen to the live broadcast, go to the site at least 15 minutes prior to the scheduled start time in order to register, download and install any necessary audio software. An online archive of the webcast will be available on the Company’s website for one year following the call.</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To Participate in the Telephone Conference Call:</w:t>
      </w:r>
    </w:p>
    <w:p>
      <w:pPr>
        <w:pStyle w:val="TextBody"/>
        <w:bidi w:val="0"/>
        <w:spacing w:before="0" w:after="0"/>
        <w:jc w:val="both"/>
        <w:rPr>
          <w:rFonts w:ascii="Times New Roman" w:hAnsi="Times New Roman"/>
          <w:color w:val="000000"/>
          <w:sz w:val="20"/>
        </w:rPr>
      </w:pPr>
      <w:bookmarkStart w:id="26" w:name="z_Hlk117280848"/>
      <w:bookmarkEnd w:id="26"/>
      <w:r>
        <w:rPr>
          <w:rFonts w:ascii="Times New Roman" w:hAnsi="Times New Roman"/>
          <w:color w:val="000000"/>
          <w:sz w:val="20"/>
        </w:rPr>
        <w:t xml:space="preserve">Participants may register for the conference call </w:t>
      </w:r>
      <w:r>
        <w:rPr>
          <w:rFonts w:ascii="Times New Roman" w:hAnsi="Times New Roman"/>
          <w:color w:val="000000"/>
          <w:sz w:val="20"/>
          <w:u w:val="single"/>
        </w:rPr>
        <w:t>here</w:t>
      </w:r>
      <w:r>
        <w:rPr>
          <w:rFonts w:ascii="Times New Roman" w:hAnsi="Times New Roman"/>
          <w:color w:val="000000"/>
          <w:sz w:val="20"/>
        </w:rPr>
        <w:t>. Once registered, dial-in information for the call will be made available.</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About Cherry Hill Mortgage Investment Corporation</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Cherry Hill Mortgage Investment Corporation is a real estate finance company that acquires, invests in and manages residential mortgage assets in the United States. For additional information, visit www.chmireit.com.</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press release contains forward looking statements within the meaning of the Private Securities Litigation Reform Act of 1995 and other federal securities laws, including, among others, statements relating to the Company’s long-term growth opportunities and strategies and the Company’s ability to expand its market opportunities and create its own Excess MSRs and its ability to generate sustainable and attractive risk-adjusted returns for stockholders. These forward-looking statements are based upon the Company’s present expectations, but these statements are not guaranteed to occur. For a description of factors that may cause the Company’s actual results or performance to differ from its forward-looking statements, please review the information under the heading “Risk Factors” included in the Company's Annual Report on Form 10-K for the year ended December 31, 2025, and other documents filed by the Company with the Securities and Exchange Commission.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Contact: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Cherry Hill Mortgage Investment Corporation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Investor Relations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(877) 870-7005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InvestorRelations@chmireit.com</w:t>
      </w:r>
    </w:p>
    <w:p>
      <w:pPr>
        <w:pStyle w:val="TextBody"/>
        <w:bidi w:val="0"/>
        <w:spacing w:before="0" w:after="0"/>
        <w:jc w:val="left"/>
        <w:rPr>
          <w:color w:val="000000"/>
        </w:rPr>
      </w:pPr>
      <w:r>
        <w:rPr>
          <w:color w:val="000000"/>
        </w:rPr>
        <w:t> </w:t>
      </w:r>
    </w:p>
    <w:p>
      <w:pPr>
        <w:pStyle w:val="TextBody"/>
        <w:bidi w:val="0"/>
        <w:spacing w:before="0" w:after="0"/>
        <w:jc w:val="left"/>
        <w:rPr>
          <w:sz w:val="20"/>
        </w:rPr>
      </w:pPr>
      <w:r>
        <w:rPr>
          <w:sz w:val="20"/>
        </w:rPr>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2553</Words>
  <Characters>13854</Characters>
  <CharactersWithSpaces>16397</CharactersWithSpaces>
  <Paragraphs>650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