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5099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99685"/>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Healey Susan 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line="280" w:lineRule="auto"/>
        <w:rPr>
          <w:sz w:val="20"/>
          <w:szCs w:val="20"/>
          <w:color w:val="auto"/>
        </w:rPr>
      </w:pPr>
      <w:r>
        <w:rPr>
          <w:rFonts w:ascii="Times New Roman" w:cs="Times New Roman" w:eastAsia="Times New Roman" w:hAnsi="Times New Roman"/>
          <w:sz w:val="17"/>
          <w:szCs w:val="17"/>
          <w:color w:val="0000FF"/>
        </w:rPr>
        <w:t>C/O CHERRY HILL MORTGAGE INVESTMENT CORP</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4000 RTE. 66, SUITE 310</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60" w:type="dxa"/>
            <w:vAlign w:val="bottom"/>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9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TINTON</w:t>
            </w:r>
          </w:p>
        </w:tc>
        <w:tc>
          <w:tcPr>
            <w:tcW w:w="10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NJ</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07753</w:t>
            </w:r>
          </w:p>
        </w:tc>
        <w:tc>
          <w:tcPr>
            <w:tcW w:w="0" w:type="dxa"/>
            <w:vAlign w:val="bottom"/>
          </w:tcPr>
          <w:p>
            <w:pPr>
              <w:spacing w:after="0"/>
              <w:rPr>
                <w:sz w:val="1"/>
                <w:szCs w:val="1"/>
                <w:color w:val="auto"/>
              </w:rPr>
            </w:pPr>
          </w:p>
        </w:tc>
      </w:tr>
      <w:tr>
        <w:trPr>
          <w:trHeight w:val="114"/>
        </w:trPr>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FALLS</w:t>
            </w:r>
          </w:p>
        </w:tc>
        <w:tc>
          <w:tcPr>
            <w:tcW w:w="10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96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Cherry Hill Mortgage Investment Corp </w:t>
              </w:r>
            </w:hyperlink>
            <w:r>
              <w:rPr>
                <w:rFonts w:ascii="Times New Roman" w:cs="Times New Roman" w:eastAsia="Times New Roman" w:hAnsi="Times New Roman"/>
                <w:sz w:val="15"/>
                <w:szCs w:val="15"/>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120" w:type="dxa"/>
            <w:vAlign w:val="bottom"/>
            <w:tcBorders>
              <w:bottom w:val="single" w:sz="8" w:color="0000EE"/>
            </w:tcBorders>
          </w:tcPr>
          <w:p>
            <w:pPr>
              <w:spacing w:after="0"/>
              <w:rPr>
                <w:sz w:val="3"/>
                <w:szCs w:val="3"/>
                <w:color w:val="auto"/>
              </w:rPr>
            </w:pPr>
          </w:p>
        </w:tc>
        <w:tc>
          <w:tcPr>
            <w:tcW w:w="520" w:type="dxa"/>
            <w:vAlign w:val="bottom"/>
          </w:tcPr>
          <w:p>
            <w:pPr>
              <w:spacing w:after="0"/>
              <w:rPr>
                <w:sz w:val="3"/>
                <w:szCs w:val="3"/>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38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 xml:space="preserve">CHMI </w:t>
            </w:r>
            <w:r>
              <w:rPr>
                <w:rFonts w:ascii="Times New Roman" w:cs="Times New Roman" w:eastAsia="Times New Roman" w:hAnsi="Times New Roman"/>
                <w:sz w:val="20"/>
                <w:szCs w:val="20"/>
                <w:color w:val="000000"/>
              </w:rPr>
              <w:t>]</w:t>
            </w:r>
          </w:p>
        </w:tc>
        <w:tc>
          <w:tcPr>
            <w:tcW w:w="18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3820" w:type="dxa"/>
            <w:vAlign w:val="bottom"/>
            <w:gridSpan w:val="4"/>
            <w:vMerge w:val="continue"/>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tcPr>
          <w:p>
            <w:pPr>
              <w:ind w:left="6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34"/>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1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300" w:type="dxa"/>
            <w:vAlign w:val="bottom"/>
            <w:gridSpan w:val="2"/>
            <w:vMerge w:val="restart"/>
          </w:tcPr>
          <w:p>
            <w:pPr>
              <w:ind w:left="660"/>
              <w:spacing w:after="0"/>
              <w:rPr>
                <w:sz w:val="20"/>
                <w:szCs w:val="20"/>
                <w:color w:val="auto"/>
              </w:rPr>
            </w:pPr>
            <w:r>
              <w:rPr>
                <w:rFonts w:ascii="Times New Roman" w:cs="Times New Roman" w:eastAsia="Times New Roman" w:hAnsi="Times New Roman"/>
                <w:sz w:val="17"/>
                <w:szCs w:val="17"/>
                <w:color w:val="0000FF"/>
              </w:rPr>
              <w:t>General Counsel &amp; Secretary</w:t>
            </w:r>
          </w:p>
        </w:tc>
        <w:tc>
          <w:tcPr>
            <w:tcW w:w="0" w:type="dxa"/>
            <w:vAlign w:val="bottom"/>
          </w:tcPr>
          <w:p>
            <w:pPr>
              <w:spacing w:after="0"/>
              <w:rPr>
                <w:sz w:val="1"/>
                <w:szCs w:val="1"/>
                <w:color w:val="auto"/>
              </w:rPr>
            </w:pPr>
          </w:p>
        </w:tc>
      </w:tr>
      <w:tr>
        <w:trPr>
          <w:trHeight w:val="89"/>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0" w:type="dxa"/>
            <w:vAlign w:val="bottom"/>
            <w:gridSpan w:val="2"/>
            <w:vMerge w:val="continue"/>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18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3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02/10/2026</w:t>
            </w:r>
          </w:p>
        </w:tc>
        <w:tc>
          <w:tcPr>
            <w:tcW w:w="5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6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312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33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640" w:space="200"/>
            <w:col w:w="7240"/>
          </w:cols>
          <w:pgMar w:left="460" w:top="217" w:right="359" w:bottom="1440" w:gutter="0" w:footer="0" w:header="0"/>
          <w:type w:val="continuous"/>
        </w:sectPr>
      </w:pPr>
    </w:p>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86"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24,414</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02/10/2026</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24,414</w:t>
            </w: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42" w:lineRule="exact"/>
              <w:rPr>
                <w:sz w:val="20"/>
                <w:szCs w:val="20"/>
                <w:color w:val="auto"/>
              </w:rPr>
            </w:pPr>
            <w:r>
              <w:rPr>
                <w:rFonts w:ascii="Times New Roman" w:cs="Times New Roman" w:eastAsia="Times New Roman" w:hAnsi="Times New Roman"/>
                <w:sz w:val="13"/>
                <w:szCs w:val="13"/>
                <w:color w:val="0000FF"/>
              </w:rPr>
              <w:t>24,414</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$0.01 per</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2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granted restricted stock unit ("RSU") represents the right to receive one share of the Issuer's common stock. Vested RSUs are payable in the form of shares of the Issuer's common stock, delivered to the reporting person no later than sixty days after the date on which vesting occurs, subject to the collection of withholding taxes. Dividend equivalent rights accrue with respect to unvested RSUs in the form of cash, securities, or other property when and as dividends are paid on the Issuer's common stock, and vest on the same date as the RSUs on which they accrue.</w:t>
      </w:r>
    </w:p>
    <w:p>
      <w:pPr>
        <w:spacing w:after="0" w:line="25" w:lineRule="exact"/>
        <w:rPr>
          <w:rFonts w:ascii="Times New Roman" w:cs="Times New Roman" w:eastAsia="Times New Roman" w:hAnsi="Times New Roman"/>
          <w:sz w:val="13"/>
          <w:szCs w:val="13"/>
          <w:color w:val="008000"/>
        </w:rPr>
      </w:pPr>
    </w:p>
    <w:p>
      <w:pPr>
        <w:ind w:left="40" w:right="34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RSUs which vest in full on February 10, 2027, subject to the terms and conditions of the previously disclosed Cherry Hill Mortgage Investment Corporation 2023 Equity Incentive Plan (the "Plan") and the Restricted Stock Unit Agreement entered into between the Issuer and the Reporting Person.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Susan S. Healey</w:t>
            </w:r>
          </w:p>
        </w:tc>
        <w:tc>
          <w:tcPr>
            <w:tcW w:w="90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02/10/2026</w:t>
            </w: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80372" TargetMode="External"/><Relationship Id="rId14" Type="http://schemas.openxmlformats.org/officeDocument/2006/relationships/hyperlink" Target="http://www.sec.gov/cgi-bin/browse-edgar?action=getcompany&amp;CIK=00015717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2026-02-10T17:39:33Z</dcterms:created>
  <dcterms:modified xsi:type="dcterms:W3CDTF">2026-02-10T17:39:33Z</dcterms:modified>
</cp:coreProperties>
</file>