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1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36" w:lineRule="exact"/>
        <w:rPr>
          <w:sz w:val="24"/>
          <w:szCs w:val="24"/>
          <w:color w:val="auto"/>
        </w:rPr>
      </w:pPr>
    </w:p>
    <w:p>
      <w:pPr>
        <w:ind w:left="1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60" w:type="dxa"/>
            <w:vAlign w:val="bottom"/>
          </w:tcPr>
          <w:p>
            <w:pPr>
              <w:jc w:val="center"/>
              <w:ind w:right="2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19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19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1"/>
        </w:trPr>
        <w:tc>
          <w:tcPr>
            <w:tcW w:w="6360" w:type="dxa"/>
            <w:vAlign w:val="bottom"/>
            <w:vMerge w:val="restart"/>
          </w:tcPr>
          <w:p>
            <w:pPr>
              <w:jc w:val="center"/>
              <w:ind w:right="2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5316855</wp:posOffset>
            </wp:positionH>
            <wp:positionV relativeFrom="paragraph">
              <wp:posOffset>-626745</wp:posOffset>
            </wp:positionV>
            <wp:extent cx="58420" cy="640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4022090</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-1584960</wp:posOffset>
            </wp:positionH>
            <wp:positionV relativeFrom="paragraph">
              <wp:posOffset>744855</wp:posOffset>
            </wp:positionV>
            <wp:extent cx="7046595" cy="509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6595" cy="509968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140" w:space="340"/>
            <w:col w:w="86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1">
        <w:r>
          <w:rPr>
            <w:rFonts w:ascii="Times New Roman" w:cs="Times New Roman" w:eastAsia="Times New Roman" w:hAnsi="Times New Roman"/>
            <w:sz w:val="21"/>
            <w:szCs w:val="21"/>
            <w:u w:val="single" w:color="auto"/>
            <w:color w:val="0000EE"/>
          </w:rPr>
          <w:t>Patel Apeksha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4000 ROUTE 66, SUITE 310</w:t>
      </w:r>
    </w:p>
    <w:p>
      <w:pPr>
        <w:spacing w:after="0" w:line="63" w:lineRule="exact"/>
        <w:rPr>
          <w:sz w:val="24"/>
          <w:szCs w:val="24"/>
          <w:color w:val="auto"/>
        </w:rPr>
      </w:pPr>
    </w:p>
    <w:p>
      <w:pPr>
        <w:ind w:left="120"/>
        <w:spacing w:after="0" w:line="280" w:lineRule="auto"/>
        <w:rPr>
          <w:sz w:val="20"/>
          <w:szCs w:val="20"/>
          <w:color w:val="auto"/>
        </w:rPr>
      </w:pPr>
      <w:r>
        <w:rPr>
          <w:rFonts w:ascii="Times New Roman" w:cs="Times New Roman" w:eastAsia="Times New Roman" w:hAnsi="Times New Roman"/>
          <w:sz w:val="17"/>
          <w:szCs w:val="17"/>
          <w:color w:val="0000FF"/>
        </w:rPr>
        <w:t>CHERRY HILL MORTGAGE INVESTMENT CORP</w:t>
      </w: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60" w:type="dxa"/>
            <w:vAlign w:val="bottom"/>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TINTON</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NJ</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07753</w:t>
            </w:r>
          </w:p>
        </w:tc>
        <w:tc>
          <w:tcPr>
            <w:tcW w:w="0" w:type="dxa"/>
            <w:vAlign w:val="bottom"/>
          </w:tcPr>
          <w:p>
            <w:pPr>
              <w:spacing w:after="0"/>
              <w:rPr>
                <w:sz w:val="1"/>
                <w:szCs w:val="1"/>
                <w:color w:val="auto"/>
              </w:rPr>
            </w:pPr>
          </w:p>
        </w:tc>
      </w:tr>
      <w:tr>
        <w:trPr>
          <w:trHeight w:val="114"/>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FALLS</w:t>
            </w:r>
          </w:p>
        </w:tc>
        <w:tc>
          <w:tcPr>
            <w:tcW w:w="10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9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color w:val="0000EE"/>
                </w:rPr>
                <w:t xml:space="preserve">Cherry Hill Mortgage Investment Corp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CHMI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820" w:type="dxa"/>
            <w:vAlign w:val="bottom"/>
            <w:gridSpan w:val="4"/>
            <w:vMerge w:val="continue"/>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59"/>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3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3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04/21/2026</w:t>
            </w:r>
          </w:p>
        </w:tc>
        <w:tc>
          <w:tcPr>
            <w:tcW w:w="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20" w:space="520"/>
            <w:col w:w="7240"/>
          </w:cols>
          <w:pgMar w:left="460" w:top="217"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75,758</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04/21/2026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75,758</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98,091</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granted restricted stock unit ("RSU") represents the right to receive one share of the Issuer's common stock. Vested RSUs are payable in the form of shares of the Issuer's common stock, delivered to the reporting person no later than sixty days after the date on which vesting occurs, subject to the collection of withholding taxes. Dividend equivalent rights accrue with respect to unvested RSUs in the form of cash, securities, or other property when and as dividends are paid on the Issuer's common stock, and are paid or distributed to the reporting person within thirty days of the date that the corresponding dividend payment or distribution is made to shareholders of the company, subject to the collection of withholding taxes.</w:t>
      </w:r>
    </w:p>
    <w:p>
      <w:pPr>
        <w:spacing w:after="0" w:line="26"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RSUs which vest ratable over a three-year period, with one-third vesting on April 21, 2027, one-third on April 21, 2028, and one-third on April 21, 2029, subject to the terms and conditions of the previously disclosed Cherry Hill Mortgage Investment Corporation 2023 Equity Incentive Plan (the "Plan") and the Restricted Stock Unit Agreement entered into between the Issuer and the Reporting Person.</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Apeksha Patel</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04/22/2026</w:t>
            </w:r>
          </w:p>
        </w:tc>
      </w:tr>
      <w:tr>
        <w:trPr>
          <w:trHeight w:val="20"/>
        </w:trPr>
        <w:tc>
          <w:tcPr>
            <w:tcW w:w="11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2073571" TargetMode="External"/><Relationship Id="rId12" Type="http://schemas.openxmlformats.org/officeDocument/2006/relationships/hyperlink" Target="http://www.sec.gov/cgi-bin/browse-edgar?action=getcompany&amp;CIK=0001571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2026-04-23T15:42:45Z</dcterms:created>
  <dcterms:modified xsi:type="dcterms:W3CDTF">2026-04-23T15:42:45Z</dcterms:modified>
</cp:coreProperties>
</file>