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12, 2014</w:t>
      </w:r>
    </w:p>
    <w:p>
      <w:pPr>
        <w:spacing w:after="0" w:line="28"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107950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S-3</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108585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Cherry Hill Mortgage Investment Corporation</w:t>
      </w:r>
    </w:p>
    <w:p>
      <w:pPr>
        <w:spacing w:after="0" w:line="61" w:lineRule="exact"/>
        <w:rPr>
          <w:sz w:val="24"/>
          <w:szCs w:val="24"/>
          <w:color w:val="auto"/>
        </w:rPr>
      </w:pPr>
    </w:p>
    <w:tbl>
      <w:tblPr>
        <w:tblLayout w:type="fixed"/>
        <w:tblInd w:w="210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5380" w:type="dxa"/>
            <w:vAlign w:val="bottom"/>
            <w:gridSpan w:val="3"/>
          </w:tcPr>
          <w:p>
            <w:pPr>
              <w:ind w:left="22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34"/>
        </w:trPr>
        <w:tc>
          <w:tcPr>
            <w:tcW w:w="1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2380" w:type="dxa"/>
            <w:vAlign w:val="bottom"/>
          </w:tcPr>
          <w:p>
            <w:pPr>
              <w:spacing w:after="0"/>
              <w:rPr>
                <w:sz w:val="11"/>
                <w:szCs w:val="11"/>
                <w:color w:val="auto"/>
              </w:rPr>
            </w:pPr>
          </w:p>
        </w:tc>
      </w:tr>
      <w:tr>
        <w:trPr>
          <w:trHeight w:val="205"/>
        </w:trPr>
        <w:tc>
          <w:tcPr>
            <w:tcW w:w="1800" w:type="dxa"/>
            <w:vAlign w:val="bottom"/>
          </w:tcPr>
          <w:p>
            <w:pPr>
              <w:jc w:val="center"/>
              <w:ind w:right="154"/>
              <w:spacing w:after="0"/>
              <w:rPr>
                <w:sz w:val="20"/>
                <w:szCs w:val="20"/>
                <w:color w:val="auto"/>
              </w:rPr>
            </w:pPr>
            <w:r>
              <w:rPr>
                <w:rFonts w:ascii="Arial" w:cs="Arial" w:eastAsia="Arial" w:hAnsi="Arial"/>
                <w:sz w:val="14"/>
                <w:szCs w:val="14"/>
                <w:b w:val="1"/>
                <w:bCs w:val="1"/>
                <w:color w:val="auto"/>
              </w:rPr>
              <w:t>Maryland</w:t>
            </w:r>
          </w:p>
        </w:tc>
        <w:tc>
          <w:tcPr>
            <w:tcW w:w="5380" w:type="dxa"/>
            <w:vAlign w:val="bottom"/>
            <w:gridSpan w:val="3"/>
          </w:tcPr>
          <w:p>
            <w:pPr>
              <w:jc w:val="center"/>
              <w:ind w:left="4048"/>
              <w:spacing w:after="0"/>
              <w:rPr>
                <w:sz w:val="20"/>
                <w:szCs w:val="20"/>
                <w:color w:val="auto"/>
              </w:rPr>
            </w:pPr>
            <w:r>
              <w:rPr>
                <w:rFonts w:ascii="Arial" w:cs="Arial" w:eastAsia="Arial" w:hAnsi="Arial"/>
                <w:sz w:val="14"/>
                <w:szCs w:val="14"/>
                <w:b w:val="1"/>
                <w:bCs w:val="1"/>
                <w:color w:val="auto"/>
                <w:w w:val="93"/>
              </w:rPr>
              <w:t>46-1315605</w:t>
            </w:r>
          </w:p>
        </w:tc>
      </w:tr>
      <w:tr>
        <w:trPr>
          <w:trHeight w:val="135"/>
        </w:trPr>
        <w:tc>
          <w:tcPr>
            <w:tcW w:w="1800" w:type="dxa"/>
            <w:vAlign w:val="bottom"/>
          </w:tcPr>
          <w:p>
            <w:pPr>
              <w:jc w:val="center"/>
              <w:ind w:right="15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6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380" w:type="dxa"/>
            <w:vAlign w:val="bottom"/>
          </w:tcPr>
          <w:p>
            <w:pPr>
              <w:jc w:val="center"/>
              <w:ind w:left="105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1800" w:type="dxa"/>
            <w:vAlign w:val="bottom"/>
          </w:tcPr>
          <w:p>
            <w:pPr>
              <w:jc w:val="center"/>
              <w:ind w:right="154"/>
              <w:spacing w:after="0"/>
              <w:rPr>
                <w:sz w:val="20"/>
                <w:szCs w:val="20"/>
                <w:color w:val="auto"/>
              </w:rPr>
            </w:pPr>
            <w:r>
              <w:rPr>
                <w:rFonts w:ascii="Arial" w:cs="Arial" w:eastAsia="Arial" w:hAnsi="Arial"/>
                <w:sz w:val="13"/>
                <w:szCs w:val="13"/>
                <w:b w:val="1"/>
                <w:bCs w:val="1"/>
                <w:color w:val="auto"/>
                <w:w w:val="88"/>
              </w:rPr>
              <w:t>incorporation)</w:t>
            </w:r>
          </w:p>
        </w:tc>
        <w:tc>
          <w:tcPr>
            <w:tcW w:w="6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80" w:type="dxa"/>
            <w:vAlign w:val="bottom"/>
          </w:tcPr>
          <w:p>
            <w:pPr>
              <w:jc w:val="center"/>
              <w:ind w:left="1057"/>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95885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Harper Drive, Suite 110</w:t>
      </w:r>
    </w:p>
    <w:p>
      <w:pPr>
        <w:jc w:val="center"/>
        <w:spacing w:after="0" w:line="226" w:lineRule="auto"/>
        <w:rPr>
          <w:sz w:val="20"/>
          <w:szCs w:val="20"/>
          <w:color w:val="auto"/>
        </w:rPr>
      </w:pPr>
      <w:r>
        <w:rPr>
          <w:rFonts w:ascii="Arial" w:cs="Arial" w:eastAsia="Arial" w:hAnsi="Arial"/>
          <w:sz w:val="14"/>
          <w:szCs w:val="14"/>
          <w:b w:val="1"/>
          <w:bCs w:val="1"/>
          <w:color w:val="auto"/>
        </w:rPr>
        <w:t>Moorestown, New Jersey 08057</w:t>
      </w:r>
    </w:p>
    <w:p>
      <w:pPr>
        <w:jc w:val="center"/>
        <w:spacing w:after="0" w:line="225" w:lineRule="auto"/>
        <w:rPr>
          <w:sz w:val="20"/>
          <w:szCs w:val="20"/>
          <w:color w:val="auto"/>
        </w:rPr>
      </w:pPr>
      <w:r>
        <w:rPr>
          <w:rFonts w:ascii="Arial" w:cs="Arial" w:eastAsia="Arial" w:hAnsi="Arial"/>
          <w:sz w:val="14"/>
          <w:szCs w:val="14"/>
          <w:b w:val="1"/>
          <w:bCs w:val="1"/>
          <w:color w:val="auto"/>
        </w:rPr>
        <w:t>(877) 870-7005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Martin Levine</w:t>
      </w:r>
    </w:p>
    <w:p>
      <w:pPr>
        <w:jc w:val="center"/>
        <w:spacing w:after="0" w:line="226" w:lineRule="auto"/>
        <w:rPr>
          <w:sz w:val="20"/>
          <w:szCs w:val="20"/>
          <w:color w:val="auto"/>
        </w:rPr>
      </w:pPr>
      <w:r>
        <w:rPr>
          <w:rFonts w:ascii="Arial" w:cs="Arial" w:eastAsia="Arial" w:hAnsi="Arial"/>
          <w:sz w:val="14"/>
          <w:szCs w:val="14"/>
          <w:b w:val="1"/>
          <w:bCs w:val="1"/>
          <w:color w:val="auto"/>
        </w:rPr>
        <w:t>Treasurer and Chief Financial Officer</w:t>
      </w:r>
    </w:p>
    <w:p>
      <w:pPr>
        <w:jc w:val="center"/>
        <w:spacing w:after="0" w:line="222" w:lineRule="auto"/>
        <w:rPr>
          <w:sz w:val="20"/>
          <w:szCs w:val="20"/>
          <w:color w:val="auto"/>
        </w:rPr>
      </w:pPr>
      <w:r>
        <w:rPr>
          <w:rFonts w:ascii="Arial" w:cs="Arial" w:eastAsia="Arial" w:hAnsi="Arial"/>
          <w:sz w:val="14"/>
          <w:szCs w:val="14"/>
          <w:b w:val="1"/>
          <w:bCs w:val="1"/>
          <w:color w:val="auto"/>
        </w:rPr>
        <w:t>301 Harper Drive, Suite 110</w:t>
      </w:r>
    </w:p>
    <w:p>
      <w:pPr>
        <w:jc w:val="center"/>
        <w:spacing w:after="0" w:line="221" w:lineRule="auto"/>
        <w:rPr>
          <w:sz w:val="20"/>
          <w:szCs w:val="20"/>
          <w:color w:val="auto"/>
        </w:rPr>
      </w:pPr>
      <w:r>
        <w:rPr>
          <w:rFonts w:ascii="Arial" w:cs="Arial" w:eastAsia="Arial" w:hAnsi="Arial"/>
          <w:sz w:val="14"/>
          <w:szCs w:val="14"/>
          <w:b w:val="1"/>
          <w:bCs w:val="1"/>
          <w:color w:val="auto"/>
        </w:rPr>
        <w:t>Moorestown, New Jersey 08057</w:t>
      </w:r>
    </w:p>
    <w:p>
      <w:pPr>
        <w:jc w:val="center"/>
        <w:spacing w:after="0" w:line="225" w:lineRule="auto"/>
        <w:rPr>
          <w:sz w:val="20"/>
          <w:szCs w:val="20"/>
          <w:color w:val="auto"/>
        </w:rPr>
      </w:pPr>
      <w:r>
        <w:rPr>
          <w:rFonts w:ascii="Arial" w:cs="Arial" w:eastAsia="Arial" w:hAnsi="Arial"/>
          <w:sz w:val="14"/>
          <w:szCs w:val="14"/>
          <w:b w:val="1"/>
          <w:bCs w:val="1"/>
          <w:color w:val="auto"/>
        </w:rPr>
        <w:t>(877) 870-7005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87630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Copies to:</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Daniel M. LeBey, Esq.</w:t>
      </w:r>
    </w:p>
    <w:p>
      <w:pPr>
        <w:jc w:val="center"/>
        <w:spacing w:after="0" w:line="226" w:lineRule="auto"/>
        <w:rPr>
          <w:sz w:val="20"/>
          <w:szCs w:val="20"/>
          <w:color w:val="auto"/>
        </w:rPr>
      </w:pPr>
      <w:r>
        <w:rPr>
          <w:rFonts w:ascii="Arial" w:cs="Arial" w:eastAsia="Arial" w:hAnsi="Arial"/>
          <w:sz w:val="14"/>
          <w:szCs w:val="14"/>
          <w:b w:val="1"/>
          <w:bCs w:val="1"/>
          <w:color w:val="auto"/>
        </w:rPr>
        <w:t>David S. Freed, Esq.</w:t>
      </w:r>
    </w:p>
    <w:p>
      <w:pPr>
        <w:jc w:val="center"/>
        <w:spacing w:after="0" w:line="222" w:lineRule="auto"/>
        <w:rPr>
          <w:sz w:val="20"/>
          <w:szCs w:val="20"/>
          <w:color w:val="auto"/>
        </w:rPr>
      </w:pPr>
      <w:r>
        <w:rPr>
          <w:rFonts w:ascii="Arial" w:cs="Arial" w:eastAsia="Arial" w:hAnsi="Arial"/>
          <w:sz w:val="14"/>
          <w:szCs w:val="14"/>
          <w:b w:val="1"/>
          <w:bCs w:val="1"/>
          <w:color w:val="auto"/>
        </w:rPr>
        <w:t>Hunton &amp; Williams LLP</w:t>
      </w:r>
    </w:p>
    <w:p>
      <w:pPr>
        <w:jc w:val="center"/>
        <w:spacing w:after="0" w:line="221" w:lineRule="auto"/>
        <w:rPr>
          <w:sz w:val="20"/>
          <w:szCs w:val="20"/>
          <w:color w:val="auto"/>
        </w:rPr>
      </w:pPr>
      <w:r>
        <w:rPr>
          <w:rFonts w:ascii="Arial" w:cs="Arial" w:eastAsia="Arial" w:hAnsi="Arial"/>
          <w:sz w:val="14"/>
          <w:szCs w:val="14"/>
          <w:b w:val="1"/>
          <w:bCs w:val="1"/>
          <w:color w:val="auto"/>
        </w:rPr>
        <w:t>200 Park Avenue, 52</w:t>
      </w:r>
      <w:r>
        <w:rPr>
          <w:rFonts w:ascii="Arial" w:cs="Arial" w:eastAsia="Arial" w:hAnsi="Arial"/>
          <w:sz w:val="12"/>
          <w:szCs w:val="12"/>
          <w:b w:val="1"/>
          <w:bCs w:val="1"/>
          <w:color w:val="auto"/>
        </w:rPr>
        <w:t>nd</w:t>
      </w:r>
      <w:r>
        <w:rPr>
          <w:rFonts w:ascii="Arial" w:cs="Arial" w:eastAsia="Arial" w:hAnsi="Arial"/>
          <w:sz w:val="14"/>
          <w:szCs w:val="14"/>
          <w:b w:val="1"/>
          <w:bCs w:val="1"/>
          <w:color w:val="auto"/>
        </w:rPr>
        <w:t xml:space="preserve"> Floor</w:t>
      </w:r>
    </w:p>
    <w:p>
      <w:pPr>
        <w:jc w:val="center"/>
        <w:spacing w:after="0" w:line="222" w:lineRule="auto"/>
        <w:rPr>
          <w:sz w:val="20"/>
          <w:szCs w:val="20"/>
          <w:color w:val="auto"/>
        </w:rPr>
      </w:pPr>
      <w:r>
        <w:rPr>
          <w:rFonts w:ascii="Arial" w:cs="Arial" w:eastAsia="Arial" w:hAnsi="Arial"/>
          <w:sz w:val="14"/>
          <w:szCs w:val="14"/>
          <w:b w:val="1"/>
          <w:bCs w:val="1"/>
          <w:color w:val="auto"/>
        </w:rPr>
        <w:t>New York, New York 10166-0091</w:t>
      </w:r>
    </w:p>
    <w:p>
      <w:pPr>
        <w:jc w:val="center"/>
        <w:spacing w:after="0"/>
        <w:rPr>
          <w:sz w:val="20"/>
          <w:szCs w:val="20"/>
          <w:color w:val="auto"/>
        </w:rPr>
      </w:pPr>
      <w:r>
        <w:rPr>
          <w:rFonts w:ascii="Arial" w:cs="Arial" w:eastAsia="Arial" w:hAnsi="Arial"/>
          <w:sz w:val="14"/>
          <w:szCs w:val="14"/>
          <w:b w:val="1"/>
          <w:bCs w:val="1"/>
          <w:color w:val="auto"/>
        </w:rPr>
        <w:t>(212) 309-1000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90805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ind w:right="1320"/>
        <w:spacing w:after="0" w:line="196" w:lineRule="exact"/>
        <w:rPr>
          <w:sz w:val="20"/>
          <w:szCs w:val="20"/>
          <w:color w:val="auto"/>
        </w:rPr>
      </w:pPr>
      <w:r>
        <w:rPr>
          <w:rFonts w:ascii="Arial" w:cs="Arial" w:eastAsia="Arial" w:hAnsi="Arial"/>
          <w:sz w:val="13"/>
          <w:szCs w:val="13"/>
          <w:b w:val="1"/>
          <w:bCs w:val="1"/>
          <w:color w:val="auto"/>
        </w:rPr>
        <w:t xml:space="preserve">Approximate date of commencement of proposed sale to public: </w:t>
      </w:r>
      <w:r>
        <w:rPr>
          <w:rFonts w:ascii="Arial" w:cs="Arial" w:eastAsia="Arial" w:hAnsi="Arial"/>
          <w:sz w:val="13"/>
          <w:szCs w:val="13"/>
          <w:color w:val="auto"/>
        </w:rPr>
        <w:t>From time to time after the effective date of the registration statement as determined by market conditions.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4" w:lineRule="exact"/>
        <w:rPr>
          <w:sz w:val="24"/>
          <w:szCs w:val="24"/>
          <w:color w:val="auto"/>
        </w:rPr>
      </w:pPr>
    </w:p>
    <w:p>
      <w:pPr>
        <w:ind w:right="2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3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right="40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5" w:lineRule="exact"/>
        <w:rPr>
          <w:sz w:val="24"/>
          <w:szCs w:val="24"/>
          <w:color w:val="auto"/>
        </w:rPr>
      </w:pPr>
    </w:p>
    <w:p>
      <w:pPr>
        <w:ind w:right="2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46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gridSpan w:val="2"/>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2620" w:type="dxa"/>
            <w:vAlign w:val="bottom"/>
            <w:gridSpan w:val="2"/>
          </w:tcPr>
          <w:p>
            <w:pPr>
              <w:ind w:left="560"/>
              <w:spacing w:after="0"/>
              <w:rPr>
                <w:sz w:val="20"/>
                <w:szCs w:val="20"/>
                <w:color w:val="auto"/>
              </w:rPr>
            </w:pPr>
            <w:r>
              <w:rPr>
                <w:rFonts w:ascii="Arial" w:cs="Arial" w:eastAsia="Arial" w:hAnsi="Arial"/>
                <w:sz w:val="14"/>
                <w:szCs w:val="14"/>
                <w:color w:val="auto"/>
              </w:rPr>
              <w:t>Accelerated filer</w:t>
            </w:r>
          </w:p>
        </w:tc>
        <w:tc>
          <w:tcPr>
            <w:tcW w:w="1580" w:type="dxa"/>
            <w:vAlign w:val="bottom"/>
          </w:tcPr>
          <w:p>
            <w:pPr>
              <w:spacing w:after="0"/>
              <w:rPr>
                <w:sz w:val="19"/>
                <w:szCs w:val="19"/>
                <w:color w:val="auto"/>
              </w:rPr>
            </w:pPr>
          </w:p>
        </w:tc>
        <w:tc>
          <w:tcPr>
            <w:tcW w:w="18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36"/>
        </w:trPr>
        <w:tc>
          <w:tcPr>
            <w:tcW w:w="146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gridSpan w:val="2"/>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620" w:type="dxa"/>
            <w:vAlign w:val="bottom"/>
            <w:gridSpan w:val="2"/>
          </w:tcPr>
          <w:p>
            <w:pPr>
              <w:ind w:left="560"/>
              <w:spacing w:after="0"/>
              <w:rPr>
                <w:sz w:val="20"/>
                <w:szCs w:val="20"/>
                <w:color w:val="auto"/>
              </w:rPr>
            </w:pPr>
            <w:r>
              <w:rPr>
                <w:rFonts w:ascii="Arial" w:cs="Arial" w:eastAsia="Arial" w:hAnsi="Arial"/>
                <w:sz w:val="14"/>
                <w:szCs w:val="14"/>
                <w:color w:val="auto"/>
              </w:rPr>
              <w:t>Smaller reporting company</w:t>
            </w:r>
          </w:p>
        </w:tc>
        <w:tc>
          <w:tcPr>
            <w:tcW w:w="1580" w:type="dxa"/>
            <w:vAlign w:val="bottom"/>
          </w:tcPr>
          <w:p>
            <w:pPr>
              <w:spacing w:after="0"/>
              <w:rPr>
                <w:sz w:val="20"/>
                <w:szCs w:val="20"/>
                <w:color w:val="auto"/>
              </w:rPr>
            </w:pPr>
          </w:p>
        </w:tc>
        <w:tc>
          <w:tcPr>
            <w:tcW w:w="1840" w:type="dxa"/>
            <w:vAlign w:val="bottom"/>
          </w:tcPr>
          <w:p>
            <w:pPr>
              <w:ind w:left="17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380" w:type="dxa"/>
            <w:vAlign w:val="bottom"/>
            <w:tcBorders>
              <w:bottom w:val="single" w:sz="8" w:color="auto"/>
            </w:tcBorders>
            <w:gridSpan w:val="2"/>
          </w:tcPr>
          <w:p>
            <w:pPr>
              <w:spacing w:after="0"/>
              <w:rPr>
                <w:sz w:val="12"/>
                <w:szCs w:val="12"/>
                <w:color w:val="auto"/>
              </w:rPr>
            </w:pPr>
          </w:p>
        </w:tc>
        <w:tc>
          <w:tcPr>
            <w:tcW w:w="1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540" w:type="dxa"/>
            <w:vAlign w:val="bottom"/>
            <w:gridSpan w:val="4"/>
          </w:tcPr>
          <w:p>
            <w:pPr>
              <w:ind w:left="2880"/>
              <w:spacing w:after="0"/>
              <w:rPr>
                <w:sz w:val="20"/>
                <w:szCs w:val="20"/>
                <w:color w:val="auto"/>
              </w:rPr>
            </w:pPr>
            <w:r>
              <w:rPr>
                <w:rFonts w:ascii="Arial" w:cs="Arial" w:eastAsia="Arial" w:hAnsi="Arial"/>
                <w:sz w:val="14"/>
                <w:szCs w:val="14"/>
                <w:b w:val="1"/>
                <w:bCs w:val="1"/>
                <w:color w:val="auto"/>
              </w:rPr>
              <w:t>CALCULATION OF REGISTRATION FEE</w:t>
            </w:r>
          </w:p>
        </w:tc>
        <w:tc>
          <w:tcPr>
            <w:tcW w:w="15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920" w:type="dxa"/>
            <w:vAlign w:val="bottom"/>
            <w:gridSpan w:val="2"/>
            <w:vMerge w:val="restart"/>
          </w:tcPr>
          <w:p>
            <w:pPr>
              <w:jc w:val="center"/>
              <w:ind w:left="1068"/>
              <w:spacing w:after="0"/>
              <w:rPr>
                <w:sz w:val="20"/>
                <w:szCs w:val="20"/>
                <w:color w:val="auto"/>
              </w:rPr>
            </w:pPr>
            <w:r>
              <w:rPr>
                <w:rFonts w:ascii="Arial" w:cs="Arial" w:eastAsia="Arial" w:hAnsi="Arial"/>
                <w:sz w:val="14"/>
                <w:szCs w:val="14"/>
                <w:b w:val="1"/>
                <w:bCs w:val="1"/>
                <w:color w:val="auto"/>
                <w:w w:val="91"/>
              </w:rPr>
              <w:t>Title of Each Class of</w:t>
            </w:r>
          </w:p>
        </w:tc>
        <w:tc>
          <w:tcPr>
            <w:tcW w:w="152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jc w:val="center"/>
              <w:ind w:left="9"/>
              <w:spacing w:after="0" w:line="106" w:lineRule="exact"/>
              <w:rPr>
                <w:sz w:val="20"/>
                <w:szCs w:val="20"/>
                <w:color w:val="auto"/>
              </w:rPr>
            </w:pPr>
            <w:r>
              <w:rPr>
                <w:rFonts w:ascii="Arial" w:cs="Arial" w:eastAsia="Arial" w:hAnsi="Arial"/>
                <w:sz w:val="12"/>
                <w:szCs w:val="12"/>
                <w:b w:val="1"/>
                <w:bCs w:val="1"/>
                <w:color w:val="auto"/>
              </w:rPr>
              <w:t>Proposed</w:t>
            </w:r>
          </w:p>
        </w:tc>
        <w:tc>
          <w:tcPr>
            <w:tcW w:w="184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92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left="9"/>
              <w:spacing w:after="0" w:line="149" w:lineRule="exact"/>
              <w:rPr>
                <w:sz w:val="20"/>
                <w:szCs w:val="20"/>
                <w:color w:val="auto"/>
              </w:rPr>
            </w:pPr>
            <w:r>
              <w:rPr>
                <w:rFonts w:ascii="Arial" w:cs="Arial" w:eastAsia="Arial" w:hAnsi="Arial"/>
                <w:sz w:val="14"/>
                <w:szCs w:val="14"/>
                <w:b w:val="1"/>
                <w:bCs w:val="1"/>
                <w:color w:val="auto"/>
                <w:w w:val="94"/>
              </w:rPr>
              <w:t>Maximum Aggregate</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2"/>
          </w:tcPr>
          <w:p>
            <w:pPr>
              <w:jc w:val="center"/>
              <w:ind w:left="1088"/>
              <w:spacing w:after="0"/>
              <w:rPr>
                <w:sz w:val="20"/>
                <w:szCs w:val="20"/>
                <w:color w:val="auto"/>
              </w:rPr>
            </w:pPr>
            <w:r>
              <w:rPr>
                <w:rFonts w:ascii="Arial" w:cs="Arial" w:eastAsia="Arial" w:hAnsi="Arial"/>
                <w:sz w:val="14"/>
                <w:szCs w:val="14"/>
                <w:b w:val="1"/>
                <w:bCs w:val="1"/>
                <w:color w:val="auto"/>
                <w:w w:val="90"/>
              </w:rPr>
              <w:t>Securities Being Registered</w:t>
            </w:r>
          </w:p>
        </w:tc>
        <w:tc>
          <w:tcPr>
            <w:tcW w:w="152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6"/>
              </w:rPr>
              <w:t>Offering Price(1)</w:t>
            </w:r>
          </w:p>
        </w:tc>
        <w:tc>
          <w:tcPr>
            <w:tcW w:w="18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4"/>
              </w:rPr>
              <w:t>Registration Fee(1)(2)</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3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stock, $0.01 par value per share</w:t>
            </w:r>
          </w:p>
        </w:tc>
        <w:tc>
          <w:tcPr>
            <w:tcW w:w="15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rPr>
              <w:t>(3)</w:t>
            </w:r>
          </w:p>
        </w:tc>
        <w:tc>
          <w:tcPr>
            <w:tcW w:w="1840" w:type="dxa"/>
            <w:vAlign w:val="bottom"/>
            <w:tcBorders>
              <w:bottom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538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color w:val="auto"/>
              </w:rPr>
              <w:t>Preferred stock, $0.01 par value per share</w:t>
            </w:r>
          </w:p>
        </w:tc>
        <w:tc>
          <w:tcPr>
            <w:tcW w:w="15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rPr>
              <w:t>(3)</w:t>
            </w:r>
          </w:p>
        </w:tc>
        <w:tc>
          <w:tcPr>
            <w:tcW w:w="1840" w:type="dxa"/>
            <w:vAlign w:val="bottom"/>
            <w:tcBorders>
              <w:bottom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1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30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rPr>
              <w:t>(3)</w:t>
            </w:r>
          </w:p>
        </w:tc>
        <w:tc>
          <w:tcPr>
            <w:tcW w:w="1840" w:type="dxa"/>
            <w:vAlign w:val="bottom"/>
            <w:tcBorders>
              <w:bottom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1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Rights</w:t>
            </w:r>
          </w:p>
        </w:tc>
        <w:tc>
          <w:tcPr>
            <w:tcW w:w="30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rPr>
              <w:t>(3)</w:t>
            </w:r>
          </w:p>
        </w:tc>
        <w:tc>
          <w:tcPr>
            <w:tcW w:w="1840" w:type="dxa"/>
            <w:vAlign w:val="bottom"/>
            <w:tcBorders>
              <w:bottom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1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Units</w:t>
            </w:r>
          </w:p>
        </w:tc>
        <w:tc>
          <w:tcPr>
            <w:tcW w:w="30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rPr>
              <w:t>(3)</w:t>
            </w:r>
          </w:p>
        </w:tc>
        <w:tc>
          <w:tcPr>
            <w:tcW w:w="1840" w:type="dxa"/>
            <w:vAlign w:val="bottom"/>
            <w:tcBorders>
              <w:bottom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3"/>
              </w:rPr>
              <w:t>(3)</w:t>
            </w:r>
          </w:p>
        </w:tc>
        <w:tc>
          <w:tcPr>
            <w:tcW w:w="0" w:type="dxa"/>
            <w:vAlign w:val="bottom"/>
          </w:tcPr>
          <w:p>
            <w:pPr>
              <w:spacing w:after="0"/>
              <w:rPr>
                <w:sz w:val="1"/>
                <w:szCs w:val="1"/>
                <w:color w:val="auto"/>
              </w:rPr>
            </w:pPr>
          </w:p>
        </w:tc>
      </w:tr>
      <w:tr>
        <w:trPr>
          <w:trHeight w:val="142"/>
        </w:trPr>
        <w:tc>
          <w:tcPr>
            <w:tcW w:w="1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30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right w:val="single" w:sz="8" w:color="auto"/>
            </w:tcBorders>
          </w:tcPr>
          <w:p>
            <w:pPr>
              <w:jc w:val="center"/>
              <w:ind w:left="9"/>
              <w:spacing w:after="0" w:line="142" w:lineRule="exact"/>
              <w:rPr>
                <w:sz w:val="20"/>
                <w:szCs w:val="20"/>
                <w:color w:val="auto"/>
              </w:rPr>
            </w:pPr>
            <w:r>
              <w:rPr>
                <w:rFonts w:ascii="Arial" w:cs="Arial" w:eastAsia="Arial" w:hAnsi="Arial"/>
                <w:sz w:val="14"/>
                <w:szCs w:val="14"/>
                <w:color w:val="auto"/>
                <w:w w:val="91"/>
              </w:rPr>
              <w:t>$500,000,000</w:t>
            </w:r>
          </w:p>
        </w:tc>
        <w:tc>
          <w:tcPr>
            <w:tcW w:w="1840" w:type="dxa"/>
            <w:vAlign w:val="bottom"/>
            <w:tcBorders>
              <w:bottom w:val="single" w:sz="8" w:color="auto"/>
            </w:tcBorders>
          </w:tcPr>
          <w:p>
            <w:pPr>
              <w:jc w:val="center"/>
              <w:ind w:left="128"/>
              <w:spacing w:after="0" w:line="142" w:lineRule="exact"/>
              <w:rPr>
                <w:sz w:val="20"/>
                <w:szCs w:val="20"/>
                <w:color w:val="auto"/>
              </w:rPr>
            </w:pPr>
            <w:r>
              <w:rPr>
                <w:rFonts w:ascii="Arial" w:cs="Arial" w:eastAsia="Arial" w:hAnsi="Arial"/>
                <w:sz w:val="14"/>
                <w:szCs w:val="14"/>
                <w:color w:val="auto"/>
                <w:w w:val="94"/>
              </w:rPr>
              <w:t>$64,400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280" w:hanging="332"/>
        <w:spacing w:after="0" w:line="243"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An indeterminate number of the securities of each identified class of securities is being registered for possible issuance from time to time at indeterminate prices. Includes an indeterminate amount of the registrant’s securities as may be issued upon conversion of or exchange for, as the case may be, any other securities registered under this registration statement.</w:t>
      </w:r>
    </w:p>
    <w:p>
      <w:pPr>
        <w:spacing w:after="0" w:line="1" w:lineRule="exact"/>
        <w:rPr>
          <w:rFonts w:ascii="Arial" w:cs="Arial" w:eastAsia="Arial" w:hAnsi="Arial"/>
          <w:sz w:val="13"/>
          <w:szCs w:val="13"/>
          <w:color w:val="auto"/>
        </w:rPr>
      </w:pPr>
    </w:p>
    <w:p>
      <w:pPr>
        <w:ind w:left="340" w:right="40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has been estimated solely for the purpose of calculating the registration fee pursuant to Rule 457(o) under the Securities Act of 1933, as amended. The aggregate public offering price of the securities registered hereunder will not exceed $500,000,000.</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Omitted pursuant to General Instruction II.D of Form S-3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4" w:lineRule="exact"/>
        <w:rPr>
          <w:sz w:val="24"/>
          <w:szCs w:val="24"/>
          <w:color w:val="auto"/>
        </w:rPr>
      </w:pPr>
    </w:p>
    <w:p>
      <w:pPr>
        <w:jc w:val="both"/>
        <w:ind w:right="26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an offer or sale is not permitted.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DE1A1E"/>
        </w:rPr>
        <w:t>Subject to Completion, Dated November 12,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24130</wp:posOffset>
            </wp:positionV>
            <wp:extent cx="124333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333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Rights</w:t>
      </w:r>
    </w:p>
    <w:p>
      <w:pPr>
        <w:spacing w:after="0" w:line="10"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may from time to time offer, in one or more class or series, separately or together, and in amounts, at prices and on terms to be set forth in one or more supplements to this prospectus, the following securities:</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common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shares of our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 to purchase shares of our common stock or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rights to purchase shares of our common stock or preferred stock;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units consisting of two or more of the foregoing.</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refer to the common stock, preferred stock, warrants, rights and units collectively as the “securities” in this prospectus. The securities will have a maximum aggregate offering price of $500,000,000.</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terms of each class or series of the securities will be set forth in the applicable prospectus supplement and may include restrictions on ownership and transfer of the securities, in each case as may be appropriate to preserve the status of our company as a real estate investment trust, or REIT, for U.S. federal income tax purposes, among other purposes. The applicable prospectus supplement will also contain information, where applicable, about certain additional material U.S. federal income tax consequences relating to the securities described in such prospectus supplement and any listing on a securities exchange.</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securities may be offered directly by us from time to time through agents designated by us or to or through underwriters or dealers. If any agents, dealers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No securities may be sold without delivery of this prospectus and the applicable prospectus supplement describing the method and terms of the offering of such class or series of securities.</w:t>
      </w:r>
    </w:p>
    <w:p>
      <w:pPr>
        <w:spacing w:after="0" w:line="18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common stock is listed on the New York Stock Exchange, or NYSE, under the symbol “CHMI”. On November 11, 2014, the last reported sale price our common stock on the NYSE was $18.80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securities involves risks. See “</w:t>
      </w:r>
      <w:hyperlink w:anchor="page5">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2 of this prospectus.</w:t>
      </w:r>
    </w:p>
    <w:p>
      <w:pPr>
        <w:spacing w:after="0" w:line="215" w:lineRule="exact"/>
        <w:rPr>
          <w:sz w:val="20"/>
          <w:szCs w:val="20"/>
          <w:color w:val="auto"/>
        </w:rPr>
      </w:pPr>
    </w:p>
    <w:p>
      <w:pPr>
        <w:ind w:right="36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38" w:lineRule="exact"/>
        <w:rPr>
          <w:sz w:val="20"/>
          <w:szCs w:val="20"/>
          <w:color w:val="auto"/>
        </w:rPr>
      </w:pPr>
    </w:p>
    <w:tbl>
      <w:tblPr>
        <w:tblLayout w:type="fixed"/>
        <w:tblInd w:w="388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 2014.</w:t>
            </w:r>
          </w:p>
        </w:tc>
      </w:tr>
    </w:tbl>
    <w:p>
      <w:pPr>
        <w:sectPr>
          <w:pgSz w:w="11900" w:h="16838" w:orient="portrait"/>
          <w:cols w:equalWidth="0" w:num="1">
            <w:col w:w="11260"/>
          </w:cols>
          <w:pgMar w:left="24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gridSpan w:val="9"/>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ABOUT THIS PROSPECTUS</w:t>
              </w:r>
            </w:hyperlink>
          </w:p>
        </w:tc>
        <w:tc>
          <w:tcPr>
            <w:tcW w:w="8780" w:type="dxa"/>
            <w:vAlign w:val="bottom"/>
            <w:gridSpan w:val="12"/>
            <w:vMerge w:val="restart"/>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2260" w:type="dxa"/>
            <w:vAlign w:val="bottom"/>
            <w:tcBorders>
              <w:bottom w:val="single" w:sz="8" w:color="0000EE"/>
            </w:tcBorders>
            <w:gridSpan w:val="9"/>
            <w:vMerge w:val="continue"/>
          </w:tcPr>
          <w:p>
            <w:pPr>
              <w:spacing w:after="0"/>
              <w:rPr>
                <w:sz w:val="13"/>
                <w:szCs w:val="13"/>
                <w:color w:val="auto"/>
              </w:rPr>
            </w:pPr>
          </w:p>
        </w:tc>
        <w:tc>
          <w:tcPr>
            <w:tcW w:w="8780" w:type="dxa"/>
            <w:vAlign w:val="bottom"/>
            <w:gridSpan w:val="12"/>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CHERRY HILL MORTGAGE INVESTMENT CORPORATION</w:t>
              </w:r>
            </w:hyperlink>
          </w:p>
        </w:tc>
        <w:tc>
          <w:tcPr>
            <w:tcW w:w="6300" w:type="dxa"/>
            <w:vAlign w:val="bottom"/>
            <w:gridSpan w:val="6"/>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RISK FACTORS</w:t>
              </w:r>
            </w:hyperlink>
          </w:p>
        </w:tc>
        <w:tc>
          <w:tcPr>
            <w:tcW w:w="97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CAUTIONARY STATEMENT CONCERNING FORWARD-LOOKING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RATIO OF EARNINGS TO COMBINED FIXED CHARGES AND PREFERRED STOCK DIVIDENDS</w:t>
              </w:r>
            </w:hyperlink>
          </w:p>
        </w:tc>
        <w:tc>
          <w:tcPr>
            <w:tcW w:w="336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DESCRIPTION OF COMMON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DESCRIPTION OF PREFERRED STOCK</w:t>
              </w:r>
            </w:hyperlink>
          </w:p>
        </w:tc>
        <w:tc>
          <w:tcPr>
            <w:tcW w:w="788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RIGHTS</w:t>
              </w:r>
            </w:hyperlink>
          </w:p>
        </w:tc>
        <w:tc>
          <w:tcPr>
            <w:tcW w:w="85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tcBorders>
            <w:gridSpan w:val="7"/>
          </w:tcPr>
          <w:p>
            <w:pPr>
              <w:spacing w:after="0" w:line="19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DESCRIPTION OF UNITS</w:t>
              </w:r>
            </w:hyperlink>
          </w:p>
        </w:tc>
        <w:tc>
          <w:tcPr>
            <w:tcW w:w="89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CERTAIN PROVISIONS OF MARYLAND LAW AND OF OUR CHARTER AND BYLAWS</w:t>
              </w:r>
            </w:hyperlink>
          </w:p>
        </w:tc>
        <w:tc>
          <w:tcPr>
            <w:tcW w:w="41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22">
              <w:r>
                <w:rPr>
                  <w:rFonts w:ascii="Arial" w:cs="Arial" w:eastAsia="Arial" w:hAnsi="Arial"/>
                  <w:sz w:val="18"/>
                  <w:szCs w:val="18"/>
                  <w:color w:val="0000EE"/>
                  <w:w w:val="95"/>
                </w:rPr>
                <w:t>RESTRICTIONS ON OWNERSHIP AND TRANSFER</w:t>
              </w:r>
            </w:hyperlink>
          </w:p>
        </w:tc>
        <w:tc>
          <w:tcPr>
            <w:tcW w:w="69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BOOK-ENTRY SECURITIES</w:t>
              </w:r>
            </w:hyperlink>
          </w:p>
        </w:tc>
        <w:tc>
          <w:tcPr>
            <w:tcW w:w="88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MATERIAL U.S. FEDERAL INCOME TAX CONSIDERATIONS</w:t>
              </w:r>
            </w:hyperlink>
          </w:p>
        </w:tc>
        <w:tc>
          <w:tcPr>
            <w:tcW w:w="616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58">
              <w:r>
                <w:rPr>
                  <w:rFonts w:ascii="Arial" w:cs="Arial" w:eastAsia="Arial" w:hAnsi="Arial"/>
                  <w:sz w:val="18"/>
                  <w:szCs w:val="18"/>
                  <w:color w:val="0000EE"/>
                  <w:w w:val="97"/>
                </w:rPr>
                <w:t>PLAN OF DISTRIBUTION</w:t>
              </w:r>
            </w:hyperlink>
          </w:p>
        </w:tc>
        <w:tc>
          <w:tcPr>
            <w:tcW w:w="898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LEGAL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9580" w:type="dxa"/>
            <w:vAlign w:val="bottom"/>
            <w:gridSpan w:val="1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WHERE YOU CAN FIND ADDITIONAL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gridSpan w:val="14"/>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7"/>
          </w:tcPr>
          <w:p>
            <w:pPr>
              <w:spacing w:after="0" w:line="196" w:lineRule="exact"/>
              <w:rPr>
                <w:rFonts w:ascii="Arial" w:cs="Arial" w:eastAsia="Arial" w:hAnsi="Arial"/>
                <w:sz w:val="18"/>
                <w:szCs w:val="18"/>
                <w:color w:val="0000EE"/>
                <w:w w:val="96"/>
              </w:rPr>
            </w:pPr>
            <w:hyperlink w:anchor="page61">
              <w:r>
                <w:rPr>
                  <w:rFonts w:ascii="Arial" w:cs="Arial" w:eastAsia="Arial" w:hAnsi="Arial"/>
                  <w:sz w:val="18"/>
                  <w:szCs w:val="18"/>
                  <w:color w:val="0000EE"/>
                  <w:w w:val="96"/>
                </w:rPr>
                <w:t>INCORPORATION OF INFORMATION WE FILE WITH THE SEC</w:t>
              </w:r>
            </w:hyperlink>
          </w:p>
        </w:tc>
        <w:tc>
          <w:tcPr>
            <w:tcW w:w="59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the SEC, utilizing a “shelf” registration process. Under this process, we may from time to time offer, in one or more classes or series, separately or together, in amounts, at prices and on terms to be set forth in one or more supplements to this prospectus, shares of our common stock, shares of our preferred stock, warrants to purchase shares of our common stock or preferred stock, rights to purchase shares of our common stock or preferred stock and units consisting of two or more of the foregoing. These securities will have a maximum aggregate offering price of $500,000,000. This prospectus provides you with a general description of the securities we may offer at any time, from time to time, in one or more offerings and the general manner in which the securities may be offered. Each time we offer securities, we will provide a prospectus supplement that contains specific information about the terms of the securities we are offering. The applicable prospectus supplement may add, update or change information contained in this prospectus. You should read carefully this entire prospectus and any applicable prospectus supplement, as well as the documents incorporated by reference herein and therein that we have referred you to below under the caption “Incorporation of Information We File With the SEC,” before making an investment decision.</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You should rely only on the information contained or incorporated by reference in this prospectus and any applicable prospectus supplement. We have not authorized anyone to provide you with different or additional information. If anyone provides you with different or additional information, you must not rely on it. We are not making an offer to sell the securities in any jurisdiction where the offer or sale of the securities is not permitted. You should not assume that the information appearing in this prospectus, any applicable prospectus supplement and the documents incorporated by reference herein or therein is accurate as of any date other than their respective dates. Our business, financial condition, results of operations and prospects may have changed since those dates.</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otherwise specified or unless the context requires otherwise, all references in this prospectus to the terms “we,” “us,” “our” and “our company” refer to Cherry Hill Mortgage Investment Corporation and its consolidated subsidiaries, references to “our operating partnership” refer to Cherry Hill Operating Partnership, LP and references to “our Manager” refer to Cherry Hill Mortgage Management, LLC.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CHERRY HILL MORTGAGE INVESTMENT CORPORATION</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a residential real estate finance company that acquires, invests in and manages residential mortgage assets in the United States. Our principal objective is to generate attractive current yields and risk-adjusted total returns for our stockholders over the long term, primarily through cash distributions and secondarily through capital appreciation. We pursue this objective by selectively constructing and actively managing a targeted portfolio of cashflowing residential mortgage assets.</w:t>
      </w:r>
    </w:p>
    <w:p>
      <w:pPr>
        <w:spacing w:after="0" w:line="18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externally managed by Cherry Hill Mortgage Management, LLC, or our Manager, a Delaware limited liability company and an affiliate of Freedom Mortgage Corporation. Pursuant to the terms of the management agreement between us and our Manager, our Manager is responsible for conducting our business activities and day-to-day operations and providing us with our management team and appropriate support personnel. We have elected and intend to qualify to be taxed as a REIT for U.S. federal income tax purposes, commencing with our taxable year ended December 31, 2013.</w:t>
      </w:r>
    </w:p>
    <w:p>
      <w:pPr>
        <w:spacing w:after="0" w:line="17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were incorporated as a Maryland corporation in October 2012. Our principal executive offices are located at 301 Harper Drive, Suite 110, Moorestown, New Jersey 08057. Our telephone number is (877) 870-7005 and our website is http://www.chmireit.com. The offices of our Manager are located at 907 Pleasant Valley Avenue, Mount Laurel, New Jersey 08054. Information on or accessible from our website is not part of or incorporated by reference into this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the securities described in this prospectus involves risks. You should carefully consider any specific risks set forth under the caption “Risk Factors” in any accompanying prospectus supplement, as well as the risk factors discussed in our most recent Annual Report on Form 10-K and in our subsequent Quarterly Reports on Form 10-Q and Current Reports on Form 8-K, which are incorporated by reference in this prospectus, before making an investment decision. Although we discuss key risks in our most recent Annual Report on Form 10-K, new risks may emerge in the future, which may prove to be significant. Our subsequent filings with the SEC may contain amended and updated discussions of significant risks. We cannot predict future risks or estimate the extent to which they may affect our financial performance. The occurrence of any of these risks might cause you to lose all or a part of your investment in the securities we are offering.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any applicable prospectus supplement and the documents incorporated by reference herein and therein contain or will contain “forward-looking statements” within the meaning of the Private Securities Litigation Reform Act of 1995 (set forth in Section 27A of the Securities Act of 1933, as amended, or the Securities Act, and Section 21E of the Securities Exchange Act of 1934, as amended, or the Exchange Act). Forward-looking statements are not historical in nature and can be identified by words such as “anticipate,” “estimate,” “will,” “should,” “expect,” “believe,” “intend,” “seek,” “plan” and similar expressions or their negative forms, or by references to strategy, plans or intentions. Forward-looking statements involve numerous risks and uncertainties. Our actual results may differ from our beliefs, expectations, estimates and projections and, consequently, you should not rely on these forward-looking statements as predictions of future events. Statements regarding the following subjects, among others, may be forward-looking:</w:t>
      </w:r>
    </w:p>
    <w:p>
      <w:pPr>
        <w:spacing w:after="0" w:line="73"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 objectives and business strategy;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future financing arrangements;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leverage;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and statements relating to, and our ability to make, future distributions to holders of the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marketplace;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industry and economic trends;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market developments and actions taken and to be taken by the U.S. Government and the anticipated impact of those developments and actions on our investment objectives and business strategy;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mortgage loan modification programs and future legislative actions;</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qualification as a REIT under the Internal Revenue Code of 1986, as amended, or the Code, and limitations on our business by our status as a REIT;</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exclusion from regulation as an investment company under the Investment Company Act of 1940, as amended, or the Investment Company Act;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investment opportunities in residential mortgage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qualified personnel;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prepayment rates;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projected default rates.</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These and other forward-looking statements are subject to risks and uncertainties, including, among other things, those described in any accompanying prospectus supplement under the caption “Risk Factors.” Other risks, uncertainties and factors that could cause actual results to differ materially from those projected are summarized below and described from time to time in reports we file with the SEC, including under the heading “Risk Factors” in our most recent Annual Report on Form 10-K and subsequent Quarterly Reports on Form 10-Q and Current Reports on Form 8-K. We undertake no obligation to update or revise any forward-looking statements, whether as a result of new information, future events or otherwise.</w:t>
      </w:r>
    </w:p>
    <w:p>
      <w:pPr>
        <w:spacing w:after="0" w:line="1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Important factors, among others, that may cause our actual results, performance, liquidity or achievements to differ materially from those expressed or implied by these forward-looking statements include:</w:t>
      </w:r>
    </w:p>
    <w:p>
      <w:pPr>
        <w:spacing w:after="0" w:line="76" w:lineRule="exact"/>
        <w:rPr>
          <w:sz w:val="20"/>
          <w:szCs w:val="20"/>
          <w:color w:val="auto"/>
        </w:rPr>
      </w:pPr>
    </w:p>
    <w:p>
      <w:pPr>
        <w:ind w:left="900" w:right="6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discussed under the caption “Risk Factors” in our Annual Report on Form 10-K for the year ended December 31, 2013 and under the caption “Management’s Discussion and Analysis of Financial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Condition and Results of Operations” in our Annual Report on Form 10-K for the year ended December 31, 2013 and our Quarterly Reports on Form 10-Q for the quarters ended March 31, 2014, June 30, 2014 and September 30, 2014;</w:t>
      </w:r>
    </w:p>
    <w:p>
      <w:pPr>
        <w:spacing w:after="0" w:line="7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volatility of the capital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investment objectives and business strategy;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terms and deployment of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suitable investment opportunities;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our Manager and our ability to find a suitable replacement if we or our Manager were to terminate the management agreement we have entered into with our Manager;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assets, interest rates or the general economy;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rates of default and/or decreased recovery rates on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interest rates, interest rate spreads, the yield curve, prepayment rates or recapture rates;</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our business due to our status as a REIT under the Code and maintaining our exclusion from regulation as an investment company under the Investment Company Act;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and nature of our competition, including competition for the residential mortgage assets in which we invest;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risks associated with acquiring, investing in and managing residential mortgage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22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following table sets forth our ratio of earnings to combined fixed charges and preferred stock dividends for the periods indicated. The ratio of earnings to combined fixed charges and preferred stock dividends was computed by dividing earnings (our net income or loss after adding fixed changes (interest expense on our indebtedness) and preferred stock dividends) by our fixed charges and preferred stock dividends. We have not issued any preferred stock as of the date of this prospectus, and therefore there are no preferred stock dividends included in our calculation of the ratio of earnings to combined fixed charges and preferred stock dividends for each period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2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5"/>
              </w:rPr>
              <w:t>For the Nine</w:t>
            </w:r>
          </w:p>
        </w:tc>
        <w:tc>
          <w:tcPr>
            <w:tcW w:w="2260" w:type="dxa"/>
            <w:vAlign w:val="bottom"/>
            <w:gridSpan w:val="2"/>
            <w:vMerge w:val="restart"/>
          </w:tcPr>
          <w:p>
            <w:pPr>
              <w:jc w:val="center"/>
              <w:ind w:right="1100"/>
              <w:spacing w:after="0"/>
              <w:rPr>
                <w:sz w:val="20"/>
                <w:szCs w:val="20"/>
                <w:color w:val="auto"/>
              </w:rPr>
            </w:pPr>
            <w:r>
              <w:rPr>
                <w:rFonts w:ascii="Arial" w:cs="Arial" w:eastAsia="Arial" w:hAnsi="Arial"/>
                <w:sz w:val="14"/>
                <w:szCs w:val="14"/>
                <w:b w:val="1"/>
                <w:bCs w:val="1"/>
                <w:color w:val="auto"/>
                <w:w w:val="92"/>
              </w:rPr>
              <w:t>For the</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2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260" w:type="dxa"/>
            <w:vAlign w:val="bottom"/>
            <w:gridSpan w:val="2"/>
            <w:vMerge w:val="continue"/>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October 31, 2012 to</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20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6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100" w:type="dxa"/>
            <w:vAlign w:val="bottom"/>
          </w:tcPr>
          <w:p>
            <w:pPr>
              <w:spacing w:after="0"/>
              <w:rPr>
                <w:sz w:val="14"/>
                <w:szCs w:val="14"/>
                <w:color w:val="auto"/>
              </w:rPr>
            </w:pPr>
          </w:p>
        </w:tc>
        <w:tc>
          <w:tcPr>
            <w:tcW w:w="226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1"/>
              </w:rPr>
              <w:t>December 31, 2013</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82"/>
        </w:trPr>
        <w:tc>
          <w:tcPr>
            <w:tcW w:w="57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Ratio of earnings to combined fixed charges and preferred stock</w:t>
            </w:r>
          </w:p>
        </w:tc>
        <w:tc>
          <w:tcPr>
            <w:tcW w:w="9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2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1.93x</w:t>
            </w:r>
            <w:r>
              <w:rPr>
                <w:rFonts w:ascii="Arial" w:cs="Arial" w:eastAsia="Arial" w:hAnsi="Arial"/>
                <w:sz w:val="15"/>
                <w:szCs w:val="15"/>
                <w:color w:val="auto"/>
              </w:rPr>
              <w:t>(1)</w:t>
            </w:r>
          </w:p>
        </w:tc>
        <w:tc>
          <w:tcPr>
            <w:tcW w:w="22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25.45x</w:t>
            </w:r>
            <w:r>
              <w:rPr>
                <w:rFonts w:ascii="Arial" w:cs="Arial" w:eastAsia="Arial" w:hAnsi="Arial"/>
                <w:sz w:val="15"/>
                <w:szCs w:val="15"/>
                <w:color w:val="auto"/>
              </w:rPr>
              <w:t>(1)</w:t>
            </w: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67"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income for the nine months ended September 30, 2014 includes an unrealized loss on derivatives, net, of approximately $4.1 million and an unrealized loss on investments in excess mortgage servicing rights of $3.0 million. Net income for the year ended December 31, 2013 includes an unrealized gain on derivatives, net, of approximately $2.7 million and an unrealized gain on investments in Excess MSRs of approximately $15.6 million. Excluding these unrealized gains and losses, adjusted earnings would have been approximately $13.2 million and approximately $3.7 million for the nine months ended September 30, 2014 and the year ended December 31, 2013, respectively, and the ratio of adjusted earnings to combined fixed charges and preferred stock dividends would have been 4.22x and 4.24x for the nine months ended September 30, 2014 and the year ended December 31, 2013, respectively.</w:t>
      </w:r>
    </w:p>
    <w:p>
      <w:pPr>
        <w:spacing w:after="0" w:line="4" w:lineRule="exact"/>
        <w:rPr>
          <w:rFonts w:ascii="Arial" w:cs="Arial" w:eastAsia="Arial" w:hAnsi="Arial"/>
          <w:sz w:val="17"/>
          <w:szCs w:val="17"/>
          <w:color w:val="auto"/>
        </w:rPr>
      </w:pPr>
    </w:p>
    <w:p>
      <w:pPr>
        <w:ind w:left="460" w:right="26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dollar amount of the deficiency, or the amount of fixed charges and preferred stock dividends in excess of earnings, was $25 for the period from October 31, 2012 (inception) to December 31, 2012.</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Unless otherwise specified in an accompanying prospectus supplement, we intend to use the net proceeds from the sale of the securities to fund our business and investment activity, which may include acquiring residential mortgage assets for our investment portfolio consistent with our investment strategy, as well as for other general corporate purposes, which may include repaying indebtedness.</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240" w:top="459" w:right="5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The following summary of the material terms of our common stock does not purport to be complete. For a complete description, we refer you to the Maryland General Corporation Law, or the MGCL, and to our charter and bylaws. For a more complete understanding of our common stock, we encourage you to read carefully this entire prospectus, as well as our charter and bylaws, copies of which are exhibits to the registration statement of which this prospectus is a part. See “Where You Can Find Additional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580" w:firstLine="456"/>
        <w:spacing w:after="0" w:line="264" w:lineRule="auto"/>
        <w:rPr>
          <w:sz w:val="20"/>
          <w:szCs w:val="20"/>
          <w:color w:val="auto"/>
        </w:rPr>
      </w:pPr>
      <w:r>
        <w:rPr>
          <w:rFonts w:ascii="Arial" w:cs="Arial" w:eastAsia="Arial" w:hAnsi="Arial"/>
          <w:sz w:val="18"/>
          <w:szCs w:val="18"/>
          <w:color w:val="auto"/>
        </w:rPr>
        <w:t>Our charter provides that we have authority to issue up to 500,000,000 shares of common stock, $0.01 par value per share. As of the date of this prospectus, there were 7,509,543 shares of our common stock issued and outstanding. Under Maryland law, stockholders generally are not liable for a corporation’s debts or obligations solely as a result of their status as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Liquidation and Other Rights</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preferential rights, if any, of holders of any other class or series of our stock and to the provisions of our charter regarding the restrictions on ownership and transfer of our stock, holders of our common stock are entitled to receive distributions if, when and as authorized by our board of directors and declared by us out of assets legally available for distribution.</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Holders of shares of our common stock generally have no preference, conversion, exchange, sinking fund, redemption or appraisal rights and have no preemptive rights to subscribe for any securities of our company. Subject to the provisions of our charter regarding the restrictions on ownership and transfer of our stock, all holders of our common stock will have equal liquidation and other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provisions of our charter regarding the restrictions on ownership and transfer of our stock and except as may otherwise be specified in the terms of any class or series of our stock, each outstanding share of our common stock entitles the holder thereof to one vote on all matters submitted to a vote of stockholders, including the election of directors. Except as may be provided with respect to any other class or series of our stock, the holders of shares of our common stock will possess the exclusive voting power. There is no cumulative voting in the election of our directors, and directors are elected by a plurality of the votes cast in the election of directors.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Classify and Reclassify Unissued Stock</w:t>
      </w:r>
    </w:p>
    <w:p>
      <w:pPr>
        <w:spacing w:after="0" w:line="12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board of directors may classify any unissued shares of preferred stock and reclassify any unissued shares of common stock into other classes or series of stock, including one or more classes or series of stock that have priority over our common stock with respect to voting rights or distributions or upon liquidation, and authorize us to issue the newly classified shares. Prior to the issuance of shares of any class or series of classified or reclassified shares, our board of directors is required by the MGCL and our charter to set, subject to the provisions of our charter regarding the restrictions on ownership and transfer of our stock, the preferences, conversion or other rights, voting powers, restrictions, limitations as to distributions, qualifications or terms or conditions of redemption for each such class or series. These actions can be taken without stockholder approval, unless stockholder approval is required by applicable law, the terms of any other class or series of our stock or the rules of any stock exchange or automated quotation system on which our stock may be then listed or quoted.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Increase or Decrease Authorized Stock and Issue Additional Stock</w:t>
      </w:r>
    </w:p>
    <w:p>
      <w:pPr>
        <w:spacing w:after="0" w:line="121"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Our charter authorizes our board of directors, with the approval of a majority of our entire board of directors and without stockholder approval, to amend our charter to increase or decrease the aggregate number of authorized shares of stock or the number of authorized shares of stock of any class or series. We believe that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power of our board of directors to amend our charter to increase or decrease the number of authorized shares of stock and to classify any unissued shares of our preferred stock or to reclassify any unissued shares of our common stock and thereafter to cause us to issue such classified or reclassified shares of stock will provide us with flexibility in structuring possible future financings and acquisitions and in meeting other needs which might arise. The additional classes or series, as well as the additional shares of common stock or preferred stock, will be available for issuance without further action by our stockholders, unless such action is required by applicable law or the rules of any stock exchange or automated quotation system on which our securities may then be listed or traded. Although our board of directors does not presently intend to do so, it could authorize us to issue a class or series that could, depending upon the terms of the particular class or series, delay, defer or prevent a transaction or a change in control that might involve a premium price for our common stock or otherwise be in the best interests of holders of our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To assist us in qualifying as a REIT for U.S. federal income tax purposes, among other purposes, our charter generally limits beneficial and constructive ownership of our shares by any person to no more than 9.0% in value or in number of shares, whichever is more restrictive, of the outstanding shares of any class or series of our stock. In addition, our charter contains various other restrictions on the ownership and transfer of shares of our common stock. See “Restrictions on Ownership and Transfer.”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NYSE under the symbol “CHMI”.</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i w:val="1"/>
          <w:iCs w:val="1"/>
          <w:color w:val="auto"/>
        </w:rPr>
        <w:t>The following description sets forth certain general terms of the preferred stock to which any prospectus supplement may relate. The applicable prospectus supplement will describe the specific terms of any class or series of preferred stock we may offer, and the terms and provisions described in this section will apply only to the extent not superseded by the terms of the applicable prospectus supplement. This description and the description contained in any prospectus supplement are not complete and are in all respects subject to and qualified in their entirety by reference to the MGCL and our charter and bylaws. Copies of our charter and bylaws are exhibits to the registration statement of which this prospectus is a part.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charter provides that we have authority to issue up to 100,000,000 shares of preferred stock, $0.01 par value per share. Our charter authorizes our board of directors, without stockholder approval, to amend our charter by a majority vote of the entire board of directors to increase or decrease the aggregate number of authorized shares of stock or the number of shares of stock of any class or series. As of the date of this prospectus, there were no shares of preferred stock issued and outstanding. Under Maryland law, stockholders generally are not liable for a corporation’s debts or obligations solely as a result of their status as stockholders.</w:t>
      </w:r>
    </w:p>
    <w:p>
      <w:pPr>
        <w:spacing w:after="0" w:line="188"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Subject to the limitations prescribed by the MGCL and our charter and bylaws, our board of directors is authorized to establish the number of shares constituting each class or series of our preferred stock and to set the preferences, conversion or other rights, voting powers, restrictions, limitations as to dividends or other distributions, qualifications and terms and conditions of redemption for each class or series.</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prospectus supplement relating to the class or series of preferred stock offered thereby will describe the specific terms of such preferred stock, including, among other things:</w:t>
      </w:r>
    </w:p>
    <w:p>
      <w:pPr>
        <w:spacing w:after="0" w:line="76"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class or series of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the liquidation preference per share and the offering price of the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distribution rate(s), period(s) and/or payment day(s) or method(s) of calculation thereof applicable to the preferred stock;</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distributions will be cumulative or non-cumulative and, if cumulative, the date from which distributions on the preferred stock will accumulate;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voting rights, if any, of the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 for a sinking fund, if any, for the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 for, and any restrictions on, redemption, if applicable, of the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provision for, and any restrictions on, repurchase, if applicable, of the preferred stock;</w:t>
      </w:r>
    </w:p>
    <w:p>
      <w:pPr>
        <w:spacing w:after="0" w:line="130"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the preferred stock may or will be convertible into our common stock, including the conversion price, manner of calculation thereof and conversion period;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under which the rights of the preferred stock may be modified, if applicable;</w:t>
      </w:r>
    </w:p>
    <w:p>
      <w:pPr>
        <w:spacing w:after="0" w:line="130"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distribution rights and rights upon liquidation, dissolution or winding up of our affairs;</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limitations on the issuance of any class or series of preferred stock ranking senior or equal to the series of preferred stock being offered as to distribution rights and rights upon liquidation, dissolution or the winding up of our affairs;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appropriate, a discussion of additional material U.S. federal income tax considerations applicable to the preferred stock;</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addition to the restrictions described below, any other restrictions on ownership and transfer of the preferred stock;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specific terms, preferences, conversion and other rights, voting powers, restrictions, limitations as to distributions and other distributions, qualifications and terms and conditions of redemption of the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assist us in qualifying as a REIT for U.S. federal income tax purposes, among other purposes, our charter generally limits beneficial and constructive ownership of our shares by any person to no more than 9.0% in value or in number of shares, whichever is more restrictive, of the outstanding shares of any class or series of our stock. In addition, our charter contains various other restrictions on the ownership and transfer of shares of our stock, including any shares of our preferred stock. See “Restrictions on Ownership and Transfer.”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transfer agent and registrar for each class or series of our preferred stock will be set forth in the applicable prospectus supplement.</w:t>
      </w:r>
    </w:p>
    <w:p>
      <w:pPr>
        <w:spacing w:after="0" w:line="16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80"/>
          </w:cols>
          <w:pgMar w:left="24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The following description sets forth certain general terms of the warrants to which any prospectus supplement may relate. The applicable prospectus supplement will describe the specific terms of the warrants we may offer, and the terms and provisions described in this section will apply only to the extent not superseded by the terms of the applicable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may offer warrants for the purchase of shares of common stock or preferred stock. We may issue warrants separately or together with any other securities offered pursuant to this prospectus, and the warrants may attached to or separate from such other securities. Each series of warrants will be issued under a separate warrant agreement to be entered into between us and a warrant agent specified in the applicable prospectus supplement relating to such warrants. The warrant agent will act solely for us in connection with the warrants and will not act for or on behalf of any holders or beneficial owners of warrants. The warrant agreement and the form of warrant certificate relating to each series of warrants will be filed with the SEC and incorporated by reference as an exhibit to the registration statement of which this prospectus is a part.</w:t>
      </w:r>
    </w:p>
    <w:p>
      <w:pPr>
        <w:spacing w:after="0" w:line="17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applicable prospectus supplement will describe the following terms, where applicable, of the warrants in respect of which this prospectus and the applicable prospectus supplement are being delivered:</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currencies in which the price or prices of the warrants may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designation and terms of the other securities with which the warrants are issued and the number of warrants issued with each such security;</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applicable, the date on and after which the warrants and the securities purchasable upon exercise of the warrants will be separately transferable;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price or prices at which, and currency or currencies in which, the securities purchasable upon exercise of the warrants may be purchased;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such right will expire;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with respect to the listing of the warrants on any securities exchange,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appropriate, a discussion of any additional material U.S. federal income tax considerations applicable to the warrants;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other material term of the warrants, including terms, procedures and limitations relating to the exchange and exercise of the warrants.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of warrants will be subject to the restrictions on ownership and transfer in our charter. See “Restrictions on Ownership and Transfer.”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The following description sets forth certain general terms of the rights to which any prospectus supplement may relate. The applicable prospectus supplement will describe the specific terms of the rights we may offer, and the terms and provisions described in this section will apply only to the extent not superseded by the terms of the applicable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rights to our stockholders for the purchase of shares of our common stock or preferred stock. Each series of rights will be issued under a separate rights agreement to be entered into between us and a bank or trust company, as rights agent, all as set forth in the prospectus supplement relating to the particular issue of rights. The rights agent will act solely as our agent in connection with the certificates relating to the rights of such series and will not assume any obligation or relationship of agency or trust for or with any holders or beneficial owners of the rights. The rights agreement and the form of rights certificates relating to each series of rights will be filed with the SEC and incorporated by reference as an exhibit to the registration statement of which this prospectus is a part.</w:t>
      </w:r>
    </w:p>
    <w:p>
      <w:pPr>
        <w:spacing w:after="0" w:line="193"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applicable prospectus supplement will describe the following terms, where applicable, of the rights in respect of which this prospectus and the applicable prospectus supplement are being delivered:</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for determining the stockholders entitled to the rights distribution;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aggregate number of shares of common stock or preferred stock purchasable upon exercise of the rights and the exercise price;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designation and terms of the preferred stock purchasable upon exercise of the rights, if applicable,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number of rights being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if any, on and after which the rights may be transferable separately;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on which the right to exercise such rights shall commence and the date on which such right shall expire;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listing of the rights and the shares of common stock or preferred stock purchasable upon exercise of the rights on any securities exchange;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appropriate, a discussion of any additional material U.S. federal income tax considerations applicable to the rights;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other terms of the rights, including terms, procedures and limitations relating to the distribution, exchange and exercise of such rights.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of rights will be subject to the restrictions on ownership and transfer in our charter. See “Restrictions on Ownership and Transfer.”</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i w:val="1"/>
          <w:iCs w:val="1"/>
          <w:color w:val="auto"/>
        </w:rPr>
        <w:t>The following description sets forth certain general terms of the units to which any prospectus supplement may relate. The applicable prospectus supplement will describe the specific terms of the units we may offer, and the terms and provisions described in this section will apply only to the extent not superseded by the terms of the applicable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may issue units consisting of two or more of the securities described in this prospectus in any combination. These units may be issuable as, and for a specified period of time may be transferrable only as, a single security, rather than as the separate constituent securities comprising such units. The form of unit agreement and the form of unit certificate for each series of units will be filed with the SEC and incorporated by reference as an exhibit to the registration statement of which this prospectus is a part.</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applicable prospectus supplement will describe the following terms, where applicable, of the units in respect of which this prospectus and the applicable prospectus supplement are being delivered:</w:t>
      </w:r>
    </w:p>
    <w:p>
      <w:pPr>
        <w:spacing w:after="0" w:line="76" w:lineRule="exact"/>
        <w:rPr>
          <w:sz w:val="20"/>
          <w:szCs w:val="20"/>
          <w:color w:val="auto"/>
        </w:rPr>
      </w:pPr>
    </w:p>
    <w:p>
      <w:pPr>
        <w:ind w:left="900" w:right="3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the units and the securities constituting the units, including whether and under what circumstances the securities constituting the units may be traded separately or listed on any securities exchange;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any unit agreement governing the units;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appropriate, a discussion of any material U.S. federal income tax considerations applicable to the units;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for the payment, settlement, transfer or exchange of the units.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units will be subject to the restrictions on ownership and transfer in our charter. See “Restrictions on Ownership and Transfer.”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PROVISIONS OF MARYLAND LAW AND OF OUR CHARTER AND BYLAWS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The following summary of certain provisions of Maryland law and our charter and bylaws does not purport to be complete and is subject to and qualified in its entirety by reference to the MGCL and to our charter and bylaws. Copies of our charter and bylaws are exhibits to the registration statement of which this prospectus is a part. See “Where You Can Find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 that the number of our directors will not be less than the minimum number required under the MGCL, which is one, and may be increased or decreased pursuant to our bylaws. Our bylaws provide that a majority of our entire board may increase or decrease the number of directors, provided that the number of directors shall never be less than the minimum required by the MGCL nor more than 15. Subject to the terms of any class or series of preferred stock, any and all vacancies on the board of directors may be filled only by a majority of the remaining directors, even if the remaining directors do not constitute a quorum, and any director elected to fill a vacancy will serve for the remainder of the full term of the directorship in which such vacancy occurred and until a successor is elected and qualifies. Each member of our board of directors is elected by our stockholders to serve until the next annual meeting of stockholders and until his or her successor is duly elected and qualifies. Holders of shares of our common stock have no right to cumulative voting in the election of directors, and directors are elected by a plurality of the votes cast in the election of directors.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Removal of Directors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charter provides that, subject to the rights of holders of one or more classes or series of preferred stock to elect or remove one or more directors, a director may be removed at any time, but only for cause and only by the affirmative vote of holders of shares entitled to cast at least two-thirds of the votes entitled to be cast generally in the election of directors. “Cause” is defined in our charter, with respect to any particular director, as the conviction of a felony or a final judgment of a court of competent jurisdiction holding that such director caused demonstrable, material harm to us through bad faith or active and deliberate dishonesty. This provision, when coupled with the exclusive power of our board of directors to fill vacant directorships, may preclude stockholders from removing incumbent directors except for cause and by a substantial affirmative vote and filling the vacancies created by such removal with their own nominees.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MGCL, certain “business combinations” (including a merger, consolidation, statutory share exchange or, in circumstances specified in the statute, an asset transfer or issuance or reclassification of equity securities) between a Maryland corporation and an interested stockholder (i.e., any person (other than the corporation or any subsidiary) who beneficially owns 10% or more of the voting power of the corporation’s outstanding voting stock after the date on which the corporation had 100 or more beneficial owners of its stock, or an affiliate or associate of the corporation who, at any time within the two-year period immediately prior to the date in question, was the beneficial owner of 10% or more of the voting power of the then outstanding stock of the corporation after the date on which the corporation had 100 or more beneficial owners of its stock) or an affiliate of an interested stockholder, are prohibited for five years after the most recent date on which the interested stockholder becomes an interested stockholder. Thereafter, any such business combination between the Maryland corporation and an interested stockholder generally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form as previously paid by the interested stockholder for its shares. A person is not an interested stockholder under the statute if the board of directors approved in advance the transaction by which the person otherwise would have become an interested stockholder. The board of directors may provide that its approval is subject to compliance, at or after the time of approval, with any terms and conditions determined by it.</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permitted by the MGCL, our board of directors has adopted a resolution exempting any business combination between us and any other person, provided that the business combination is first approved by our board of directors (including a majority of directors who are not affiliates or associates of such persons). However, our board of directors may repeal or modify this resolution at any time in the future, in which case the applicable provisions of this statute will become applicable to business combinations between us and interested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Share Acquisitions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MGCL provides that holders of “control shares” of a Maryland corporation acquired in a “control share acquisition” have no voting rights with respect to the control shares except to the extent approved by the affirmative vote of two-thirds of the votes entitled to be cast on the matter with respect to such shares, excluding votes cast by (1) the person who makes or proposes to make a control share acquisition, (2) an officer of the corporation or (3) an employee of the corporation who is also a director of the corporation. “Control shares” are voting shares of stock of the corporation which, if aggregated with all other such shares of stock of the corporation previously acquired by the acquirer or in respect of which the acquirer is able to exercise or direct the exercise of voting power (except solely by virtue of a revocable proxy), would entitle the acquirer to exercise, directly or indirectly,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person who has made or proposes to make a control share acquisition, upon satisfaction of certain conditions (including an undertaking to pay expenses), may compel the board of directors to call a special meeting of stockholders to be held within 50 days of demand to consider the voting rights of the shares. If no request for a meeting is made, the corporation may itself present the question at any stockholders meeting.</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spacing w:after="0" w:line="17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control share acquisition statute does not apply to, among other things: (1) shares acquired in a merger, consolidation or statutory share exchange if the corporation is a party to the transaction or (2) acquisitions approved or exempted by the charter or bylaws of the corporation.</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Our bylaws contain a provision exempting from the control share acquisition statute any acquisition by any person of shares of our stock; however, our board of directors may repeal such bylaw provision, in whole or in part, at any time. There can be no assurance that such provision will not be amended or eliminated at any time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Maryland Unsolicited Takeovers Act</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 of the MGCL which provide, respectively, that:</w:t>
      </w:r>
    </w:p>
    <w:p>
      <w:pPr>
        <w:spacing w:after="0" w:line="8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corporation’s board of directors will be divided into three classes;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affirmative vote of two-thirds of all the votes entitled to be cast by stockholders generally in the election of directors is required to remove a director;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directors may be fixed only by vote of the directors;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vacancy on the board of directors may be filled only by the remaining directors and that directors elected to fill a vacancy will serve for the remainder of the full term of the class of directors in which the vacancy occurred; and</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request of stockholders entitled to cast at least a majority of all the votes entitled to be cast at the meeting is required for stockholders to require the calling of a special meeting of stockholders.</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Without our having elected to be subject to Subtitle 8, our charter and bylaws already (1) require the affirmative vote of holders of shares entitled to cast at least two-thirds of all the votes entitled to be cast generally in the election of directors to remove a director from our board of directors, (2) vest in our board of directors the exclusive power to fix the number of directors, by vote of a majority of our entire board of directors, and (3) require, unless called by the Chairman of our board of directors, our Chief Executive Officer, our President or our board of directors, the request of stockholders entitled to cast not less than a majority of all the votes entitled to be cast at the meeting to call a special meeting of stockholders. We have elected by provision in our charter to be subject to the provisions of Subtitle 8 relating to the filling of vacancies. Our board of directors is not currently classified. In the future, our board of directors may elect, without stockholder approval, to classify our board of directors or elect to be subject to any of the other provisions of Subtitle 8.</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Amendments and Extraordinary Transactions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Under the MGCL, a Maryland corporation generally cannot dissolve, amend its charter, merge, convert, sell all or substantially all of its assets, engage in a statutory share exchange or engage in similar transactions outside the ordinary course of business unless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Our charter generally provides that charter amendments requiring stockholder approval must be declared advisable by our board of directors and approved by the affirmative vote of stockholders entitled to cast a majority of all of the votes entitled to be cast on the matter. However, our charter’s provisions regarding the removal of directors and restrictions on ownership and transfer of our stock, and amendments to the vote required to amend these provisions, may be amended only if such amendment is declared advisable by our board of directors and approved by the affirmative vote of stockholders entitled to cast not less than two-thirds of all the votes entitled to be cast on the matter. In addition, we generally may not merge with or convert into another company, sell all or substantially all of our assets, engage in a share exchange or engage in similar transactions outside the ordinary course of business unless such transaction is declared advisable by our board of directors and approved by the affirmative vote of stockholders entitled to cast a majority of all of the votes entitled to be cast on the matter. However, because operating assets may be held by a corporation’s subsidiaries, as in our situation, this may mean that one of our subsidiaries could transfer all of its assets without any vote of our stockholders.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Bylaw Amendments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the exclusive power to adopt, alter or repeal any provision of our bylaws and to make new bylaws.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Notice of Director Nominations and New Business</w:t>
      </w:r>
    </w:p>
    <w:p>
      <w:pPr>
        <w:spacing w:after="0" w:line="12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bylaws provide that, with respect to an annual meeting of stockholders, nominations of individuals for election to our board of directors and the proposal of other business to be considered by our stockholders at an annual meeting of stockholders may be made only (1) pursuant to our notice of the meeting, (2) by or at the direction of our board of directors or (3) by a stockholder who was a stockholder of record both at the time of giving of notice and at the time of the meeting, who is entitled to vote at the meeting on the election of the individual so nominated or on such other business and who has complied with the advance notice procedures set forth in our bylaws, including a requirement to provide certain information about the stockholder and its affiliates and the nominee or business proposal, as applicable.</w:t>
      </w:r>
    </w:p>
    <w:p>
      <w:pPr>
        <w:spacing w:after="0" w:line="19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With respect to special meetings of stockholders, only the business specified in our notice of meeting may be brought before the meeting. Nominations of individuals for election to our board of directors may be made at a special meeting of stockholders at which directors are to be elected only (1) by or at the direction of our board of directors or (2) provided that the special meeting has been properly called for the purpose of electing directors, by a stockholder who was a stockholder of record both at the time of giving of notice and at the time of the meeting, who is entitled to vote at the meeting in the election of each individual so nominated and who has complied with the advance notice provisions set forth in our bylaws, including a requirement to provide certain information about the stockholder and its affiliates and the nominee.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 of Certain Provisions of Maryland Law and of Our Charter and Bylaws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charter and bylaws and Maryland law contain provisions that may delay, defer or prevent a change in control or other transaction that might involve a premium price for our common stock or otherwise be in the best interests of our stockholders, including supermajority vote and cause requirements for removal of directors, provisions that vacancies on our board of directors may be filled only by the remaining directors, for the full term of the directorship in which the vacancy occurred, the power of our board of directors to increase or decrease the aggregate number of authorized shares of stock or the number of shares of any class or series of stock, to cause us to issue additional shares of stock of any class or series and to fix the terms of one or more classes or series of stock without stockholder approval, the restrictions on ownership and transfer of our stock and advance notice requirements for director nominations and stockholder proposals. Likewise, if the provision in the bylaws opting out of the control share acquisition provisions of the MGCL or the resolution of our board of directors opting out of the business combination provisions of the MGCL were repealed or rescinded, or if a business combination was not first approved by our board of directors, these provisions of the MGCL could have similar anti-takeover effects.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Directors’ and Officers’ Liability and Indemnification</w:t>
      </w:r>
    </w:p>
    <w:p>
      <w:pPr>
        <w:spacing w:after="0" w:line="12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MGCL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w:t>
      </w:r>
    </w:p>
    <w:p>
      <w:pPr>
        <w:ind w:right="680" w:firstLine="8"/>
        <w:spacing w:after="0" w:line="261"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active and deliberate dishonesty that is established by a final judgment and is material to the cause of action. Our charter contains a provision that eliminates such liability to the maximum extent permitted by Maryland law.</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charter and bylaws provide for indemnification of our officers and directors against liabilities to the maximum extent permitted by the MGCL.</w:t>
      </w:r>
    </w:p>
    <w:p>
      <w:pPr>
        <w:spacing w:after="0" w:line="23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connection with any proceeding to which they may be made, or threatened to be made, a party by reason of their service in those or other capacities unless it is established that:</w:t>
      </w:r>
    </w:p>
    <w:p>
      <w:pPr>
        <w:spacing w:after="0" w:line="76" w:lineRule="exact"/>
        <w:rPr>
          <w:sz w:val="20"/>
          <w:szCs w:val="20"/>
          <w:color w:val="auto"/>
        </w:rPr>
      </w:pPr>
    </w:p>
    <w:p>
      <w:pPr>
        <w:ind w:left="90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(1) was committed in bad faith or (2) was the result of active and deliberate dishonesty;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However, under the MGCL, a Maryland corporation may not indemnify a director or officer for an adverse judgment in a suit by or in the right of the corporation or for a judgment of liability on the basis that personal benefit was improperly received by such director or officer, unless in either case a court orders indemnification, and then only for expenses. In addition, the MGCL permits a Maryland corporation to advance reasonable expenses to a director or officer upon its receipt of:</w:t>
      </w:r>
    </w:p>
    <w:p>
      <w:pPr>
        <w:spacing w:after="0" w:line="92" w:lineRule="exact"/>
        <w:rPr>
          <w:sz w:val="20"/>
          <w:szCs w:val="20"/>
          <w:color w:val="auto"/>
        </w:rPr>
      </w:pPr>
    </w:p>
    <w:p>
      <w:pPr>
        <w:ind w:left="900" w:right="72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Our charter authorizes us and our bylaws obligate us, to the maximum extent permitted by Maryland law, to indemnify and, without requiring a preliminary determination of the ultimate entitlement to indemnification, pay or reimburse reasonable expenses in advance of final disposition of such a proceeding to:</w:t>
      </w:r>
    </w:p>
    <w:p>
      <w:pPr>
        <w:spacing w:after="0" w:line="87" w:lineRule="exact"/>
        <w:rPr>
          <w:sz w:val="20"/>
          <w:szCs w:val="20"/>
          <w:color w:val="auto"/>
        </w:rPr>
      </w:pPr>
    </w:p>
    <w:p>
      <w:pPr>
        <w:ind w:left="900" w:right="80" w:hanging="446"/>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present or former director or officer of our company who is made, or threatened to be made, a party to the proceeding by reason of his or her service in that capacity; and</w:t>
      </w:r>
    </w:p>
    <w:p>
      <w:pPr>
        <w:spacing w:after="0" w:line="75" w:lineRule="exact"/>
        <w:rPr>
          <w:rFonts w:ascii="Arial" w:cs="Arial" w:eastAsia="Arial" w:hAnsi="Arial"/>
          <w:sz w:val="18"/>
          <w:szCs w:val="18"/>
          <w:color w:val="auto"/>
        </w:rPr>
      </w:pPr>
    </w:p>
    <w:p>
      <w:pPr>
        <w:jc w:val="both"/>
        <w:ind w:left="900" w:right="400" w:hanging="446"/>
        <w:spacing w:after="0" w:line="31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any individual who, while a director or officer of our company and at our request, serves or has served as a director, officer, partner, trustee, member or manager of another corporation, REIT, limited liability company, partnership, joint venture, trust, employee benefit plan or other enterprise and who is made, or threatened to be made, a party to the proceeding by reason of his or her service in that capacity.</w:t>
      </w:r>
    </w:p>
    <w:p>
      <w:pPr>
        <w:spacing w:after="0" w:line="14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Our charter and bylaws also permit us, with the approval of our board of directors, to indemnify and advance expenses to any individual who served our predecessor in any of the capacities described above and to any employee or agent of our company or our predecessor.</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that provide for indemnification to the maximum extent permitted by Maryland law and advancement by us of expenses and costs relating to certain claims, suits or proceedings arising from their service to us.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REIT Qualification</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Our charter provides that our board of directors may revoke or otherwise terminate our REIT election, without approval of our stockholders, if it determines that it is no longer in our best interests to attempt to qualify, or to continue to qualify, as a REIT.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22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order to qualify as a REIT under the Code for each taxable year, our shares of stock must be beneficially owned by 100 or more persons during at least 335 days of a taxable year of 12 months or during a proportionate part of a shorter taxable year. In addition, no more than 50% of the value of the outstanding shares of our stock may be owned, directly or constructively, by five or fewer individuals (as defined in the Code to include certain entities) during the second half of any calendar year.</w:t>
      </w:r>
    </w:p>
    <w:p>
      <w:pPr>
        <w:spacing w:after="0" w:line="18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Because our board of directors believes it is at present essential for us to qualify as a REIT, our charter provides that, subject to certain exceptions, no person or entity may beneficially or constructively own more than 9.0% in value or in number of shares, whichever is more restrictive, of the outstanding shares of any class or series of our stock, excluding any outstanding shares of our stock not treated as outstanding for federal income tax purposes, or the ownership limit. In addition, our charter provides that Mr. Middleman, our Chairman of the board of directors, may beneficially or constructively own up to 13.5% in value or in number of shares, whichever is more restrictive, of the outstanding shares of any class or series of our stock.</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charter also prohibits any person from:</w:t>
      </w:r>
    </w:p>
    <w:p>
      <w:pPr>
        <w:spacing w:after="0" w:line="131" w:lineRule="exact"/>
        <w:rPr>
          <w:sz w:val="20"/>
          <w:szCs w:val="20"/>
          <w:color w:val="auto"/>
        </w:rPr>
      </w:pPr>
    </w:p>
    <w:p>
      <w:pPr>
        <w:ind w:left="900" w:right="1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beneficially owning shares of our stock to the extent such beneficial ownership would result in our being “closely held” under Section 856(h) of the Code (without regard to whether the ownership interest is held during the last half of a taxable year);</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transferring shares of our stock to the extent such transfer would result in our shares of stock being beneficially owned by fewer than 100 stockholders (determined under the principles of Section 856(a)(5) of the Code); and</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beneficially or constructively owning shares of our stock to the extent that such beneficial or constructive ownership would otherwise cause us to fail to qualify as a REIT under the Code.</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Any person who acquires or attempts or intends to acquire beneficial or constructive ownership of shares of our stock that will or may violate any of the foregoing restrictions on ownership and transfer, or who is the intended transferee of shares of our stock which are transferred to the trust (as described below), will be required to give written notice immediately to us or, in the case of a proposed or attempted transaction, to give at least 15 days’ prior written notice, and provide us with such other information as we may request in order to determine the effect, if any, of such transfer on our status as a REIT. The foregoing restrictions on ownership and transfer will not apply if our board of directors determines that it is no longer in our best interests to attempt to qualify, or to continue to qualify, as a REIT under the Code, or that compliance with the restrictions on ownership and transfer is no longer required for us to qualify as a REIT under the Code.</w:t>
      </w:r>
    </w:p>
    <w:p>
      <w:pPr>
        <w:spacing w:after="0" w:line="18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board of directors, in its sole discretion, may exempt (prospectively or retroactively) a person from certain of the restrictions described above and may establish or increase an excepted holder limit for such person. The person seeking an exemption must provide to our board of directors any such representations, covenants and undertakings as our board of directors may deem appropriate in order to conclude that granting the exemption and/or establishing or increasing an excepted holder limit, as the case may be, will not cause us to fail to qualify as a REIT under the Code. Our board of directors may also require a ruling from the Internal Revenue Service, or IRS, or an opinion of counsel, in either case in form and substance satisfactory to the board of directors in its sole discretion, as it may deem necessary or advisable in order to determine that granting the exemption will not cause us to lose our qualification as a REIT under the Code. In connection with granting a waiver of the ownership limit or creating an excepted holder limit or at any other time, our board of directors may from time to time increase or decrease the ownership limit, except that a decreased ownership limit will not be effective for any person whose ownership of our stock exceeds the decreased ownership limit at the time of the decrease until the person’s ownership of our stock equals or falls below the decreased ownership limit, although any further acquisition of our stock in excess of the decreased ownership limit will violate the decreased ownership limit. Our board of directors may not increase or decrease any ownership limit if the new ownership limit would allow five or fewer individuals (including certain entities) to beneficially own more than 49.9% in value of our outstanding stock.</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shares of our stock are certificated, all such certificates will bear a legend referring to the restrictions described above (or a declaration that we will furnish a full statement about certain restrictions on transferability to a stockholder on request and without charge).</w:t>
      </w:r>
    </w:p>
    <w:p>
      <w:pPr>
        <w:spacing w:after="0" w:line="170"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Any attempted transfer of our stock that, if effective, would result in a violation of the foregoing restrictions, will cause the number of shares of stock causing the violation (rounded up to the nearest whole share) to be automatically transferred to a charitable trust for the benefit of one or more charitable beneficiaries and the proposed transferee will not acquire any rights in such shares, except that any transfer that, if effective, would result in the violation of the restriction relating to shares of our stock being beneficially owned by fewer than 100 persons will be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The automatic transfer will be effective as of the close of business on the business day (as defined in our charter) prior to the date of the transfer. If, for any reason, the transfer to the trust would not be effective to prevent the violation of the foregoing restrictions, our charter provides that the purported transfer in violation of the restrictions will be void </w:t>
      </w:r>
      <w:r>
        <w:rPr>
          <w:rFonts w:ascii="Arial" w:cs="Arial" w:eastAsia="Arial" w:hAnsi="Arial"/>
          <w:sz w:val="17"/>
          <w:szCs w:val="17"/>
          <w:i w:val="1"/>
          <w:iCs w:val="1"/>
          <w:color w:val="auto"/>
        </w:rPr>
        <w:t>ab initio</w:t>
      </w:r>
      <w:r>
        <w:rPr>
          <w:rFonts w:ascii="Arial" w:cs="Arial" w:eastAsia="Arial" w:hAnsi="Arial"/>
          <w:sz w:val="17"/>
          <w:szCs w:val="17"/>
          <w:color w:val="auto"/>
        </w:rPr>
        <w:t>. Shares of our stock held in the trust will be issued and outstanding shares of stock. The proposed transferee will not benefit economically from ownership of any shares of stock held in the trust, will have no rights to distributions and no rights to vote or other rights attributable to the shares of stock held in the trust. The proposed transferee will have no claims, courses of action, or any other recourse whatsoever against the purported transferor of such stock.</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trustee of the trust will have all voting rights and rights to distributions with respect to shares of stock held in the trust. These rights will be exercised for the exclusive benefit of the charitable beneficiary. Any distribution paid to the proposed transferee prior to our discovery that shares of stock have been transferred to the trust must be paid by the recipient to the trustee upon demand. Any distribution authorized but unpaid will be paid when due to the trustee. Any distribution paid to the trustee will be held in trust for the charitable beneficiary. Subject to Maryland law, effective as of the date that the shares have been transferred to the charitable trust, the trustee will have the authority (at the trustee’s sole discretion) to (i) rescind as void any vote cast by the proposed transferee prior to our discovery that the shares have been transferred to the trust and (ii)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9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Within 20 days of receiving notice from us that shares of our stock have been transferred to the trust, the trustee must sell the shares to a person designated by the trustee, whose ownership of the shares will not violate the above ownership and transfer limitations. Upon such sale, the interest of the charitable beneficiary in the shares sold will terminate and the trustee will distribute the net proceeds of the sale to the proposed transferee and to the charitable beneficiary as follows. The proposed transferee will receive the lesser of (i) the price paid by the proposed transferee for the shares or, if the proposed transferee did not give value for the shares in connection with the event causing the shares to be held in the trust (for example, a gift, devise or other similar transaction), the market price (as defined in our charter) of the shares on the day of the event causing the shares to be held in the trust and (ii) the price per share received by the trustee from the sale or other disposition of the shares (net of any commissions and other expenses). Any net sale proceeds in excess of the amount payable to the proposed transferee will be paid immediately to the charitable beneficiary. The trustee may reduce the amount payable to the proposed transferee by the amount of distributions paid to the proposed transferee and owed by the proposed transferee to the trustee. If, prior to our discovery that shares of our stock have been transferred to the trust, the shares are sold by the proposed transferee, then (i) the shares will be deemed to have been sold on behalf of the trust and (ii) to the extent that the proposed transferee received an amount for the shares that exceeds the amount the proposed transferee was entitled to receive, the excess must be paid to the trustee upon demand.</w:t>
      </w:r>
    </w:p>
    <w:p>
      <w:pPr>
        <w:spacing w:after="0" w:line="16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In addition, shares of our stock held in the trust will be deemed to have been offered for sale to us, or our designee, at a price per share equal to the lesser of (i) the price per share in the transaction that resulted in the transfer to the trust (or, if the event that resulted in the transfer to the trust did not involve a purchase of the shares of our stock at market price, for example, in the case of a devise or gift, the market price of the shares of</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stock on the day of the event causing these shares to be held in trust) and (ii) the market price on the date we accept, or our designee accepts, the offer, which we may reduce by the amount of distributions paid to the proposed transferee and owed by the proposed transferee to the trustee. We may pay the amount of such reduction to the trustee for the benefit of the charitable beneficiary. We will have the right to accept the offer until the trustee has sold the shares. Upon a sale to us, the interest of the charitable beneficiary in the shares sold will terminate and the trustee will distribute the net proceeds of the sale to the proposed transferee and any distributions held by the trustee will be paid to the charitable beneficiary.</w:t>
      </w:r>
    </w:p>
    <w:p>
      <w:pPr>
        <w:spacing w:after="0" w:line="173"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Our charter provides that to the extent we incur any tax under the Code as the result of any “excess inclusion income” of ours being allocated to a “disqualified organization” that holds our stock in record name, we shall reduce distributions to such stockholder in an amount equal to such tax paid by us that is attributable to such stockholder’s ownership in accordance with applicable U.S. Treasury Regulations. While we do not currently expect to make investments or engage in activities that generate “excess inclusion income,” our charter does not prevent “disqualified organizations” from owning our common or preferred stock. See “Material U.S. Federal Income Tax Considerations—Taxation of Our Company” and “—Requirements for Qualification— Taxable Mortgage Pools and Excess Inclusion Income” for a discussion of “disqualified organizations” and “excess inclusion income.”</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Every owner of 5% or more (or such lower percentage as required by the Code or the regulations promulgated thereunder), in number or value, of all classes or series of our stock, including shares of common stock, within 30 days after the end of each taxable year, must give written notice to us stating the name and address of such owner, the number of shares of each class and series of our stock which the owner beneficially owns and a description of the manner in which the shares are held. Each owner must also provide to us such additional information as we may request in order to determine the effect, if any, of the beneficial ownership on our status as a REIT and to ensure compliance with the ownership limit. In addition, each owner of our stock must provide to us such information as we may request in order to determine our status as a REIT and to comply with the requirements of any taxing authority or governmental authority or to determine such compliance and to ensure compliance with the restrictions on ownership and transfer of shares of our stock.</w:t>
      </w:r>
    </w:p>
    <w:p>
      <w:pPr>
        <w:spacing w:after="0" w:line="16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These ownership and transfer limitations could delay, defer or prevent a transaction or a change in control that might involve a premium price for our securities or might otherwise be in the best interests of our stockholders.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BOOK-ENTRY SECURITIES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may issue the securities offered by means of this prospectus in whole or in part in book-entry form, meaning that beneficial owners of the securities will not receive certificates representing their ownership interests in the securities, except in the event the book-entry system for the securities is discontinued. If securities are issued in book entry form, they will be evidenced by one or more global securities that will be deposited with, or on behalf of, a depositary identified in the applicable prospectus supplement relating to the securities. The Depository Trust Company is expected to serve as depositary. Global securities may be issued in either registered or bearer form and in either temporary or permanent form. The specific terms of the depositary arrangement with respect to a class or series of securities that differ from the terms described here will be described in the applicable prospectus supplement.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otherwise indicated in the applicable prospectus supplement, we anticipate that the following provisions will apply to depositary arrangements.</w:t>
      </w:r>
    </w:p>
    <w:p>
      <w:pPr>
        <w:spacing w:after="0" w:line="24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Upon the issuance of a global security, the depositary for the global security or its nominee will credit on its book-entry registration and transfer system the respective principal amounts of the individual securities represented by such global security to the accounts of persons that have accounts with such depositary, who are called “participants.” Such accounts shall be designated by the underwriters, dealers or agents with respect to the securities or by us if the securities are offered and sold directly by us. Ownership of beneficial interests in a global security will be limited to the depositary’s participants or persons that may hold interests through such participants. Ownership of beneficial interests in the global security will be shown on, and the transfer of that ownership will be effected only through, records maintained by the applicable depositary or its nominee (with respect to beneficial interests of participants) and records of the participants (with respect to beneficial interests of persons who hold through participants). The laws of some states require that certain purchasers of securities take physical delivery of such securities in definitive form. Such limits and laws may impair the ability to own, pledge or transfer a beneficial interest in a global security.</w:t>
      </w:r>
    </w:p>
    <w:p>
      <w:pPr>
        <w:spacing w:after="0" w:line="19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So long as the depositary for a global security or its nominee is the registered owner of such global security, such depositary or nominee, as the case may be, will be considered the sole owner or holder of the securities represented by such global security for all purposes under the applicable instrument defining the rights of a holder of the securities. Except as provided below or in the applicable prospectus supplement, owners of a beneficial interest in a global security will not be entitled to have any of the individual securities of the series represented by such global security registered in their names, will not receive or be entitled to receive physical delivery of any such securities in definitive form and will not be considered the owners or holders thereof under the applicable instrument defining the rights of the holders of the securities.</w:t>
      </w:r>
    </w:p>
    <w:p>
      <w:pPr>
        <w:spacing w:after="0" w:line="17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Payments of amounts payable with respect to individual securities represented by a global security registered in the name of a depositary or its nominee will be made to the depositary or its nominee, as the case may be, as the registered owner of the global security representing such securities. None of us, our officers and board members or any trustee, paying agent or security registrar for an individual series of securities will have any responsibility or liability for any aspect of the records relating to or payments made on account of beneficial ownership interests in the global security for such securities or for maintaining, supervising or reviewing any records relating to such beneficial ownership interests.</w:t>
      </w:r>
    </w:p>
    <w:p>
      <w:pPr>
        <w:spacing w:after="0" w:line="173"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We expect that the depositary for a series of securities offered by means of this prospectus or its nominee, upon receipt of any payment of principal, premium, interest, distribution or other amount in respect of a permanent global security representing any of such securities, will immediately credit its participants’ accounts with payments in amounts proportionate to their respective beneficial interests in the principal amount of such global security for such securities as shown on the records of such depositary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Such payments will be the responsibility of such participants.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This section summarizes the material U.S. federal income tax considerations that you, as a securityholder, may consider relevant. Hunton &amp; Williams LLP has acted as our counsel, has reviewed this summary, and is of the opinion that the discussion contained herein is accurate in all material respects. Because this section is a summary, it does not address all aspects of taxation that may be relevant to particular securityholders in light of their personal investment or tax circumstances, or to certain types of securityholders that are subject to special treatment under the U.S. federal income tax laws, such as:</w:t>
      </w:r>
    </w:p>
    <w:p>
      <w:pPr>
        <w:spacing w:after="0" w:line="6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tax-exempt organizations (except to the extent discussed in “—Taxation of Tax-Exempt U.S. Holders” below);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institutions or broker-dealers;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non-U.S. individuals and non-U.S. corporations (except to the extent discussed in “—Taxation of Non-U.S. Holders” below);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who mark-to-market our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subchapter S corporations;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regulated investment companies and REITs, and their investors;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trusts and estates (except to the extent discussed herein);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who receive our securities through the exercise of employee stock options or otherwise as compensation;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persons holding our securities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subject to the alternative minimum tax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holding our securities through a partnership or similar pass-through entity;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persons holding a 10% or more (by vote or value) beneficial interest in our capital stock.</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This summary assumes that securityholders hold our securities as capital assets for U.S. federal income tax purposes, which generally means as property held for investment.</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statements in this section are not intended to be, and should not be construed as, tax advice. The statements in this section are based on the Code, current, temporary and proposed U.S. Treasury regulations,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In each case, these sources are relied upon as they exist on the date of this discussion. Future legislation, U.S. Treasury regulations, administrative interpretations and court decisions could change current law or adversely affect existing interpretations of current law on which the information in this section is based. Any such change could apply retroactively. We have not received any rulings from the IRS concerning our qualification as a REIT. Accordingly, even if there is no change in the applicable law, no assurance can be provided that the statements made in the following discussion, which do not bind the IRS or the courts, will not be challenged by the IRS or will be sustained by a court if so challenged.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URGE YOU TO CONSULT YOUR TAX ADVISER REGARDING THE SPECIFIC TAX CONSEQUENCES TO YOU OF THE PURCHASE, OWNERSHIP AND SALE OF OUR SECURITIES AND OF OUR ELECTION TO BE TAXED AS A REIT. SPECIFICALLY, YOU SHOULD CONSULT YOUR TAX ADVISER REGARDING THE FEDERAL, STATE, LOCAL, FOREIGN, AND OTHER TAX CONSEQUENCES OF SUCH PURCHASE, OWNERSHIP, SALE AND ELECTION, AND REGARDING POTENTIAL CHANGES IN APPLICABLE TAX LAWS.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Our Company</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elected to be taxed as a REIT under Sections 856 through 860 of the Code commencing with our short taxable year ended on December 31, 2013. We believe that, commencing with our short taxable year ended December 31, 2013, we have been organized and have operated in such a manner as to qualify for taxation as a REIT under the federal income tax laws, and we intend to continue to operate in such a manner, but no assurances can be given that we will operate in a manner so as to qualify or remain qualified as a REIT. This section discusses the laws governing the federal income tax treatment of a REIT and its securityholders. These laws are highly technical and complex.</w:t>
      </w:r>
    </w:p>
    <w:p>
      <w:pPr>
        <w:spacing w:after="0" w:line="1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the opinion of Hunton &amp; Williams LLP, we qualified to be taxed as a REIT under the U.S. federal income tax laws for our short taxable year ended on December 31, 2013, and our organization and current and proposed method of operation will enable us to satisfy the requirements for qualification and taxation as a REIT under the U.S. federal income tax laws for our taxable year ending December 31, 2014 and subsequent taxable years. Investors should be aware that Hunton &amp; Williams LLP’s opinion is based upon customary assumptions, is conditioned upon certain representations made by us as to factual matters, including representations regarding the nature of our assets and the conduct of our business, is not binding upon the IRS or any court and speaks as of the date issued. In addition, Hunton &amp; Williams LLP’s opinion is based on existing federal income tax law governing qualification as a REIT, which is subject to change either prospectively or retroactively. Moreover, our qualification and taxation as a REIT depend upon our ability to meet on a continuing basis, through actual annual operating results, certain qualification tests set forth in the federal income tax laws. Those qualification tests involve the percentage of income that we earn from specified sources, the percentage of our assets that fall within specified categories, the diversity of our share ownership, and the percentage of our earnings that we distribute. Hunton &amp; Williams LLP will not review our compliance with those tests on a continuing basis. Accordingly, no assurance can be given that our actual results of operations for any particular taxable year will satisfy such requirements. Hunton &amp; Williams LLP’s opinion does not foreclose the possibility that we may have to use one or more of the REIT “savings” provisions discussed below, which could require us to pay an excise or penalty tax (which could be material) in order for us to maintain our REIT qualification. For a discussion of the tax consequences of our failure to qualify as a REIT, see “—Failure to Qualify.”</w:t>
      </w:r>
    </w:p>
    <w:p>
      <w:pPr>
        <w:spacing w:after="0" w:line="18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we qualify as a REIT, we generally will not be subject to federal income tax on our REIT taxable income that we currently distribute to our stockholders, but taxable income generated by any domestic taxable REIT subsidiaries, or TRSs, will be subject to regular corporate income tax. However, we will be subject to federal tax in the following circumstances:</w:t>
      </w:r>
    </w:p>
    <w:p>
      <w:pPr>
        <w:spacing w:after="0" w:line="87" w:lineRule="exact"/>
        <w:rPr>
          <w:sz w:val="20"/>
          <w:szCs w:val="20"/>
          <w:color w:val="auto"/>
        </w:rPr>
      </w:pPr>
    </w:p>
    <w:p>
      <w:pPr>
        <w:ind w:left="900" w:right="34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pay federal income tax on our taxable income, including net capital gain, that we do not distribute to stockholders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subject to the “alternative minimum tax” on any items of tax preference, including any deductions of net operating losses, that we do not distribute or allocate to stockholders.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net income from the sale or other disposition of property acquired through foreclosure, or foreclosure property, that we hold primarily for sale to customers in the ordinary course of business,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other non-qualifying income from foreclosure property.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pay a 100% tax on net income earned from sales or other dispositions of property, other than foreclosure property, that we hold primarily for sale to customers in the ordinary course of business.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satisfy the 75% gross income test or the 95% gross income test, as described below under “—Gross Income Tests,” but nonetheless continue to qualify as a REIT because we meet other requirements, we will be subject to a 100% tax on:</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greater of the amount by which we fail the 75% gross income test or the 95% gross income test, multiplied, in either case, by</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fraction intended to reflect our profitability.</w:t>
      </w:r>
    </w:p>
    <w:p>
      <w:pPr>
        <w:spacing w:after="0" w:line="130" w:lineRule="exact"/>
        <w:rPr>
          <w:rFonts w:ascii="Arial" w:cs="Arial" w:eastAsia="Arial" w:hAnsi="Arial"/>
          <w:sz w:val="18"/>
          <w:szCs w:val="18"/>
          <w:color w:val="auto"/>
        </w:rPr>
      </w:pPr>
    </w:p>
    <w:p>
      <w:pPr>
        <w:ind w:left="900" w:hanging="446"/>
        <w:spacing w:after="0" w:line="297"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fail to satisfy the asset tests (other than a de minimis failure of the 5% asset test, the 10% vote test or the 10% value test, as described below under “—Asset Tests”), as long as the failure was due to reasonable cause and not to willful neglect, we dispose of the assets or otherwise comply with such asset tests within six months after the last day of the quarter in which we identify such failure and we file a schedule with the IRS describing the assets that caused such failure, we will pay a tax equal to the greater of $50,000 or the product of the highest U.S. federal corporate tax rate (currently, 35%) and the net income from the non-qualifying assets during the period in which we failed to satisfy such asset tests.</w:t>
      </w:r>
    </w:p>
    <w:p>
      <w:pPr>
        <w:spacing w:after="0" w:line="63" w:lineRule="exact"/>
        <w:rPr>
          <w:rFonts w:ascii="Arial" w:cs="Arial" w:eastAsia="Arial" w:hAnsi="Arial"/>
          <w:sz w:val="16"/>
          <w:szCs w:val="16"/>
          <w:color w:val="auto"/>
        </w:rPr>
      </w:pPr>
    </w:p>
    <w:p>
      <w:pPr>
        <w:ind w:left="900" w:right="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satisfy one or more requirements for REIT qualification, other than the gross income tests and the asset tests, and the failure was due to reasonable cause and not to willful neglect, we will be required to pay a penalty of $50,000 for each such failure.</w:t>
      </w:r>
    </w:p>
    <w:p>
      <w:pPr>
        <w:spacing w:after="0" w:line="75"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rules relating to the composition of a REIT’s stockholders, as described below in “—Requirements for Qualification.”</w:t>
      </w:r>
    </w:p>
    <w:p>
      <w:pPr>
        <w:spacing w:after="0" w:line="86"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the year, (ii) 95% of our REIT capital gain net income for the year and (iii) any undistributed taxable income from earlier periods, we will pay a 4% nondeductible excise tax on the excess of the required distribution over the amount we actually distributed, plus any retained amounts on which income tax has been paid at the corporate level.</w:t>
      </w:r>
    </w:p>
    <w:p>
      <w:pPr>
        <w:spacing w:after="0" w:line="92"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In that case, a U.S. holder would be taxed on its proportionate share of our undistributed long-term capital gain (to the extent that we make a timely designation of such gain to the stockholder) and would receive a credit or refund for its proportionate share of the tax we paid.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will be subject to a 100% excise tax on transactions between us and a TRS that are not conducted on an arm’s-length basis.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earnings of any TRS that we form will be subject to U.S. federal corporate income tax.</w:t>
      </w:r>
    </w:p>
    <w:p>
      <w:pPr>
        <w:spacing w:after="0" w:line="130" w:lineRule="exact"/>
        <w:rPr>
          <w:rFonts w:ascii="Arial" w:cs="Arial" w:eastAsia="Arial" w:hAnsi="Arial"/>
          <w:sz w:val="18"/>
          <w:szCs w:val="18"/>
          <w:color w:val="auto"/>
        </w:rPr>
      </w:pPr>
    </w:p>
    <w:p>
      <w:pPr>
        <w:jc w:val="both"/>
        <w:ind w:left="900" w:right="80" w:hanging="446"/>
        <w:spacing w:after="0" w:line="279"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we acquire any asset from a C corporation, or a corporation that generally is subject to full corporate level tax, in a merger or other transaction in which we acquire a basis in the asset that is determined by reference either to the C corporation’s basis in the asset or to another asset, we will pay tax at the highest regular corporate rate applicable if we recognize gain on the sale or disposition of the asset during the 10-year period after we acquire the asset. The amount of gain on which we will pay tax is the lesser of:</w:t>
      </w:r>
    </w:p>
    <w:p>
      <w:pPr>
        <w:spacing w:after="0" w:line="76" w:lineRule="exact"/>
        <w:rPr>
          <w:rFonts w:ascii="Arial" w:cs="Arial" w:eastAsia="Arial" w:hAnsi="Arial"/>
          <w:sz w:val="17"/>
          <w:szCs w:val="17"/>
          <w:color w:val="auto"/>
        </w:rPr>
      </w:pPr>
    </w:p>
    <w:p>
      <w:pPr>
        <w:ind w:left="1460" w:hanging="547"/>
        <w:spacing w:after="0"/>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amount of gain that we recognize at the time of the sale or disposition, and</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amount of gain that we would have recognized if we had sold the asset at the time we acquired it, assuming that the C corporation will not elect, in lieu of this treatment, to be subject to an immediate tax when the asset is acquired.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were to own a residual interest in a real estate mortgage investment conduit, or REMIC, we would be taxable at the highest corporate rate on the portion of any excess inclusion income that we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86" w:lineRule="auto"/>
        <w:rPr>
          <w:sz w:val="20"/>
          <w:szCs w:val="20"/>
          <w:color w:val="auto"/>
        </w:rPr>
      </w:pPr>
      <w:r>
        <w:rPr>
          <w:rFonts w:ascii="Arial" w:cs="Arial" w:eastAsia="Arial" w:hAnsi="Arial"/>
          <w:sz w:val="16"/>
          <w:szCs w:val="16"/>
          <w:color w:val="auto"/>
        </w:rPr>
        <w:t>derive from the REMIC residual interests equal to the percentage of our capital stock that is held in record name by “disqualified organizations.” Although the law is unclear, IRS guidance indicates that similar rules may apply to a REIT that owns an equity interest in a taxable mortgage pool. To the extent that we own a REMIC residual interest or a taxable mortgage pool through a TRS, we will not be subject to this tax. A “disqualified organization” includes: (i) the United States; (ii) any state or political subdivision of the United States; (iii) any foreign government;</w:t>
      </w:r>
    </w:p>
    <w:p>
      <w:pPr>
        <w:spacing w:after="0" w:line="2" w:lineRule="exact"/>
        <w:rPr>
          <w:sz w:val="20"/>
          <w:szCs w:val="20"/>
          <w:color w:val="auto"/>
        </w:rPr>
      </w:pPr>
    </w:p>
    <w:p>
      <w:pPr>
        <w:ind w:left="920" w:right="20" w:hanging="7"/>
        <w:spacing w:after="0" w:line="252" w:lineRule="auto"/>
        <w:tabs>
          <w:tab w:leader="none" w:pos="12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We do not currently intend to hold REMIC residual interests, but we may engage in securitization transactions and other financing activities that may result in treatment of us or a portion of our assets as a taxable mortgage pool. For a discussion of “excess inclusion income,” see “—Requirements for Qualification—Taxable Mortgage Pools and Excess Inclusion Income.”</w:t>
      </w:r>
    </w:p>
    <w:p>
      <w:pPr>
        <w:spacing w:after="0" w:line="19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addition, notwithstanding our qualification as a REIT, we may also have to pay certain state and local income taxes, because not all states and localities treat REITs in the same manner that they are treated for U.S. federal income tax purposes. Moreover, as further described below, any domestic TRS in which we own an interest will be subject to federal, state and local corporate income tax on its taxable income. In addition, we may be subject to a variety of taxes other than U.S. federal income tax, including state and local franchise, property and other taxes and foreign taxes. We could also be subject to tax in situations and on transactions not presently contemplated.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Qualification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REIT is a corporation, trust, or association that meets each of the following requirements:</w:t>
      </w:r>
    </w:p>
    <w:p>
      <w:pPr>
        <w:spacing w:after="0" w:line="131"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managed by one or more trustees or directors.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Its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would be taxable as a domestic corporation, but for the REIT provisions of the federal income tax 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neither a financial institution nor an insurance company subject to special provisions of the federal income tax laws.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At least 100 persons are beneficial owners (determined without reference to any rules of attribution) of its shares or ownership certificates.</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more than 50% in value of its outstanding shares or ownership certificates is owned, directly or indirectly, by five or fewer individuals, which the federal income tax laws define to include certain entities, during the last half of any taxable year.</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elects to be taxed as a REIT, or has made such election for a previous taxable year, and satisfies all relevant filing and other administrative requirements that must be met to elect and maintain REIT qualification.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It meets certain other qualification tests, described below, regarding the nature of its income and assets and the distribution of its income.</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uses the calendar year as its taxable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has no earnings and profits from any non-REIT taxable year at the close of any taxable year.</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must meet requirements 1 through 4 and 9 during our entire taxable year and must meet requirement 5 during at least 335 days of a taxable year of 12 months, or during a proportionate part of a taxable year of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than 12 months. Requirements 5 and 6 apply to us beginning with our 2014 taxable year. If we comply with all the requirements for ascertaining the ownership of our outstanding stock in a taxable year and have no reason to know that we violated requirement 6, we will be deemed to have satisfied requirement 6 for that taxable year. For purposes of determining stock ownership under requirement 6,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our stock in proportion to their actuarial interests in the trust for purposes of requirement 6.</w:t>
      </w:r>
    </w:p>
    <w:p>
      <w:pPr>
        <w:spacing w:after="0" w:line="16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We believe that we have issued stock with sufficient diversity of ownership to satisfy requirements 5 and 6. In addition, our charter restricts the ownership and transfer of our stock so that we should continue to satisfy these requirements. These restrictions, however, may not ensure that we will, in all cases, be able to satisfy these stock ownership requirements. If we fail to satisfy these stock ownership requirements, we may not qualify as a REIT. The provisions of our charter restricting the ownership and transfer of our stock are described in “Restrictions on Ownership and Transfer.” 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U.S. Treasury regulations to submit a statement with your tax return disclosing your actual ownership of our stock and other information. In addition, we must satisfy all relevant filing and other administrative requirements that must be met to elect and maintain REIT status. We intend to continue to comply with these requirements.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Qualified REIT Subsidiaries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other than a TRS, all of the shares of which is owned, directly or through one or more qualified REIT subsidiaries or disregarded entities, by the REIT. Thus, in applying the requirements described herein, any qualified REIT subsidiary that we own will be ignored, and all assets, liabilities, and items of income, deduction, and credit of such subsidiary will be treated as our assets, liabilities, and items of income, deduction, and credit.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Disregarded Entities and Partnerships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 unincorporated domestic entity, such as a limited liability company, that has a single owner generally is not treated as an entity separate from its parent for U.S. federal income tax purposes. An unincorporated domestic entity with two or more owners generally is treated as a partnership for U.S. federal income tax purposes. In the case of a REIT that is a partner in a partnership that has other partners, the REIT is treated as owning its proportionate share of the assets of the partnership and as earning its allocable share of the gross income of the partnership for purposes of the applicable REIT qualification tests. For purposes of the 10% value test (see “—Asset Tests”), our proportionate share is based on our proportionate interest in the equity interests and certain debt securities issued by the partnership. For all of the other asset and income tests, our proportionate share is based on our proportionate interest in the capital interests in the partnership. Our proportionate share of the assets, liabilities, and items of income of any partnership, joint venture, or limited liability company that is treated as a partnership for U.S. federal income tax purposes in which we acquire an interest, directly or indirectly, will be treated as our assets and gross income for purposes of applying the various REIT qualification requirements.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“—Asset Tests” and “—Gross Income Tests.”</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have control of our operating partnership and generally intend to control any subsidiary partnerships and limited liability companies, and we intend to operate them in a manner consistent with the requirements for our qualification as a REIT. We may from time to time be a limited partner or non-managing member in some of our partnerships and limited liability companies. If a partnership or limited liability company in which we own an interest takes or expects to take actions that could jeopardize our status as a REIT or require us to pay tax, we may be forced to dispose of our interest in such entity. In addition, it is possible that a partnership or limited liability company could take an action which could cause us to fail a gross income or asset test, and that we would not become aware of such action in time to dispose of our interest in the partnership or limited liability company or take other corrective action on a timely basis. In that case, we could fail to qualify as a REIT unless we were entitled to relief, as described below.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REIT Subsidiaries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outstanding securities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We generally may not own more than 10%, as measured by voting power or value, of the securities of a corporation that is not a qualified REIT subsidiary or a REIT unless we and such corporation elect to treat such corporation as a TRS. Overall, no more than 25% of the value of a REIT’s assets may consist of stock or securities of one or more TRSs.</w:t>
      </w:r>
    </w:p>
    <w:p>
      <w:pPr>
        <w:spacing w:after="0" w:line="19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separate existence of a TRS or other taxable corporation, unlike a disregarded subsidiary as discussed above, is not ignored for U.S. federal income tax purposes. Accordingly, a domestic TRS would generally be subject to corporate income tax on its earnings, which may reduce the cash flow generated by us and our subsidiaries in the aggregate and our ability to make distributions to our stockholders. 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from the subsidiary. This treatment can affect the gross income and asset test calculations that apply to the REIT, as described below. Because a parent REIT does not include the assets and income of such subsidiary corporations in determining the parent REIT’s compliance with the REIT requirements, such entities may be used by the parent REIT to undertake indirectly activities that the REIT rules might otherwise preclude it from doing directly or through pass-through subsidiaries or render commercially unfeasible (for example, activities that give rise to certain categories of income such as non-qualifying hedging income or inventory sales).</w:t>
      </w:r>
    </w:p>
    <w:p>
      <w:pPr>
        <w:spacing w:after="0" w:line="16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restrictions imposed on TRSs are intended to ensure that such entities will be subject to appropriate levels of federal income taxation. First, a TRS may not deduct interest payments made in any year to an affiliated REIT to the extent that such payments exceed, generally, 50% of the TRS’s adjusted taxable income for that year (although the TRS may carry forward to, and deduct in, a succeeding year the disallowed interest amount if the 50% test is satisfied in that year). In addition, if amounts are paid to a REIT or deducted by a TRS due 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transactions between a REIT, its tenants and/or a TRS, that exceed the amount that would be paid to or deducted by a party in an arm’s-length transaction, the REIT generally will be subject to an excise tax equal to 100% of such excess. We intend that all of our transactions with any TRS that we form will be conducted on an arm’s-length basis, but there can be no assurance that we will be successful in this regard.</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may form or invest in domestic or foreign TRSs in the future. To the extent that our TRSs pay any taxes, they will have less cash available for distribution to us. If dividends are paid by domestic TRSs to us, then the dividends we designate and pay to our stockholders who are taxed at individual rates, up to the amount of dividends that we receive from such entities, generally will be eligible to be taxed at the reduced 20% maximum federal rate applicable to qualified dividend income. See “—Taxation of U.S. Holders—Taxation of Taxable U.S. Holders on Distributions on Capital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Taxable Mortgage Pools and Excess Inclusion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entity, or a portion of an entity, may be classified as a taxable mortgage pool under the Code if:</w:t>
      </w:r>
    </w:p>
    <w:p>
      <w:pPr>
        <w:spacing w:after="0" w:line="131"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all of its assets consist of debt obligations or interests in debt obligations;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more than 50% of those debt obligations are real estate mortgage loans or interests in real estate mortgage loans as of specified testing dates;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entity has issued debt obligations that have two or more maturities; and</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payments required to be made by the entity on its debt obligations “bear a relationship” to the payments to be received by the entity on the debt obligations that it holds as assets.</w:t>
      </w:r>
    </w:p>
    <w:p>
      <w:pPr>
        <w:spacing w:after="0" w:line="170"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Under applicable U.S. Treasury regulations, if less than 80% of the assets of an entity (or a portion of an entity) consist of debt obligations, these debt obligations are not considered to comprise “substantially all” of its assets, and therefore the entity would not be treated as a taxable mortgage pool.</w:t>
      </w:r>
    </w:p>
    <w:p>
      <w:pPr>
        <w:spacing w:after="0" w:line="12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 taxable mortgage pool generally is treated as a corporation for U.S. federal income tax purposes; it cannot be included in any consolidated federal corporate income tax return. However, if a REIT is a taxable mortgage pool, or if a REIT owns a qualified REIT subsidiary that is a taxable mortgage pool, then a portion of the REIT’s income will be treated as “excess inclusion income” and a portion of the dividends the REIT pays to its stockholders will be considered to be excess inclusion income. Similarly, a portion of the income from a REMIC residual interest may be treated as excess inclusion income. A stockholder’s share of excess inclusion income (i) would not be allowed to be offset by any losses otherwise available to the stockholder, (ii) would be subject to tax as unrelated business taxable income, or UBTI, in the hands of most types of stockholders that are otherwise generally exempt from U.S. federal income tax, and (iii) would result in the application of U.S. federal income tax withholding at the maximum rate (30%), without reduction under any otherwise applicable income tax treaty, to the extent allocable to most types of foreign stockholders. IRS guidance indicates that a REIT’s excess inclusion income will be allocated among its stockholders in proportion to its dividends paid. However, the manner in which excess inclusion income would be allocated to dividends attributable to a tax year that are not paid until a subsequent tax year or to dividends attributable to a portion of a tax year when no excess inclusion income-generating assets were held or how such income is to be reported to stockholders is not clear under current law. Although the law is unclear, the IRS has taken the position that a REIT is taxable at the highest corporate tax rate on the portion of any excess inclusion income that it derives from an equity interest in a taxable mortgage pool equal to the percentage of its stock that is held in record name by “disqualified organizations” (as defined above under “—Taxation of Our Company”). Similar rules apply if we own a residual interest in a REMIC. If as a result of ownership by “disqualified organizations,” we are subject to tax on any excess inclusion income, under our charter, we will reduce distributions to such stockholders by the amount of tax paid by us that is attributable to such stockholder’s ownership. U.S. Treasury regulations provide that such a reduction in distributions does not give rise to a preferential dividend that could adversely affect our compliance with the</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distribution requirement. See “—Distribution Requirements.” To the extent that capital stock owned by “disqualified organizations” is held by a broker or other nominee, the broker/dealer or other nominees would be liable for a tax at the highest corporate tax rate on the portion of our excess inclusion income allocable to the capital stock held by the broker/dealer or other nominee on behalf of the “disqualified organizations.” A regulated investment company or other pass-through entity owning our capital stock will be subject to tax at the highest corporate tax rate on any excess inclusion income allocated to its record name owners that are “disqualified organizations.” We do not currently intend to hold REMIC residual interests (other than through a TRS), but we may engage in securitization transactions and other financing activities that may result in treatment of us or a portion of our assets as a taxable mortgage pool.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Income Tests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must satisfy two gross income tests annually to qualify and maintain our qualification as a REIT.</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First, at least 75% of our gross income for each taxable year must consist of defined types of income that we derive, directly or indirectly, from investments relating to real property or mortgage loans on real property or qualified temporary investment income. Qualifying income for purposes of the 75% gross income test generally includes:</w:t>
      </w:r>
    </w:p>
    <w:p>
      <w:pPr>
        <w:spacing w:after="0" w:line="87"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rents from real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interest on debt secured by a mortgage on real property or on interests in real property;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dividends or other distributions on, and gain from the sale of, shares in other REITs;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gain from the sale of real estate assets;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and gain derived from foreclosure property (as described below);</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derived from a REMIC in proportion to the real estate assets held by the REMIC, unless at least 95% of the REMIC’s assets are real estate assets, in which case all of the income derived from the REMIC; and</w:t>
      </w:r>
    </w:p>
    <w:p>
      <w:pPr>
        <w:spacing w:after="0" w:line="75" w:lineRule="exact"/>
        <w:rPr>
          <w:rFonts w:ascii="Arial" w:cs="Arial" w:eastAsia="Arial" w:hAnsi="Arial"/>
          <w:sz w:val="18"/>
          <w:szCs w:val="18"/>
          <w:color w:val="auto"/>
        </w:rPr>
      </w:pPr>
    </w:p>
    <w:p>
      <w:pPr>
        <w:jc w:val="both"/>
        <w:ind w:left="900" w:right="40" w:hanging="446"/>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income derived from the temporary investment of new capital that is attributable to the issuance of our stock or a public offering of our debt with a maturity date of at least five years and that we receive during the one-year period beginning on the date on which we received such new capital.</w:t>
      </w:r>
    </w:p>
    <w:p>
      <w:pPr>
        <w:spacing w:after="0" w:line="124"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Second, in general, at least 95% of our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 Certain income items do not qualify for either gross income test. Other types of income are excluded from both the numerator and the denominator in one or both of the gross income tests. For example, gross income from the sale of property that we hold primarily for sale to customers in the ordinary course of business, income and gain from “hedging transactions,” as defined in “—Hedging Transactions,” and gross income attributable to cancellation of indebtedness, or “COD,” income will be excluded from both the numerator and the denominator for purposes of both the 75% and 95% gross income tests. In addition, certain foreign currency gains will be excluded from gross income for purposes of one or both of the gross income tests. See “—Foreign Currency Gain.” For purposes of the 75% and 95% gross income tests, we are treated as receiving our proportionate share of our operating partnership’s gross income. We will monitor the amount of our non-qualifying income and will seek to manage our investment portfolio to comply at all time with the gross income tests. The following paragraphs discuss the specific application of the gross income tests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of any dividends received from any corporation (including dividends from any TRS we may form, but excluding any REIT) in which we own an equity interest will qualify for purposes of the 95% gross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test but not for purposes of the 75% gross income test. Our share of any dividends received from any other REIT in which we own an equity interest, if any, will be qualifying income for purposes of both gross income tests.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term “interest,” as defined for purposes of both gross income tests, generally excludes any amount that is based in whole or in part on the income or profits of any person. However, interest generally includes the following:</w:t>
      </w:r>
    </w:p>
    <w:p>
      <w:pPr>
        <w:spacing w:after="0" w:line="7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amount that is based on a fixed percentage or percentages of receipts or sales; and</w:t>
      </w:r>
    </w:p>
    <w:p>
      <w:pPr>
        <w:spacing w:after="0" w:line="130"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spacing w:after="0" w:line="18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inventory or dealer property in the hands of the borrower or the REIT.</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we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balance exceeds the applicable value of the real estate that secures the loan.</w:t>
      </w:r>
    </w:p>
    <w:p>
      <w:pPr>
        <w:spacing w:after="0" w:line="19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invested in and intend to continue to invest in interests in mortgage servicing rights representing a portion of the interest payments collected from a pool of mortgage loans, net of a basic servicing fee paid to the mortgage servicer, or Excess MSRs. The IRS has issued private letter rulings to other REITs holding that Excess MSRs produce qualifying income for purposes of the 75% gross income test. Any income that is qualifying income for the 75% gross income test is also qualifying income for the 95% gross income test. A private letter ruling may be relied upon only by the taxpayer to whom it is issued, and the IRS may revoke a private letter ruling. Based on those private letter rulings and other IRS guidance regarding excess mortgage servicing fees, we generally intend to treat our investments in Excess MSRs as producing qualifying income for purposes of the 75% and 95% gross income tests to the extent the underlying mortgage loans produce qualifying income for purposes of those tests, as described above. However, we do not intend to seek our own private letter ruling. Thus, the IRS could take the position that Excess MSRs do not produce qualifying income, presumably by recharacterizing Excess MSRs by treating a portion of the income we receive from an Excess MSR as reasonable compensation for servicing the underlying mortgage loans. A successful challenge of our treatment of Excess MSRs could result in our being treated as failing the 95% gross income test and possibly the 75% gross income test. If we failed one or both of those tests and qualified for the “savings” provision described below under “—Failure to Satisfy Gross Income Tests,” we would be required to pay penalty tax, which could be material, in order to maintain our REIT qualification. If we did not qualify for that “savings” provision, we would fail to qualify as a REIT. See “—Failure to Qualify.”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invested in and intend to continue to invest in residential mortgage-backed securities issued by a U.S. government agency (such as Ginnie Mae) or a federally chartered corporation (such as Fannie Mae or Freddie Mac) that guarantees payments of principal and interest on mortgage-backed securities or for which such an agency guarantees payments of principal and interest, or Agency RMBS, and non-Agency RMBS. The securities in which we have invested in and intend to continue to invest in are pass-through certificates and collateralized mortgage obligations, or CMOs, and we may invest directly in residential mortgage loans. Other than income from derivative instruments, as described below, we expect that all of the income of our Agency RMBS, non-Agency RMBS and residential mortgage loans will be qualifying income for purposes of the 95% gross income test. In the case of RMBS treated as interests in a grantor trust for U.S. federal income tax purposes, we would be treated as owning an undivided beneficial ownership interest in the mortgage loans held by the grantor trust. The interest on such mortgage loans, and any residential mortgage loans that we own directly, would be qualifying income for purposes of the 75% gross income test to the extent that the obligation is adequately secured by real property, as discussed above. In the case of RMBS treated as regular interests in a REMIC for U.S. federal income tax purposes, income derived from REMIC interests will generally be treated as qualifying income for purposes of the 75% gross income test.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We expect that any interest income from an RMBS that is not treated as an interest in a grantor trust or an interest in a REMIC will not be qualifying income for purposes of the 75% gross income test. We expect that a sufficient portion of our income from our Excess MSRs, Agency RMBS, non-Agency RMBS and residential mortgage loans will be qualifying income so that we will satisfy both the 75% and 95% gross income tests. However, there can be no assurance that we will satisfy both the 75% and 95% gross income tests.</w:t>
      </w:r>
    </w:p>
    <w:p>
      <w:pPr>
        <w:spacing w:after="0" w:line="17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engaged and intend to continue to engage in forward-settling Agency RMBS transactions where the pool is “to-be-announced,” or TBA transactions, that are treated as “hedging transactions” as defined in “—Hedging Transactions.” With respect to contracts for forward settling transactions such as TBAs that are not hedging transactions, the law is unclear with respect to the qualification of income and gains from dispositions of contracts for forward settling transactions as qualifying income for purposes of the 75% gross income test. Until we receive a favorable private letter ruling from the IRS or we receive an opinion of counsel to the effect that income and gain from the disposition of such contracts for forward settling transactions should be treated as qualifying income for purposes of the 75% gross income test, we will limit our income and gains from dispositions of such contracts for forward settling transactions (other than hedging transactions) and any non-qualifying income to no more than 25% of our gross income for each calendar year. Accordingly, our ability to dispose of such contracts for forward settling transactions, through dollar roll transactions or otherwise, could be limited. Moreover, even if we are advised by counsel that income and gains from dispositions of such contracts for forward settling transactions should be treated as qualifying income, it is possible that the IRS could successfully take the position that such income is not qualifying income. In the event that such income were determined not to be qualifying for the 75% gross income test, we could be subject to a penalty tax or we could fail to qualify as a REIT if such income and any other non-qualifying income exceeds 25% of our gross income. See “—Failure to Qualify.”</w:t>
      </w:r>
    </w:p>
    <w:p>
      <w:pPr>
        <w:spacing w:after="0" w:line="18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Although we have no current intention to acquire pools comprised primarily of distressed mortgage loans, pools of residential mortgage loans we acquire likely will include some distressed mortgage loans, and we may acquire pools comprised primarily of distressed mortgage loans in the future. Revenue Procedure 2014-51 provides that that the IRS will treat distressed mortgage loans acquired by a REIT that are secured by real property and other property as producing, in part, non-qualifying income for the 75% gross income test. Specifically, Revenue Procedure 2014-51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exceed the fair market value of the real property securing the mortgage loan on the date the REIT commits to acquire the loan. To the extent we invest in distressed mortgage loans, we intend to do so in a manner consistent with maintaining our qualification as a REIT.</w:t>
      </w:r>
    </w:p>
    <w:p>
      <w:pPr>
        <w:spacing w:after="0" w:line="17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may modify the term of any residential mortgage loans we acquire. Under the Code, if the terms of a loan are modified in a manner constituting a “significant modification,” such modification triggers a deemed exchange of the original loan for the modified loan. IRS Revenue Procedure 2014-51 provides a safe harbor pursuant to which we will not be required to redetermine the fair market value of the real property securing a loan for purposes of the gross income and asset tests in connection with a loan modification that is (i) occasioned by a borrower default or (ii) made at a time when we reasonably believe that the modification to the loan will substantially reduce a significant risk of default on the original loan. To the extent we significantly modify loans in a manner that does not qualify for that safe harbor, we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the loan being treated as a non-qualifying asset for the 75% asset test. In determining the value of the real property securing such a loan, we generally will not obtain third-party appraisals but rather will rely on internal valuations.</w:t>
      </w:r>
    </w:p>
    <w:p>
      <w:pPr>
        <w:spacing w:after="0" w:line="16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may invest opportunistically in other types of mortgage and real estate-related assets. To the extent we invest in such assets, we must do so in a manner that will enable us to satisfy the 75% and 95% gross income tests described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 Transactions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From time to time, we will enter into hedging transactions with respect to one or more of our assets or liabilities. Our hedging activities may include entering into interest rate swaps, caps and floors, options to purchase these items, and futures and forward contracts and TBAs. Except to the extent provided by U.S. Treasury Regulations, income and gain from “hedging transactions” will be excluded from gross income for purposes of both the 75% and 95% gross income tests. A “hedging transaction” includes any transaction entered into in the normal course of our trade or business primarily to manage the risk of interest rate changes, price changes, or currency fluctuations with respect to borrowings made or to be made, or ordinary obligations incurred or to be incurred, to acquire or carry real estate assets (“liability hedge”). A “hedging transaction” also includes any transaction entered into primarily to manage risk of currency fluctuations with respect to any item of income or gain that is qualifying income for purposes of the 75% or 95% gross income test (or any property which generates such income or gain). We are required to clearly identify any such hedging transaction before the close of the day on which it was acquired, originated, or entered into and satisfy other identification requirements. To the extent that we hedge for other purposes, or to the extent that a portion of the hedged assets are not treated as “real estate assets” (as described below under “—Asset Tests”) or we enter into derivative transactions that are not liability hedges or we fail to satisfy the identification requirements with respect to a hedging transaction, the income from those transactions will likely be treated as non-qualifying income for purposes of both gross income tests. We intend to structure any hedging transactions in a manner that does not jeopardize our qualification as a REIT, but we cannot assure you that we will be able to do so. We may conduct some or all of our hedging activities (including hedging activities relating to currency risk) through a TRS or other corporate entity, the income from which may be subject to federal income tax, rather than by participating in the arrangements directly or through pass-through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Income</w:t>
      </w:r>
    </w:p>
    <w:p>
      <w:pPr>
        <w:spacing w:after="0" w:line="11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anticipate deriving income from fees in certain circumstances. Fee income generally will be qualifying income for purposes of both the 75% and 95% gross income tests if it is received in consideration for entering into an agreement to make a loan secured by real property and the fees are not determined by income and profits. Other fees, including amounts paid in respect of an MSR as reasonable compensation for servicing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underlying mortgage loans, generally are not qualifying income for purposes of either gross income test. Any fees earned by a TRS, like other income earned by a TRS, will not be included in the REIT’s gross income for purposes of the gross income tests. Although no complete assurances can be provided, we anticipate that any fee income we will earn will be de minimis and will not impair our ability to satisfy the 95% and 75% gross income tests.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Gain</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on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Rents from Real Property</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Although we have no current intention to do so, we may acquire real property or an interest therein in the future. To the extent that we acquire real property or an interest therein, rents we receive will qualify as “rents from real property” in satisfying the gross income requirements for a REIT described above only if the following conditions are met:</w:t>
      </w:r>
    </w:p>
    <w:p>
      <w:pPr>
        <w:spacing w:after="0" w:line="87" w:lineRule="exact"/>
        <w:rPr>
          <w:sz w:val="20"/>
          <w:szCs w:val="20"/>
          <w:color w:val="auto"/>
        </w:rPr>
      </w:pPr>
    </w:p>
    <w:p>
      <w:pPr>
        <w:ind w:left="900" w:right="180" w:hanging="446"/>
        <w:spacing w:after="0" w:line="34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the amount of rent must not be based in whole or in part on the income or profits of any person. An amount received or accrued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will not be excluded, however, from rents from real property solely by reason of being based on fixed percentages of receipts or sales.</w:t>
      </w:r>
    </w:p>
    <w:p>
      <w:pPr>
        <w:spacing w:after="0" w:line="29" w:lineRule="exact"/>
        <w:rPr>
          <w:rFonts w:ascii="Arial" w:cs="Arial" w:eastAsia="Arial" w:hAnsi="Arial"/>
          <w:sz w:val="16"/>
          <w:szCs w:val="16"/>
          <w:color w:val="auto"/>
        </w:rPr>
      </w:pPr>
    </w:p>
    <w:p>
      <w:pPr>
        <w:ind w:left="900" w:hanging="446"/>
        <w:spacing w:after="0" w:line="297"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rents we receive from a “related party tenant” will not qualify as rents from real property in satisfying the gross income tests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we own directly or indirectly more than 50% of the voting power or value of the stock). A tenant is a related party tenant if the REIT, or an actual or constructive owner of 10% or more of the REIT, actually or constructively owns 10% or more of the tenant.</w:t>
      </w:r>
    </w:p>
    <w:p>
      <w:pPr>
        <w:spacing w:after="0" w:line="185" w:lineRule="exact"/>
        <w:rPr>
          <w:rFonts w:ascii="Arial" w:cs="Arial" w:eastAsia="Arial" w:hAnsi="Arial"/>
          <w:sz w:val="16"/>
          <w:szCs w:val="16"/>
          <w:color w:val="auto"/>
        </w:rPr>
      </w:pPr>
    </w:p>
    <w:p>
      <w:pPr>
        <w:ind w:left="900" w:right="360" w:hanging="446"/>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if rent attributable to personal property, leased in connection with a lease of real property, is greater than 15% of the total rent received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lease, then the portion of rent attributable to the personal property will not qualify as rents from real property.</w:t>
      </w:r>
    </w:p>
    <w:p>
      <w:pPr>
        <w:spacing w:after="0" w:line="173" w:lineRule="exact"/>
        <w:rPr>
          <w:rFonts w:ascii="Arial" w:cs="Arial" w:eastAsia="Arial" w:hAnsi="Arial"/>
          <w:sz w:val="17"/>
          <w:szCs w:val="17"/>
          <w:color w:val="auto"/>
        </w:rPr>
      </w:pPr>
    </w:p>
    <w:p>
      <w:pPr>
        <w:ind w:left="900" w:right="80" w:hanging="446"/>
        <w:spacing w:after="0" w:line="25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we generally must not operate or manage our real property or furnish or render services to our tenants, other than through an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contractor” who is adequately compensated and from whom we do not derive revenue. We may, however, provide services directly to tenants if the services are “usually or customarily rendered” in connection with the rental of space for occupancy only and are not considered to be provided for the tenants’ convenience. In addition, we may provide a minimal amount of “non-customary” services to the tenants of a property, other than through an independent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contractor, as long as our income from the services does not exceed 1% of our income from the related property. Furthermore, we may own up to 100% of the stock of a TRS, which may provide customary and noncustomary services to tenants without tainting our rental income from the related properties.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Prohibited Transactions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REIT will incur a 100% tax on the net income (including foreign currency gain) derived from any sale or other disposition of property, other than foreclosure property,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We believe that none of our assets will be held primarily for sale to customers and that a sale of any of our assets will not be in the ordinary course of our business. No assurance, however, can be given that the IRS will not successfully assert a contrary position, in which case we would be subject to the prohibited transaction tax on the sale of those assets. To the extent we intend to dispose of an asset that may be treated as held “primarily for sale to customers in the ordinary course of a trade or business,” we may contribute the asset to a TRS prior to the disposition and marketing thereof. No assurance can be given that the IRS will respect the transaction by which dealer property is contributed to our TRS; if such transaction is not respected, then we may be treated as having engaged in a prohibited transaction, and our net income therefrom would be subject to a 100% tax. Moreover, if we securitize loans through a REMIC structure, the transaction would be treated as a sale for tax purposes and the sale may be subject to the prohibited transactions tax. As a result, if we securitize our loans in REMIC transactions, we will likely conduct those securitizations through a TRS.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 Property</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be subject to tax at the maximum corporate rate on any income (including foreign currency gain) from foreclosure property, other than income that otherwise would be qualifying income for purposes of the 75% gross income test, less expenses directly connected with the production of that income. Gross income from foreclosure property will qualify, however, under the 75% and 95% gross income tests. Foreclosure property is any real property, including interests in real property, and any personal property incident to such real property:</w:t>
      </w:r>
    </w:p>
    <w:p>
      <w:pPr>
        <w:spacing w:after="0" w:line="92" w:lineRule="exact"/>
        <w:rPr>
          <w:sz w:val="20"/>
          <w:szCs w:val="20"/>
          <w:color w:val="auto"/>
        </w:rPr>
      </w:pPr>
    </w:p>
    <w:p>
      <w:pPr>
        <w:ind w:left="900" w:right="36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which the related loan or lease was acquired by the REIT at a time when the default was not imminent or anticipated;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spacing w:after="0" w:line="77" w:lineRule="exact"/>
        <w:rPr>
          <w:sz w:val="20"/>
          <w:szCs w:val="20"/>
          <w:color w:val="auto"/>
        </w:rPr>
      </w:pPr>
    </w:p>
    <w:p>
      <w:pPr>
        <w:ind w:left="900" w:right="32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that will give rise to income that does not qualify for purposes of the 75% gross income test (disregarding income from foreclosure property);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which any construction takes place on the property, other than completion of a building or any other improvement, where more than 10% of the construction was completed before default became imminent; or</w:t>
      </w:r>
    </w:p>
    <w:p>
      <w:pPr>
        <w:spacing w:after="0" w:line="75" w:lineRule="exact"/>
        <w:rPr>
          <w:rFonts w:ascii="Arial" w:cs="Arial" w:eastAsia="Arial" w:hAnsi="Arial"/>
          <w:sz w:val="18"/>
          <w:szCs w:val="18"/>
          <w:color w:val="auto"/>
        </w:rPr>
      </w:pPr>
    </w:p>
    <w:p>
      <w:pPr>
        <w:ind w:left="900" w:hanging="446"/>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which is more than 90 days after the day on which the REIT acquired the property and the property is used in a trade or business that is conducted by the REIT, other than through an independent contractor from whom the REIT itself does not derive or receive any income.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Satisfy Gross Income Tests</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fail to satisfy one or both of the gross income tests for any taxable year, we nevertheless may qualify as a REIT for that year if we qualify for relief under certain provisions of the federal income tax laws. Those relief provisions generally will be available if:</w:t>
      </w:r>
    </w:p>
    <w:p>
      <w:pPr>
        <w:spacing w:after="0" w:line="7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meet those tests is due to reasonable cause and not to willful neglect; and</w:t>
      </w:r>
    </w:p>
    <w:p>
      <w:pPr>
        <w:spacing w:after="0" w:line="130" w:lineRule="exact"/>
        <w:rPr>
          <w:rFonts w:ascii="Arial" w:cs="Arial" w:eastAsia="Arial" w:hAnsi="Arial"/>
          <w:sz w:val="18"/>
          <w:szCs w:val="18"/>
          <w:color w:val="auto"/>
        </w:rPr>
      </w:pPr>
    </w:p>
    <w:p>
      <w:pPr>
        <w:ind w:left="900" w:right="7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following such failure for any taxable year, a schedule of the sources of our income is filed with the IRS in accordance with regulations prescribed by the Secretary of the U.S. Treasury.</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cannot with certainty predict whether any failure to meet these tests will qualify for the relief provisions. If the IRS were to determine that we failed the 75% gross income test or the 95% gross income test because income produced by our investments in Excess MSRs is not qualifying income, it is possible that the IRS would not consider our position taken with respect to such income, and accordingly our failure to satisfy the 75% gross income test or the 95% gross income test, to be due to reasonable cause and not due to willful neglect. If these relief provisions are inapplicable to a particular set of circumstances involving us, we will not qualify as a REIT. As discussed above in “—Taxation of Our Company,” even if the relief provisions apply, we would incur a 100% tax on the gross income attributable to the greater of the amount by which we fail the 75% gross income test or the 95% gross income test, multiplied, in either case, by a fraction intended to reflect our profitability.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Tests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also must satisfy the following asset tests at the end of each quarter of each taxable year.</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at least 75% of the value of our total assets (the “75% asset test”) must consist of:</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cash or cash items, including certain receivables and investments in money market funds;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government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interests in real property, including leaseholds and options to acquire real property and leaseholds;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interests in mortgage loans secured by real property;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stock in other REITs;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investments in stock or debt instruments during the one-year period following our receipt of new capital that we raise through equity offerings or public offerings of debt with at least a five-year term; and</w:t>
      </w:r>
    </w:p>
    <w:p>
      <w:pPr>
        <w:spacing w:after="0" w:line="75" w:lineRule="exact"/>
        <w:rPr>
          <w:rFonts w:ascii="Arial" w:cs="Arial" w:eastAsia="Arial" w:hAnsi="Arial"/>
          <w:sz w:val="18"/>
          <w:szCs w:val="18"/>
          <w:color w:val="auto"/>
        </w:rPr>
      </w:pPr>
    </w:p>
    <w:p>
      <w:pPr>
        <w:jc w:val="both"/>
        <w:ind w:left="1460" w:right="300" w:hanging="547"/>
        <w:spacing w:after="0" w:line="264" w:lineRule="auto"/>
        <w:tabs>
          <w:tab w:leader="none" w:pos="14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regular or residual interests in a REMIC. However, if less than 95% of the assets of a REMIC consist of assets that are qualifying real estate-related assets under the federal income tax laws, determined as if we held such assets, we will be treated as holding directly our proportionate share of the assets of such REMIC.</w:t>
      </w:r>
    </w:p>
    <w:p>
      <w:pPr>
        <w:spacing w:after="0" w:line="86"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of our investments not included in the 75% asset class, the value of our interest in any one issuer’s securities (other than any TRS we</w:t>
      </w:r>
      <w:r>
        <w:rPr>
          <w:rFonts w:ascii="Arial" w:cs="Arial" w:eastAsia="Arial" w:hAnsi="Arial"/>
          <w:sz w:val="18"/>
          <w:szCs w:val="18"/>
          <w:i w:val="1"/>
          <w:iCs w:val="1"/>
          <w:color w:val="auto"/>
        </w:rPr>
        <w:t xml:space="preserve"> </w:t>
      </w:r>
      <w:r>
        <w:rPr>
          <w:rFonts w:ascii="Arial" w:cs="Arial" w:eastAsia="Arial" w:hAnsi="Arial"/>
          <w:sz w:val="18"/>
          <w:szCs w:val="18"/>
          <w:color w:val="auto"/>
        </w:rPr>
        <w:t>may own) may not exceed 5% of the value of our total assets (the “5% asset test”).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of our investments not included in the 75% asset class, we may not own more than 10% of the total voting power or 10% of the total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any one issuer’s outstanding securities (the “10% vote test” and the “10% value test,” respectively).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no more than 25% of the value of our total assets may consist of the securities of one or more TRSs.</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no more than 25% of the value of our total assets may consist of the securities of TRSs and other non-TRS taxable subsidiaries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that are not qualifying assets for purposes of the 75% asset test (the “25% securities test”).</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purposes of these asset tests, we are treated as holding our proportionate share of our operating partnership’s assets. For purposes of the 5% asset test, the 10% vote test and the 10% value test, the term “securities” does not include stock in another REIT, equity or debt securities of a qualified REIT subsidiary or TRS, mortgage loans or mortgage-backed securities that constitute real estate assets, or equity interests in a partnership. For purposes of the 10% value test, the term “securities” does not include:</w:t>
      </w:r>
    </w:p>
    <w:p>
      <w:pPr>
        <w:spacing w:after="0" w:line="92"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“straight debt” securities, which is defined as a written unconditional promise to pay on demand or on a specified date a sum certain in money if</w:t>
      </w:r>
    </w:p>
    <w:p>
      <w:pPr>
        <w:spacing w:after="0" w:line="46" w:lineRule="exact"/>
        <w:rPr>
          <w:rFonts w:ascii="Arial" w:cs="Arial" w:eastAsia="Arial" w:hAnsi="Arial"/>
          <w:sz w:val="16"/>
          <w:szCs w:val="16"/>
          <w:color w:val="auto"/>
        </w:rPr>
      </w:pPr>
    </w:p>
    <w:p>
      <w:pPr>
        <w:ind w:left="900" w:right="160"/>
        <w:spacing w:after="0" w:line="273" w:lineRule="auto"/>
        <w:rPr>
          <w:rFonts w:ascii="Arial" w:cs="Arial" w:eastAsia="Arial" w:hAnsi="Arial"/>
          <w:sz w:val="16"/>
          <w:szCs w:val="16"/>
          <w:color w:val="auto"/>
        </w:rPr>
      </w:pPr>
      <w:r>
        <w:rPr>
          <w:rFonts w:ascii="Arial" w:cs="Arial" w:eastAsia="Arial" w:hAnsi="Arial"/>
          <w:sz w:val="17"/>
          <w:szCs w:val="17"/>
          <w:color w:val="auto"/>
        </w:rPr>
        <w:t>(i) 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we or any “controlled TRS” hold “non-straight” debt securities that have an aggregate value of more than 1% of the issuer’s outstanding securities. However, “straight debt” securities include debt subject to the following contingencies:</w:t>
      </w:r>
    </w:p>
    <w:p>
      <w:pPr>
        <w:spacing w:after="0" w:line="82" w:lineRule="exact"/>
        <w:rPr>
          <w:sz w:val="20"/>
          <w:szCs w:val="20"/>
          <w:color w:val="auto"/>
        </w:rPr>
      </w:pPr>
    </w:p>
    <w:p>
      <w:pPr>
        <w:ind w:left="1460" w:hanging="547"/>
        <w:spacing w:after="0" w:line="279" w:lineRule="auto"/>
        <w:tabs>
          <w:tab w:leader="none" w:pos="146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us exceeds $1 million and no more than 12 months of unaccrued interest on the debt obligations can be required to be prepaid; and</w:t>
      </w:r>
    </w:p>
    <w:p>
      <w:pPr>
        <w:spacing w:after="0" w:line="76" w:lineRule="exact"/>
        <w:rPr>
          <w:rFonts w:ascii="Arial" w:cs="Arial" w:eastAsia="Arial" w:hAnsi="Arial"/>
          <w:sz w:val="17"/>
          <w:szCs w:val="17"/>
          <w:color w:val="auto"/>
        </w:rPr>
      </w:pPr>
    </w:p>
    <w:p>
      <w:pPr>
        <w:ind w:left="1460" w:right="80" w:hanging="547"/>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contingency relating to the time or amount of payment upon a default or prepayment of a debt obligation, as long as the contingency is consistent with customary commercial practice;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loan to an individual or an estate;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“section 467 rental agreement,” other than an agreement with a related party tenant;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obligation to pay “rents from real property”;</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securities issued by governmental entities that are not dependent in whole or in part on the profits of (or payments made by) a non-governmental entity;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security (including debt securities) issued by another REIT;</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instrument of an entity treated as a partnership for U.S. federal income tax purposes in which we are a partner to the extent of our proportionate interest in the equity and certain debt securities issued by that partnership; or</w:t>
      </w:r>
    </w:p>
    <w:p>
      <w:pPr>
        <w:spacing w:after="0" w:line="75"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debt instrument of an entity treated as a partnership for U.S. federal income tax purposes not described in the preceding bullet points if at least 75% of the partnership’s gross income, excluding income from prohibited transactions, is qualifying income for purposes of the 75% gross income test described above in “—Gross Income Tests.”</w:t>
      </w:r>
    </w:p>
    <w:p>
      <w:pPr>
        <w:spacing w:after="0" w:line="18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purposes of the 10% value test, our proportionate share of the assets of a partnership is our proportionate interest in any securities issued by the partnership, without regard to the securities described in the last two bullet points above.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have invested and intend to continue to invest in Excess MSRs. The IRS has issued private letter rulings to other REITs holding that Excess MSRs are qualifying assets for purposes of the 75% asset test. A private letter ruling may be relied upon only by the taxpayer to whom it is issued, and the IRS may revoke a private letter ruling. Based on those private letter rulings and other IRS guidance regarding excess mortgage servicing fees, we generally intend to treat our investments in Excess MSRs as qualifying assets for purposes of the 75% asset test to the extent the underlying mortgage loans are qualifying for purposes of such test, as described above. However, we do not intend to seek our own private letter ruling. Thus, the IRS could take the position that Excess MSRs are not qualifying assets, presumably by recharacterizing Excess MSRs as an interest in reasonable compensation for servicing the underlying mortgage loans. A successful challenge of our treatment of Excess MSRs could result in our being treated as failing the 75% asset test. If we failed the 75% asset test and qualified for the “savings” provision described below, we would be required to pay penalty tax, which could be material, in order to maintain our REIT qualification. If we did not qualify for that “savings” provision, we would fail to qualify as a REIT. See “—Failure to Qualify.”</w:t>
      </w:r>
    </w:p>
    <w:p>
      <w:pPr>
        <w:spacing w:after="0" w:line="16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invested in and intend to continue to invest in Agency RMBS and non-Agency RMBS that are pass-through certificates or CMOs, and we may invest directly in residential mortgage loans. In the case of RMBS treated as interests in a grantor trust for U.S. federal income tax purposes, we will be treated as owning an undivided beneficial ownership interest in the mortgage loans held by the grantor trust. Such mortgage loans, and any residential mortgage loans that we own directly, will generally qualify as real estate assets for purposes of the 75% asset test to the extent that they are secured by real property. Revenue Procedure 2014-51 provides a safe harbor under which the IRS has stated that it will not challenge a REIT’s treatment of a loan as being, in part, a qualifying real estate asset in an amount equal to the lesser of (i) the fair market value of the loan on the date of the relevant quarterly REIT asset testing date or (ii) the greater of (a) the current value of the real property securing the loan on the date of the relevant quarterly REIT asset testing date or</w:t>
      </w:r>
    </w:p>
    <w:p>
      <w:pPr>
        <w:spacing w:after="0" w:line="3" w:lineRule="exact"/>
        <w:rPr>
          <w:sz w:val="20"/>
          <w:szCs w:val="20"/>
          <w:color w:val="auto"/>
        </w:rPr>
      </w:pPr>
    </w:p>
    <w:p>
      <w:pPr>
        <w:ind w:right="60" w:firstLine="8"/>
        <w:spacing w:after="0" w:line="254"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fair market value of the real property securing the loan determined as of the date the REIT committed to acquire the loan. In the case of RMBS treated as regular interests in a REMIC for U.S. federal income tax purposes, such interests will generally qualify as real estate assets for purposes of the 75% asset test. If less than 95% of the assets of a REMIC are real estate assets, however, then only a proportionate part of our interest in the REMIC qualifies for purposes of the REIT asset test.</w:t>
      </w:r>
    </w:p>
    <w:p>
      <w:pPr>
        <w:spacing w:after="0" w:line="190"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To the extent any of our investments in Agency RMBS are not treated as real estate assets, we expect such Agency RMBS will be treated as government securities because they are issued or guaranteed as to principal or interest by the United States or by a person controlled or supervised by and acting as an instrumentality of the government of the United States pursuant to authority granted by the Congress of the United States. Our investments in non-Agency RMBS that are not interests in a grantor trust or REMIC or government securities will not be treated as qualifying assets for purposes of the 75% asset test and will be subject to the 5% asset test, the 10% value test, the 10% vote test and the 25% securities test described above.</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also invest directly in residential mortgage loans, including, in the future, distressed loans. As discussed above under “—Gross Income Tests,” under the applicable U.S. Treasury regulations, if a loan is secured by real property and other property and the highest principal amount of the loan outstanding during a taxable year exceeds the fair market value of the real property securing the loan as of (i) the date we agreed to acquire or originate the loan or (ii) in the event of a significant modification, the date we modified the loan, then a portion of the interest income from such a loan will not be qualifying income for purposes of the 75% gross income test but will be qualifying income for purposes of the 95% gross income test. Although the law is not entirely clear, a portion of the loan will also likely be a non-qualifying asset for purposes of the 75% asset test. Revenue Procedure 2014-51 provides a safe harbor under which the IRS has stated that it will not challenge a REIT’s treatment of a loan as being, in part, a qualifying real estate asset in an amount equal to the lesser of (i) the fair market value of the loan on the date of the relevant quarterly REIT asset testing date or (ii) the greater of (a) the current value of the real property securing the loan on the date of the relevant quarterly REIT asset testing date or (b) the fair market value of the real property securing the loan determined as of the date the REIT committed to acquire the loan. Under the safe harbor when the current value of a distressed mortgage loan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exceeds the fair market value of the real property that secures the loan, determined as of (i) the date we committed to acquire or originate the loan or (ii) the date of relevant quarterly REIT asset testing date, whichever produces a greater value, the excess will be treated as a nonqualifying asset. To the extent we invest in residential mortgage loans (including distressed loans), we intend to do so in a manner consistent with qualifying and maintaining our qualification as a REIT.</w:t>
      </w:r>
    </w:p>
    <w:p>
      <w:pPr>
        <w:spacing w:after="0" w:line="18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have entered, and may in the future enter, into repurchase agreements under which we nominally sold certain of our assets to a counterparty and simultaneously entered into an agreement to repurchase the sold assets in exchange for a purchase price that reflects a financing charge. Based on positions the IRS has taken in analogous situations, we believe that these transactions would be treated as secured debt and that we would be treated for REIT asset and income test purposes as the owner of the assets that would be the subject of such agreements notwithstanding that such agreements may transfer record ownership of the assets to the counterparty during the term of the agreement. It is possible, however, that the IRS could assert that we did not own our assets subject to sale and repurchase agreements during the term of such agreements, in which case we could fail to qualify as a REIT.</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purchased and expect to purchase Agency RMBS through forward settling transactions, including TBAs. The law is unclear with respect to the qualification of contracts for forward settling transactions as real estate assets or government securities for purposes of the 75% asset test. Until we receive a favorable private letter ruling from the IRS or we receive an opinion from counsel to the effect that contracts for forward settling transactions should be treated as qualifying assets for purposes of the 75% asset test, we will limit our investment in contracts for forward settling transactions and any non-qualifying assets to no more than 25% of our total assets at the end of any calendar quarter and will limit our investments in contracts for forward settling transactions with a single counterparty to no more than 5% of our total assets at the end of any calendar quarter. Accordingly, our ability to purchase Agency RMBS through contracts for forward settling transactions could be limited. Moreover, even if we are advised by counsel that contracts for forward settling transactions should be treated as qualifying assets, it is possible that the IRS could successfully take the position that such assets are not qualifying assets. In the event that such assets were determined not to be qualifying for the 75% asset test, we could be subject to a penalty tax or we could fail to qualify as a REIT if the value of our contracts for forward settling transactions and any non-qualifying assets exceeds 25% of our total assets at the end of any calendar quarter or if the value of our investments in contracts for forward settling transactions with a single counterparty exceeds 5% of our total assets at the end of any calendar quarter. See “—Failure to Qualify.”</w:t>
      </w:r>
    </w:p>
    <w:p>
      <w:pPr>
        <w:spacing w:after="0" w:line="18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Derivative instruments, other than possibly TBAs as discussed in the prior paragraph, generally are not qualifying assets for purposes of the 75% asset test. Thus, interest rate swaps, futures contracts, and other similar instruments that are used in “hedging transactions” as defined in “—Hedging Transactions,” are non-qualifying assets for purposes of the 75% asset test. As discussed above, we may invest opportunistically in other types of mortgage-related assets. To the extent we invest in such assets, we intend to do so in a manner that will enable us to satisfy each of the asset tests described above. However, we cannot assure you that we will be able to satisfy the asset tests described above. We will monitor the status of our assets for purposes of the various asset tests and seek to manage our portfolio to comply at all times with such tests. No assurance, however, can be given that we will continue to be successful in this effort. In this regard, to determine our compliance with these requirements, we will have to value our investment in our assets to ensure compliance with the asset tests. Although we seek to be prudent in making these estimates, no assurances can be given that the IRS might not disagree with these determinations and assert that a different value is applicable, in which case we might not satisfy the 75% asset test and the other asset tests and, thus, would fail to qualify as a REIT. If we fail to satisfy the asset tests at the end of a calendar quarter, we will not lose our REIT qualification so long as:</w:t>
      </w:r>
    </w:p>
    <w:p>
      <w:pPr>
        <w:spacing w:after="0" w:line="7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satisfied the asset tests at the end of the preceding calendar quarter; and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discrepancy between the value of our assets and the asset test requirements arose from changes in the market values of our assets and was not wholly or partly caused by the acquisition of one or more nonqualifying assets.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we did not satisfy the condition described in the second item, above, we still could avoid disqualification by eliminating any discrepancy within 30 days after the close of the calendar quarter in which it arose.</w:t>
      </w:r>
    </w:p>
    <w:p>
      <w:pPr>
        <w:spacing w:after="0" w:line="17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If we violate the 5% asset test, the 10% vote test or the 10% value test described above at the end of any calendar quarter, we will not lose our REIT qualification if (i) the failure is de minimis (up to the lesser of 1% of the total value of our assets or $10 million) and (ii) we dispose of assets or otherwise comply with the asset tests within six months after the last day of the quarter in which we identified such failure. In the event of a more than de minimis failure of any of the asset tests, as long as the failure was due to reasonable cause and not to willful neglect, we will not lose our REIT qualification if we</w:t>
      </w:r>
    </w:p>
    <w:p>
      <w:pPr>
        <w:spacing w:after="0" w:line="2" w:lineRule="exact"/>
        <w:rPr>
          <w:sz w:val="20"/>
          <w:szCs w:val="20"/>
          <w:color w:val="auto"/>
        </w:rPr>
      </w:pPr>
    </w:p>
    <w:p>
      <w:pPr>
        <w:ind w:right="200" w:firstLine="8"/>
        <w:spacing w:after="0" w:line="281" w:lineRule="auto"/>
        <w:tabs>
          <w:tab w:leader="none" w:pos="21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dispose of assets or otherwise comply with the asset tests within six months after the last day of the quarter in which we identified such failure, (ii) file a schedule with the IRS describing the assets that caused such failure in accordance with regulations promulgated by the Secretary of the U.S. Treasury and</w:t>
      </w:r>
    </w:p>
    <w:p>
      <w:pPr>
        <w:spacing w:after="0" w:line="1" w:lineRule="exact"/>
        <w:rPr>
          <w:rFonts w:ascii="Arial" w:cs="Arial" w:eastAsia="Arial" w:hAnsi="Arial"/>
          <w:sz w:val="16"/>
          <w:szCs w:val="16"/>
          <w:color w:val="auto"/>
        </w:rPr>
      </w:pPr>
    </w:p>
    <w:p>
      <w:pPr>
        <w:ind w:firstLine="8"/>
        <w:spacing w:after="0" w:line="268" w:lineRule="auto"/>
        <w:tabs>
          <w:tab w:leader="none" w:pos="3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pay a tax equal to the greater of $50,000 or the product of the highest U.S. federal corporate tax rate (currently, 35%) and the net income from the non-qualifying assets during the period in which we failed to satisfy the asset tests. If the IRS were to determine that we failed the 5% asset test or 75% asset test because contracts for forward settling transactions are not qualifying assets, it is possible that the IRS would not consider our position taken with respect to such assets, and accordingly our failure to satisfy the 5% asset test or 75% asset test, to be due to reasonable cause and not due to willful neglect. Similarly, if the IRS were to determine that we failed the 75% asset test because our Excess MSRs are not qualifying assets, it is possible that the IRS would not consider our position taken with respect to such assets, and accordingly our failure to satisfy the 75% asset test, to be due to reasonable cause and not due to willful neglect. If the IRS were to successfully assert these positions, we would fail to qualify as a REIT. See “—Failure to Qualify.” Accordingly, it is not possible to state whether we would be entitled to the benefit of these relief provisions with regard to this issue or in any other circumstances. If these relief provisions are inapplicable to a particular set of circumstances involving us, we will fail to qualify as a REIT.</w:t>
      </w:r>
    </w:p>
    <w:p>
      <w:pPr>
        <w:spacing w:after="0" w:line="182"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believe that the Excess MSRs, Agency RMBS, non-Agency RMBS, and other assets that we may hold will satisfy the foregoing asset test requirements. We will monitor the status of our assets and our future acquisition of assets to ensure that we comply with those requirements, but we cannot assure you that we will be successful in this effort. No independent appraisals will be obtained to support our estimates of and conclusions as to the value of our assets and securities, or in many cases, the real estate collateral for the mortgage loans that support our Agency RMBS and non-Agency RMBS. Moreover, the values of some assets may not be susceptible to a precise determination. As a result, no assurance can be given that the IRS will not contend that our ownership of securities and other assets violates one or more of the asset tests applicable to REITs.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Requirements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Each taxable year, we must distribute dividends, other than capital gain dividends and deemed distributions of retained capital gain, to our stockholders in an aggregate amount at least equal to:</w:t>
      </w:r>
    </w:p>
    <w:p>
      <w:pPr>
        <w:spacing w:after="0" w:line="76"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90% of our “REIT taxable income,” computed without regard to the dividends paid deduction and our net capital gain,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90% of our after-tax net income, if any, from foreclosure property, minus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sum of certain items of non-cash income.</w:t>
      </w:r>
    </w:p>
    <w:p>
      <w:pPr>
        <w:spacing w:after="0" w:line="22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must make such distributions in the taxable year to which they relate, or in the following taxable year if either (i) we declare the distribution before we timely file our federal income tax return for the year and pay the distribution on or before the first regular dividend payment date after such declaration or</w:t>
      </w:r>
    </w:p>
    <w:p>
      <w:pPr>
        <w:ind w:right="140" w:firstLine="8"/>
        <w:spacing w:after="0" w:line="255" w:lineRule="auto"/>
        <w:tabs>
          <w:tab w:leader="none" w:pos="2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declare the distribution in October, November or December of the taxable year, payable to stockholders of record on a specified day in any such month, and we actually pay the dividend before the end of January of the following year. The distributions under clause (i) are taxable to the stockholders in the year in which paid, and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distributions in clause (ii) are treated as paid on December 31 of the prior taxable year. In both instances, these distributions relate to our prior taxable year for purposes of the 90% distribution requirement.</w:t>
      </w:r>
    </w:p>
    <w:p>
      <w:pPr>
        <w:spacing w:after="0" w:line="170"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In order for distributions to be counted as satisfying the annual distribution requirements for REITs, and to provide us with a REIT-level tax deduction, the distributions must not be “preferential dividends.” A dividend is not a preferential dividend if the distribution is (i) pro-rata among all outstanding shares within a particular class and (ii) in accordance with the preferences among different classes of stock as set forth in our organizational documents.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will pay federal income tax on taxable income, including net capital gain, that we do not distribute to stockholders. Furthermore, if we fail to distribute during a calendar year, or by the end of January following the calendar year in the case of distributions with declaration and record dates falling in the last three months of the calendar year, at least the sum of:</w:t>
      </w:r>
    </w:p>
    <w:p>
      <w:pPr>
        <w:spacing w:after="0" w:line="87"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85% of our REIT ordinary income for such year,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95% of our REIT capital gain income for such year,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undistributed taxable income from prior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will incur a 4% nondeductible excise tax on the excess of such required distribution over the amounts we actually distribute.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may elect to retain and pay income tax on the net long term capital gain we recognize in a taxable year. See “—Taxation of U.S. Holders—Taxation of Taxable U.S. Holders on Distributions on Capital Stock.” If we so elect, we will be treated as having distributed any such retained amount for purposes of the REIT distribution requirements and the 4% nondeductible excise tax described above.</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intend to continue to make timely distributions in the future sufficient to satisfy the annual distribution requirements and to avoid corporate income tax and the 4% nondeductible excise tax.</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It is possible that, from time to time, we may experience timing differences between the actual receipt of cash, including distributions from our subsidiaries, and actual payment of deductible expenses and the inclusion of that income and deduction of such expenses in arriving at our REIT taxable income. Possible examples of those timing differences include the following:</w:t>
      </w:r>
    </w:p>
    <w:p>
      <w:pPr>
        <w:spacing w:after="0" w:line="87"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Because we may deduct capital losses only to the extent of our capital gains, we may have taxable income that exceeds our economic income.</w:t>
      </w:r>
    </w:p>
    <w:p>
      <w:pPr>
        <w:spacing w:after="0" w:line="153" w:lineRule="exact"/>
        <w:rPr>
          <w:rFonts w:ascii="Arial" w:cs="Arial" w:eastAsia="Arial" w:hAnsi="Arial"/>
          <w:sz w:val="16"/>
          <w:szCs w:val="16"/>
          <w:color w:val="auto"/>
        </w:rPr>
      </w:pPr>
    </w:p>
    <w:p>
      <w:pPr>
        <w:ind w:left="900" w:right="22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recognize taxable income in advance of the related cash flow with respect to our investments that are deemed to have original issue discount. We generally must accrue original issue discount based on a constant yield method that takes into account projected prepayments but that defers taking into account credit losses until they are actually incurred.</w:t>
      </w:r>
    </w:p>
    <w:p>
      <w:pPr>
        <w:spacing w:after="0" w:line="86" w:lineRule="exact"/>
        <w:rPr>
          <w:rFonts w:ascii="Arial" w:cs="Arial" w:eastAsia="Arial" w:hAnsi="Arial"/>
          <w:sz w:val="18"/>
          <w:szCs w:val="18"/>
          <w:color w:val="auto"/>
        </w:rPr>
      </w:pPr>
    </w:p>
    <w:p>
      <w:pPr>
        <w:ind w:left="900" w:right="80" w:hanging="446"/>
        <w:spacing w:after="0" w:line="272"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acquire investments that are treated as having “market discount” for U.S. federal income tax purposes, because the investments are debt instruments that we acquire for an amount less than their principal amount. We do not intend to elect to recognize market discount currently. Under the market discount rules, we may be required to treat portions of gains on sale of market discount bonds as ordinary income and may be required to include some amounts of principal payments received on market discount bonds as ordinary income. The recognition of market discount upon receipt of principal payments results in an acceleration of the recognition of taxable income to periods prior to the receipt of the related economic income. Further, to the extent that such an investment does not fully amortize according to its terms, we may never receive the economic income attributable to previously recognized market discount.</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Although several types of non-cash income are excluded in determining the annual distribution requirement, we will incur corporate income tax and the 4% nondeductible excise tax with respect to those non-cash income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items if we do not distribute those items on a current basis. As a result of the foregoing, we may have less cash than is necessary to distribute all of our taxable income and thereby avoid corporate income tax and the excise tax imposed on certain undistributed income. In such a situation, we may need to borrow funds, sell assets or make taxable distributions of our capital stock or debt securities.</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may satisfy the 90% distribution test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U.S. federal income tax purposes. Those rulings may be relied upon only by taxpayers to whom they were issued, but we could request a similar ruling from the IRS. In addition, the IRS previously issued a revenue procedure authorizing publicly traded REITs to make elective cash/stock dividends, but that revenue procedure has expired. Accordingly, it is unclear whether and to what extent we will be able to make taxable dividends payable in cash and stock. We have no current intention to make a taxable dividend payable in cash and our stock. Under certain circumstances, we may be able to correct a failure to meet the distribution requirement for a year by paying “deficiency dividends” to our stockholders in a later year. We may include such deficiency dividends in our deduction for dividends paid for the earlier year. Although we may be able to avoid income tax on amounts distributed as deficiency dividends, we will be required to pay interest and may be required to pay a penalty to the IRS based upon the amount of any deduction we take for deficiency dividends.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Recordkeeping Requirements</w:t>
      </w:r>
    </w:p>
    <w:p>
      <w:pPr>
        <w:spacing w:after="0" w:line="121" w:lineRule="exact"/>
        <w:rPr>
          <w:sz w:val="20"/>
          <w:szCs w:val="20"/>
          <w:color w:val="auto"/>
        </w:rPr>
      </w:pPr>
    </w:p>
    <w:p>
      <w:pPr>
        <w:jc w:val="both"/>
        <w:ind w:right="800" w:firstLine="456"/>
        <w:spacing w:after="0" w:line="264" w:lineRule="auto"/>
        <w:rPr>
          <w:sz w:val="20"/>
          <w:szCs w:val="20"/>
          <w:color w:val="auto"/>
        </w:rPr>
      </w:pPr>
      <w:r>
        <w:rPr>
          <w:rFonts w:ascii="Arial" w:cs="Arial" w:eastAsia="Arial" w:hAnsi="Arial"/>
          <w:sz w:val="18"/>
          <w:szCs w:val="18"/>
          <w:color w:val="auto"/>
        </w:rPr>
        <w:t>We must maintain certain records in order to qualify as a REIT. In addition, to avoid a monetary penalty, we must request on an annual basis information from our stockholders designed to disclose the actual ownership of our outstanding stock. We intend to continue to comply with these requirements.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we fail to satisfy one or more requirements for REIT qualification, other than the gross income tests and the asset tests, we could avoid disqualification if our failure is due to reasonable cause and not to willful neglect and we pay a penalty of $50,000 for each such failure. In addition, there are relief provisions for a failure of the gross income tests and asset tests, as described in “—Gross Income Tests” and “—Asset Tests.” If we fail to qualify as a REIT in any taxable year, and no relief provision applies, we would be subject to federal income tax and any applicable alternative minimum tax on our taxable income at regular corporate rates. In calculating our taxable income in a year in which we fail to qualify as a REIT, we would not be able to deduct amounts paid out to stockholders. In fact, we would not be required to distribute any amounts to stockholders in that year. In such event, to the extent of our current or accumulated earnings and profits, all distributions to stockholders would be taxable as ordinary income. Subject to certain limitations of the federal income tax laws, corporate stockholders might be eligible for the dividends received deduction and stockholders taxed at individual rates might be eligible for the reduced federal income tax rate of 20% on such dividends.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“U.S. holder” means a beneficial owner of our capital stock that, for U.S. federal income tax purposes, is:</w:t>
      </w:r>
    </w:p>
    <w:p>
      <w:pPr>
        <w:spacing w:after="0" w:line="131" w:lineRule="exact"/>
        <w:rPr>
          <w:sz w:val="20"/>
          <w:szCs w:val="20"/>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estate whose income is subject to federal income taxation regardless of its source;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00" w:hanging="446"/>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 partnership, entity or arrangement treated as a partnership for U.S. federal income tax purposes holds our capital stock, the federal income tax treatment of a partner in the partnership will generally depend on the status of the partner and the activities of the partnership and certain determinations made at the partner level. If you are a partner in a partnership holding our capital stock, you should consult your tax advisor regarding the consequences of the purchase, ownership and disposition of our capital stock by the partnership.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Holders on Distributions on Capital Stock</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As long as we qualify as a REIT, a taxable U.S. holder must generally take into account as ordinary income distributions made out of our current or accumulated earnings and profits that we do not designate as capital gain dividends or retained long-term capital gain. For purposes of determining whether a distribution is made out of our current or accumulated earnings and profits, our earnings and profits will be allocated first to our preferred stock dividends, if any, and then to our common stock dividends. A U.S. holder will not qualify for the dividends received deduction generally available to corporations. In addition, dividends paid to a U.S. holder generally will not qualify for the 20% tax rate for “qualified dividend income.”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maximum tax rate for qualified dividend income received by taxpayers taxed at individual rates is 20%. Qualified dividend income generally includes dividends paid to U.S. holders taxed at individual rates by domestic C corporations and certain qualified foreign corporations. Because we are not generally subject to federal income tax on the portion of our REIT taxable income distributed to our stockholders (see “—Taxation of Our Company” above), our dividends generally will not be eligible for the 20% rate on qualified dividend income. As a result, our ordinary REIT dividends will be taxed at the higher tax rate applicable to ordinary income. Currently, the highest marginal individual income tax rate on ordinary income is 39.6%. However, the 20% tax rate for qualified dividend income will apply to our ordinary REIT dividends (i) attributable to dividends received by us from certain non-REIT corporations (e.g., dividends from any domestic TRSs), (ii) to the extent attributable to income upon which we have paid corporate income tax (e.g., to the extent that we distribute less than 100% of our taxable income) and (iii) attributable to income in the prior taxable year from the sales of “built-in gain” property acquired by us from C corporations in carryover basis transactions (less the amount of corporate tax on such income). In general, to qualify for the reduced tax rate on qualified dividend income, a U.S. holder must hold our capital stock for more than 60 days during the 121-day period beginning on the date that is 60 days before the date on which our capital stock become ex-dividend. Individuals, trusts and estates whose income exceeds certain thresholds are also subject to a 3.8% Medicare tax on dividends received from us.</w:t>
      </w:r>
    </w:p>
    <w:p>
      <w:pPr>
        <w:spacing w:after="0" w:line="18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A U.S. holder generally will take into account distributions that we properly designate as capital gain dividends as long-term capital gain, to the extent that they do not exceed our actual net capital gain for the taxable year, without regard to the period for which the U.S. holder has held our capital stock. A corporate U.S. holder may, however, be required to treat up to 20% of certain capital gain dividends as ordinary income.</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may elect to retain and pay income tax on the net long-term capital gain that we recognize in a taxable year. In that case, to the extent we designate such amount on a timely notice to such stockholder, a U.S. holder would be taxed on its proportionate share of our undistributed long-term capital gain. The U.S. holder would receive a credit or refund for its proportionate share of the tax we paid. The U.S. holder would increase the basis in its stock by the amount of its proportionate share of our undistributed long-term capital gain, minus its share of the tax we paid.</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 U.S. holder will not incur tax on a distribution in excess of our current and accumulated earnings and profits if the distribution does not exceed the adjusted basis of the U.S. holder’s capital stock. Instead,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distribution will reduce the adjusted basis of such capital stock. A U.S. holder will recognize a distribution in excess of both our current and accumulated earnings and profits and the U.S. holder’s adjusted basis in his or her capital stock as long-term capital gain, or short-term capital gain if the capital stock has been held for one year or less, assuming the capital stock is a capital asset in the hands of the U.S. holder. In addition, if we declare a distribution in October, November or December of any year that is payable to a U.S. holder of record on a specified date in any such month, such distribution will be treated as both paid by us and received by the U.S. holder on December 31 of such year, provided that we actually pay the distribution during January of the following calendar year, as described in “—Distribution Requirements.”</w:t>
      </w:r>
    </w:p>
    <w:p>
      <w:pPr>
        <w:spacing w:after="0" w:line="1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capital stock will not be treated as passive activity income and, therefore, a U.S. holder generally will not be able to apply any “passive activity losses,” such as losses from certain types of limited partnerships in which such U.S. holder is a limited partner, against such income. In addition, taxable distributions from us and gain from the disposition of our capital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w:t>
      </w:r>
    </w:p>
    <w:p>
      <w:pPr>
        <w:spacing w:after="0" w:line="189"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may recognize taxable income in excess of our economic income, known as phantom income, in the first years that we hold certain investments, and experience an offsetting excess of economic income over our taxable income in later years. As a result, U.S. holders at times may be required to pay federal income tax on distributions that economically represent a return of capital rather than a dividend. These distributions would be offset in later years by distributions representing economic income that would be treated as returns of capital for U.S. federal income tax purposes. Taking into account the time value of money, this acceleration of federal income tax liabilities may reduce a U.S. holder’s after-tax return on his or her investment to an amount less than the after-tax return on an investment with an identical before-tax rate of return that did not generate phantom income. For example, if an investor with a 30% tax rate purchases a taxable bond with an annual interest rate of 10% on its face value, the investor’s before-tax return on the investment would be 10% and the investor’s after-tax return would be 7%. However, if the same investor purchased our capital stock at a time when the before-tax rate of return was 10%, the investor’s after-tax rate of return on such capital stock might be somewhat less than 7% as a result of our phantom income. In general, as the ratio of our phantom income to our total income increases, the after-tax rate of return received by a taxable U.S. holder will decrease. If excess inclusion income from a taxable mortgage pool or REMIC residual interest is allocated to any U.S. holder that income will be taxable in the hands of the U.S. holder and would not be offset by any net operating losses of the U.S. holder that would otherwise be available. See “—Requirements for Qualification—Taxable Mortgage Pools and Excess Inclusion Income.” As required by IRS guidance, we would notify our stockholders if a portion of a dividend paid by us is attributable to excess inclusion income. We do not currently expect to generate excess inclusion income for our stockholders.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Holders on the Disposition of Capital Stock</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general, a U.S. holder who is not a dealer in securities must treat any gain or loss realized upon a taxable disposition of our capital stock as long-term capital gain or loss if the U.S. holder has held such capital stock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holder’s adjusted tax basis generally will equal the U.S. holder’s acquisition cost, increased by the excess of net capital gains deemed distributed to the U.S. holder (discussed above) less tax deemed paid by such U.S. holder on such gains and reduced by any returns of capital. However, a U.S. holder must treat any loss upon a sale or exchange of capital stock held by such holder for six months or less as a long-term capital loss to the extent of capital gain dividends and any other actual or deemed distributions from us that such U.S. holder treats as long term capital gain. All 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portion of any loss that a U.S. holder realizes upon a taxable disposition of our capital stock may be disallowed if the U.S. holder purchases our capital stock (or substantially similar capital stock) within 30 days before or after the disposition.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Holders on a Conversion of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provided below, (i) a U.S. holder generally will not recognize gain or loss upon the conversion of preferred stock into our common stock, and</w:t>
      </w:r>
    </w:p>
    <w:p>
      <w:pPr>
        <w:spacing w:after="0" w:line="46" w:lineRule="exact"/>
        <w:rPr>
          <w:sz w:val="20"/>
          <w:szCs w:val="20"/>
          <w:color w:val="auto"/>
        </w:rPr>
      </w:pPr>
    </w:p>
    <w:p>
      <w:pPr>
        <w:ind w:right="60" w:firstLine="8"/>
        <w:spacing w:after="0" w:line="268" w:lineRule="auto"/>
        <w:tabs>
          <w:tab w:leader="none" w:pos="265" w:val="left"/>
        </w:tabs>
        <w:numPr>
          <w:ilvl w:val="0"/>
          <w:numId w:val="45"/>
        </w:numPr>
        <w:rPr>
          <w:rFonts w:ascii="Arial" w:cs="Arial" w:eastAsia="Arial" w:hAnsi="Arial"/>
          <w:sz w:val="17"/>
          <w:szCs w:val="17"/>
          <w:color w:val="auto"/>
        </w:rPr>
      </w:pPr>
      <w:r>
        <w:rPr>
          <w:rFonts w:ascii="Arial" w:cs="Arial" w:eastAsia="Arial" w:hAnsi="Arial"/>
          <w:sz w:val="17"/>
          <w:szCs w:val="17"/>
          <w:color w:val="auto"/>
        </w:rPr>
        <w:t>a U.S. holder’s basis and holding period in our common stock received upon conversion generally will be the same as those of the converted preferred stock (but the basis will be reduced by the portion of adjusted tax basis allocated to any fractional share exchanged for cash). Any of our shares of common stock received in a conversion that are attributable to accrued and unpaid dividends that are in arrears on the converted preferred stock will be treated as a distribution that is potentially taxable as a dividend. Cash received upon conversion in lieu of a fractional share generally will be treated as a payment in a taxable exchange for such fractional share, and gain or loss will be recognized on the receipt of cash in an amount equal to the difference between the amount of cash received and the adjusted tax basis allocable to the fractional share deemed exchanged. This gain or loss will be long-term capital gain or loss if the U.S. holder has held the preferred stock for more than one year at the time of conversion. U.S. holders are urged to consult with their tax advisors regarding the federal income tax consequences of any transaction by which such holder exchanges shares of our common stock received on a conversion of preferred stock for cash or other property.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Holders on a Redemption of Preferred Stock</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 redemption of preferred stock will be treated under Section 302 of the Code as a distribution that is taxable as dividend income (to the extent of our current or accumulated earnings and profits), unless the redemption satisfies certain tests set forth in Section 302(b) of the Code enabling the redemption to be treated as a sale of the preferred stock (in which case the redemption will be treated in the same manner as a sale described above in “—Taxation of Taxable U.S. Holders on the Disposition of Capital Stock”). The redemption will satisfy such tests if it (i) is “substantially disproportionate” with respect to the U.S. holder’s interest in our stock, (ii) results in a “complete termination” of the U.S. holder’s interest in all of our classes of stock or (iii) is “not essentially equivalent to a dividend” with respect to the stockholder, all within the meaning of Section 302(b) of the Code. In determining whether any of these tests have been met, stock considered to be owned by the holder by reason of certain constructive ownership rules set forth in the Code, as well as stock actually owned, generally must be taken into account. Because the determination as to whether any of the three alternative tests of Section 302(b) of the Code described above will be satisfied with respect to any particular U.S. holder of preferred stock depends upon the facts and circumstances at the time that the determination must be made, prospective investors are urged to consult their tax advisors to determine such tax treatment. If a redemption of preferred stock does not meet any of the three tests described above, the redemption proceeds will be taxable as a dividend, as described above in “—Taxation of U.S. Holders.” In that case, a U.S. holder’s adjusted tax basis in the redeemed preferred stock will be transferred to such U.S. holder’s remaining share holdings in us. If the U.S. holder does not retain any of our stock, such basis could be transferred to a related person that holds our stock or it may be lost.</w:t>
      </w:r>
    </w:p>
    <w:p>
      <w:pPr>
        <w:spacing w:after="0" w:line="1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proposed Treasury regulations, if any portion of the amount received by a U.S. holder on a redemption of any class of our preferred stock is treated as a distribution with respect to our stock but not as a taxable dividend, then such portion will be allocated to all shares of stock of the redeemed class held by the redeemed stockholder just before the redemption on a pro-rata, share-by-share, basis. The amount applied to each share of stock will first reduce the redeemed U.S. holder’s basis in that share and any excess after the basis is reduced to zero will result in taxable gain. If the redeemed stockholder has different bases in its shares of stock, then the amount allocated could reduce some of the basis in certain shares of stock while reducing all the basis and giving rise to taxable gain in others. Thus, the redeemed U.S. holder could have gain even if such U.S. holder’s basis in all its shares of stock of the redeemed class exceeded such portion.</w:t>
      </w:r>
    </w:p>
    <w:p>
      <w:pPr>
        <w:spacing w:after="0" w:line="18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proposed Treasury regulations permit the transfer of basis in the redeemed shares of preferred stock to the redeemed U.S. holder’s remaining, unredeemed shares of preferred stock of the same class (if any), but not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other class of stock held (directly or indirectly) by the redeemed U.S. holder. Instead, any unrecovered basis in the redeemed shares of preferred stock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and Losses</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 taxpayer generally must hold a capital asset for more than one year for gain or loss derived from its sale or exchange to be treated as long-term capital gain or loss.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Individuals, trusts and estates whose income exceeds certain thresholds are also subject to a 3.8% Medicare tax on gain from the sale of our capital stock. With respect to distributions that we designate as capital gain dividends and any retained capital gain that we are deemed to distribute, we will designate whether such a distribution is taxable to U.S. holders taxed at individual rates at a 20% or 25% rate. The highest marginal individual income tax rate currently is 39.6%.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our stock.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may deduct capital losses only to the extent of capital gains, with unused losses being carried back three years and forward five years.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Withholding</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or the applicable withholding agent will report to U.S. holders and to the IRS the amount and the tax character of distributions we pay during each calendar year, and the amount of tax we withhold, if any. Under the backup withholding rules, a U.S. holder may be subject to backup withholding at a rate of 28% with respect to distributions unless such holder:</w:t>
      </w:r>
    </w:p>
    <w:p>
      <w:pPr>
        <w:spacing w:after="0" w:line="87"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a corporation or comes within certain other exempt categories and, when required, demonstrates this fact; or</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provides a taxpayer identification number, certifies as to no loss of exemption from backup withholding, and otherwise complies with the applicable requirements of the backup withholding rules.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holder who does not provide the applicable withholding agent with its correct taxpayer identification number also may be subject to penalties imposed by the IRS. Any amount paid as backup withholding will be creditable against the U.S. holder’s income tax liability. Backup withholding is not an additional tax. Any amounts withheld under the backup withholding rules may be refunded or credited against the U.S. holder’s U.S. federal income tax liability if certain required information is timely furnished to the IRS. U.S. holders are urged to consult their own tax advisors regarding application of backup withholding to them and the availability of, and procedure for obtaining an exemption from, backup withholding. In addition, the applicable withholding agent may be required to withhold a portion of distributions to any U.S. holders who fail to certify their U.S. status. Under the Foreign Account Tax Compliance Act, or FATCA, a U.S. withholding tax at a 30% rate generally will be imposed on dividends received by U.S. holders who own our capital stock through foreign accounts or foreign intermediaries if certain disclosure requirements related to U.S. accounts or ownership are not satisfied. In addition, if those disclosure requirements are not satisfied, a U.S. withholding tax at a 30% rate will be imposed, for payments made after December 31, 2016, on proceeds from the sale of our capital stock by U.S. holders who own our capital stock through foreign accounts or foreign intermediaries. We will not pay any additional amounts in respect of amounts withheld.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Holders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Tax-exempt entities, including qualified employee pension and profit sharing trusts and individual retirement accounts, generally are exempt from federal income taxation. They are subject, however, to taxation on their UBTI. While many investments in real estate generate UBTI, the IRS has issued a ruling that dividend distributions from a REIT to an exempt employee pension trust do not constitute UBTI. Based on that ruling, amounts that we distribute to tax-exempt stockholders generally should not constitute UBTI. However, if a tax-exempt stockholder were to finance its investment in our capital stock with debt, a portion of the income that it receives from us would constitute UBTI pursuant to the “debt-financed property” rules. In addition, our dividends that are attributable to excess inclusion income will constitute UBTI in the hands of most tax-exempt stockholders. See “—Requirements for Qualification— Taxable Mortgage Pools and Excess Inclusion Income.” However, we currently expect to avoid generating excess inclusion income for our stockholders. Moreover, social clubs, voluntary employee benefit associations, supplemental unemployment benefit trusts and qualified group legal services plans that are exempt from taxation under special provisions of the federal income tax laws are subject to different UBTI rules, which generally will require them to characterize distributions that they receive from us as UBTI. Finally, in certain circumstances, a qualified employee pension or profit sharing trust that owns more than 10% of our stock must treat a percentage of the dividends that it receives from us as UBTI. Such percentage is equal to the gross income we derive from an unrelated trade or business, determined as if we were a pension trust, divided by our total gross income for the year in which we pay the dividends. That rule applies to a pension trust holding more than 10% of our stock only if:</w:t>
      </w:r>
    </w:p>
    <w:p>
      <w:pPr>
        <w:spacing w:after="0" w:line="93"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percentage of our dividends that the tax-exempt trust must treat as UBTI is at least 5%;</w:t>
      </w:r>
    </w:p>
    <w:p>
      <w:pPr>
        <w:spacing w:after="0" w:line="130" w:lineRule="exact"/>
        <w:rPr>
          <w:rFonts w:ascii="Arial" w:cs="Arial" w:eastAsia="Arial" w:hAnsi="Arial"/>
          <w:sz w:val="18"/>
          <w:szCs w:val="18"/>
          <w:color w:val="auto"/>
        </w:rPr>
      </w:pPr>
    </w:p>
    <w:p>
      <w:pPr>
        <w:ind w:left="900" w:right="420" w:hanging="446"/>
        <w:spacing w:after="0" w:line="264"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rule requiring that no more than 50% of our stock be owned by five or fewer individuals that allows the beneficiaries of the pension trust to be treated as holding our stock in proportion to their actuarial interests in the pension trust; and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one pension trust owns more than 25% of the value of our stock; or</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group of pension trusts individually holding more than 10% of the value of our stock collectively owns more than 50% of the value of our stock.</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Tax-exempt U.S. holders are urged to consult their tax advisors regarding the U.S. federal, state, local, and foreign tax consequences of owning our capital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Holders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term “non-U.S. holder” means a beneficial owner of our capital stock that is not a U.S. holder or a partnership (or an entity or arrangement treated as a partnership for U.S. federal income tax purposes). The rules governing federal income taxation of nonresident alien individuals, foreign corporations, foreign partnerships and other foreign holders are complex. This section is only a summary of such rules. We urge non-U.S. holders to consult their tax advisors to determine the impact of federal, state and local income tax laws on ownership of our capital stock, including any reporting requirements.</w:t>
      </w:r>
    </w:p>
    <w:p>
      <w:pPr>
        <w:spacing w:after="0" w:line="15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A non-U.S. holder that receives a distribution from us that is not attributable to gain from our sale or exchange of “United States real property interests,” as defined below, and that we do not designate as a capital gain dividend or retained capital gains will recognize ordinary income to the extent that we pay the distribution out of our current or accumulated earnings and profits. A withholding tax equal to 30% of the gross amount of the distribution ordinarily will apply unless an applicable tax treaty reduces or eliminates the tax. Our dividends that are attributable to excess inclusion income will be subject to the 30% withholding tax, without reduction for any otherwise applicable income tax treaty. See “—Requirements for Qualification—Taxable Mortgage Pools and Excess Inclusion Income.” We currently expect to avoid generating excess inclusion income for our stockholders. If a distribution is treated as effectively connected with the non-U.S. holder’s conduct of a U.S.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trade or business, the distribution will not incur the 30% withholding tax, but the non-U.S. holder generally will be subject to federal income tax on the 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our capital stock. It is expected that the applicable withholding agent will withhold U.S. income tax at the rate of 30% on the gross amount of any distribution that we do not designate as a capital gain distribution or retained capital gain and is paid to a non-U.S. holder unless either:</w:t>
      </w:r>
    </w:p>
    <w:p>
      <w:pPr>
        <w:spacing w:after="0" w:line="64" w:lineRule="exact"/>
        <w:rPr>
          <w:sz w:val="20"/>
          <w:szCs w:val="20"/>
          <w:color w:val="auto"/>
        </w:rPr>
      </w:pPr>
    </w:p>
    <w:p>
      <w:pPr>
        <w:ind w:left="900" w:right="16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lower treaty rate applies and the non-U.S. holder files with the applicable withholding agent an IRS Form W-8BEN or W-8BEN-E evidencing eligibility for that reduced rate; or</w:t>
      </w:r>
    </w:p>
    <w:p>
      <w:pPr>
        <w:spacing w:after="0" w:line="75"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non-U.S. holder files with the applicable withholding agent an IRS Form W-8ECI claiming that the distribution is effectively connected income.</w:t>
      </w:r>
    </w:p>
    <w:p>
      <w:pPr>
        <w:spacing w:after="0" w:line="17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Capital gain dividends received or deemed received by a non-U.S. holder from us that are not attributable to gain from our sale or exchange of “United States real property interests,” as defined below, are generally not subject to U.S. federal income or withholding tax, unless either (1) the non-U.S. holder’s investment in our capital stock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spacing w:after="0" w:line="19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non-U.S. holder will not incur tax on a distribution on the capital stock in excess of our current and accumulated earnings and profits if the excess portion of the distribution does not exceed the adjusted tax basis of its capital stock. Instead, the excess portion of the distribution will reduce such non-U.S. holder’s adjusted tax basis of its capital stock. A non-U.S. holder will be subject to tax on a distribution that exceeds both our current and accumulated earnings and profits and the adjusted basis of its capital stock, if the non-U.S. holder otherwise would be subject to tax on gain from the sale or disposition of its capital stock, as described below. Because we generally cannot determine at the time we make a distribution whether the distribution will exceed our current and accumulated earnings and profits, it is expected that the applicable withholding agent normally will withhold tax on the entire amount of any distribution at the same rate applicable to withholding on a dividend. However, a non-U.S. holder may obtain a refund of amounts that the applicable withholding agent withheld if we later determine that a distribution in fact exceeded our current and accumulated earnings and profits.</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FATCA, a U.S. withholding tax at a 30% rate generally will be imposed on dividends paid to certain non-U.S. holders if certain disclosure requirements related to U.S. accounts or ownership are not satisfied. In addition, if those disclosure requirements are not satisfied, a U.S. withholding tax at a 30% rate will be imposed, for payments made after December 31, 2016, on proceeds from the sale of our capital stock received by certain non-U.S. holders. If payment of withholding taxes is required, non-U.S. holders that are otherwise eligible for an exemption from, or reduction of, U.S. withholding taxes with respect to such dividends and proceeds will be required to seek a refund from the IRS to obtain the benefit of such exemption or reduction. We will not pay any additional amounts in respect of any amounts withheld.</w:t>
      </w:r>
    </w:p>
    <w:p>
      <w:pPr>
        <w:spacing w:after="0" w:line="193"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For any year in which we qualify as a REIT, a non-U.S. holder may incur tax on distributions that are attributable to gain from our sale or exchange of “United States real property interests” under special provisions of the federal income tax laws known as “FIRPTA.” The term “United States real property interests” includes interests in real property and shares in corporations at least 50% of whose assets consist of interests in real property. The term “United States real property interests” generally does not include residential mortgage loans or mortgage-backed securities such as Agency RMBS or non-Agency RMBS. As a result, we do not anticipate that we will generate material amounts of gain that would be subject to FIRPTA. Under the FIRPTA rules, a non-U.S. holder is taxed on distributions attributable to gain from sales of United States real property interests as if the gain were effectively connected with a U.S. business of the non-U.S. holder. A non-U.S. holder thus would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be taxed on such a distribution at the normal capital gain rates applicable to U.S. holders, subject to applicable alternative minimum tax and a special alternative minimum tax in the case of a nonresident alien individual. A non-U.S. corporate holder not entitled to treaty relief or exemption also may be subject to the 30% branch profits tax on such a distribution. Unless a non-U.S. holder qualifies for the exception described in the next paragraph, the applicable withholding agent must withhold 35% of any such distribution that we could designate as a capital gain dividend. A non-U.S. holder may receive a credit against such holder’s tax liability for the amount withheld.</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Capital gain distributions on our capital stock that are attributable to our sale of real property will be treated as ordinary dividends, rather than as gain from the sale of a United States real property interest, as long as (i) the applicable class of our capital stock is “regularly traded” on an established securities market in the United States and (ii) the non-U.S. holder does not own more than 5% of the applicable class of our capital stock during the one-year period preceding the distribution date. As a result, non-U.S. holders generally would be subject to withholding tax on such capital gain distributions in the same manner as they are subject to withholding tax on ordinary dividends.</w:t>
      </w:r>
    </w:p>
    <w:p>
      <w:pPr>
        <w:spacing w:after="0" w:line="18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believe that our common stock currently is treated as being regularly traded on an established securities market in the United States. If the applicable class of our capital stock is not regularly traded on an established securities market in the United States or the non-U.S. holder owned more than 5% of the applicable class of our capital stock at any time during the one-year period prior to the distribution, capital gain distributions that are attributable to our sale of real property would be subject to tax under FIRPTA. Moreover, if a non-U.S. holder disposes of our capital stock during the 30-day period preceding a dividend payment, and such non-U.S. holder (or a person related to such non-U.S. holder) acquires or enters into a contract or option to acquire our capital stock within 61 days of the 1st day of the 30 day period described above, and any portion of such dividend payment would, but for the disposition, be treated as a United States real property interest capital gain to such non-U.S. holder, then such non-U.S. holder will be treated as having United States real property interest capital gain in an amount that, but for the disposition, would have been treated as United States real property interest capital gain.</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 non-U.S. holder generally will not incur tax under FIRPTA with respect to gain realized upon a disposition of our capital stock as long as we are not a United States real property holding corporation during a specified testing period. If at least 50% of a REIT’s assets are United States real property interests, then the REIT will be a United States real property holding corporation. We do not anticipate that we will be a United States real property holding corporation based on our current investment strategy. In the unlikely event that at least 50% of the assets we hold were determined to be United States real property interests, gains from the sale of our capital stock by a non-U.S. holder could be subject to a FIRPTA tax. However, even if that event were to occur, a non-U.S. holder generally would not incur tax under FIRPTA on gain from the sale of our capital stock if we were a “domestically controlled qualified investment entity.” A domestically controlled qualified investment entity includes a REIT in which, at all times during a specified testing period, less than 50% in value of its stock are held directly or indirectly by non-U.S. persons. We believe that we are, and expect to continue to be, a domestically controlled qualified investment entity, and that a sale of our capital stock would not be subject to taxation under FIRPTA. No assurance can be given, however, that we will remain a domestically controlled qualified investment entity.</w:t>
      </w:r>
    </w:p>
    <w:p>
      <w:pPr>
        <w:spacing w:after="0" w:line="17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the applicable class of our capital stock is regularly traded on an established securities market in the United States, an additional exception to the tax under FIRPTA on gain from share sales will be available, even if we do not qualify as a domestically controlled qualified investment entity at the time the non-U.S. holder sells our capital stock. Under that exception, the gain from such a sale by such a non-U.S. holder will not be subject to tax under FIRPTA if:</w:t>
      </w:r>
    </w:p>
    <w:p>
      <w:pPr>
        <w:spacing w:after="0" w:line="52" w:lineRule="exact"/>
        <w:rPr>
          <w:sz w:val="20"/>
          <w:szCs w:val="20"/>
          <w:color w:val="auto"/>
        </w:rPr>
      </w:pPr>
    </w:p>
    <w:p>
      <w:pPr>
        <w:ind w:left="900" w:right="30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applicable class of our capital stock is considered regularly traded under applicable U.S. Treasury Regulations on an established securities market, such as the New York Stock Exchange; and</w:t>
      </w:r>
    </w:p>
    <w:p>
      <w:pPr>
        <w:spacing w:after="0" w:line="75"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non-U.S. holder owned, actually or constructively, 5% or less of the applicable class of our capital stock at all times during a specified testing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As noted above, we believe that our common stock currently is treated as being regularly traded on an established securities market following this offering. If the gain on the sale of our capital stock were taxed under FIRPTA, a non-U.S. holder would be taxed on that gain in the same manner as U.S. holders, subject to applicable alternative minimum tax and a special alternative minimum tax in the case of nonresident alien individuals.</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Backup withholding will generally not apply to payments of dividends made by us or our paying agents, in their capacities as such, to a non-U.S. holder provided that the non-U.S. holder furnishes to the applicable withholding agent the required certification as to its non-U.S. status, such as providing a valid IRS Form W-8BEN, W-8BEN-E or W-8ECI, or certain other requirements are met.</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the foregoing, backup withholding may apply if the applicable withholding agent has actual knowledge, or reason to know, that the holder is a U.S. person that is not an exempt recipient. Payments of the net proceeds from a disposition or a redemption effected outside the United States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U.S. unless the broker has documentary evidence in its records that the beneficial owner is a non-U.S. holder and specified conditions are met or an exemption is otherwise established. Payment of the net proceeds from a disposition by a non-U.S. holder of capital stock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spacing w:after="0" w:line="166"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refunded or credited against the non-U.S. holder’s U.S. federal income tax liability if certain required information is timely furnished to the IRS. Non-U.S. holders are urged to consult their own tax advisors regarding application of backup withholding to them and the availability of, and procedure for obtaining an exemption from, backup withholding.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Preferred Stock</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conversion of our preferred stock into our common stock may be a taxable exchange for a non-U.S. holder if our preferred stock constitutes a “United States real property interest.” Even if our preferred stock constitutes a “United States real property interest,” provided our common stock also constitutes a “United States real property interest,” a non-U.S. holder generally will not recognize gain or loss upon a conversion of preferred stock into our common stock so long as certain FIRPTA-related reporting requirements are satisfied. If our preferred stock constitutes a “United States real property interest” and such requirements are not satisfied, however, a conversion will be treated as a taxable exchange of preferred stock for our common stock. Such a deemed taxable exchange will be subject to tax under FIRPTA at the rate of tax, including any applicable capital gains rates, that would apply to a U.S. holder of the same type (e.g., a corporate or a non-corporate stockholder, as the case may be) on the excess, if any, of the fair market value of such non-U.S. holder’s common stock received over such non-U.S. holder’s adjusted basis in its preferred stock. Collection of such tax will be enforced by a refundable withholding tax at a rate of 10% of the value of the common stock.</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Non-U.S. holders are urged to consult with their tax advisors regarding the federal income tax consequences of any transaction by which such non-U.S.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 exchanges shares of our common stock received on a conversion of preferred stock for cash or other property.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a discussion of the treatment of a redemption of preferred stock, see “—Taxation of U.S. Holders on a Redemption of Preferred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of Our Investments in Our Operating Partnership and Subsidiary Partnerships</w:t>
      </w:r>
    </w:p>
    <w:p>
      <w:pPr>
        <w:spacing w:after="0" w:line="121"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The following discussion summarizes certain U.S. federal income tax considerations applicable to our direct or indirect investments in our operating partnership and any subsidiary partnerships or limited liability companies that we form or acquire (each individually a “Partnership” and, collectively, the “Partnerships”). This discussion does not cover state or local tax laws or any U.S. federal tax laws other than income tax laws.</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We conduct our activities through our operating partnership, and the operating partnership may hold investments through entities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classified as partnerships for U.S. federal income tax purposes. In general, partnerships are “pass-through” entities that are not subject to U.S. federal income tax. Rather, the partners are allocated their proportionate shares of the items of income, gain, loss, deduction and credit of a partnership, and are potentially subject to tax on these items, without regard to whether the partners receive a distribution from the partnership. We will include in our income our proportionate share of any partnership items arising from our operating partnership and any other partnerships in which we or our operating partnership holds an interest for purposes of the various REIT income tests and in computation of our REIT taxable income. Moreover, for purposes of the REIT asset tests, we will include in our calculations our proportionate share of any assets held by such partnerships. Our proportionate share of a partnership’s assets and income is based on our capital interest in the partnership.</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 xml:space="preserve">Classification as Partnerships </w:t>
      </w:r>
      <w:r>
        <w:rPr>
          <w:rFonts w:ascii="Arial" w:cs="Arial" w:eastAsia="Arial" w:hAnsi="Arial"/>
          <w:sz w:val="18"/>
          <w:szCs w:val="18"/>
          <w:color w:val="auto"/>
        </w:rPr>
        <w:t>We will be entitled to include in our income our distributive share of each Partnership’s income and to deduct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distributive share of each Partnership’s losses only if such Partnership is classified for U.S. federal income tax purposes as a partnership (or an entity that is disregarded for U.S. federal income tax purposes if the entity is treated as having only one owner or member for U.S. federal income tax purposes) rather than as a corporation or an association taxable as a corporation. An unincorporated entity with at least two owners or members will be classified as a partnership, rather than as a corporation, for U.S. federal income tax purposes if it:</w:t>
      </w:r>
    </w:p>
    <w:p>
      <w:pPr>
        <w:spacing w:after="0" w:line="94"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treated as a partnership under the Treasury Regulations relating to entity classification (the “check-the-box regulations”);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 not a “publicly-traded partnership.”</w:t>
      </w:r>
    </w:p>
    <w:p>
      <w:pPr>
        <w:spacing w:after="0" w:line="117"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Under the check-the-box regulations, an unincorporated entity with at least two owners or members may elect to be classified either as an association taxable as a corporation or as a partnership. If such an entity fails to make an election, it generally will be treated as a partnership (or an entity that is disregarded for U.S. federal income tax purposes if the entity is treated as having only one owner or member for U.S. federal income tax purposes) for U.S. federal income tax purposes. Our operating partnership intends to be classified as a partnership for U.S. federal income tax purposes and will not elect to be treated as an association taxable as a corporation under the check-the-box regulations.</w:t>
      </w:r>
    </w:p>
    <w:p>
      <w:pPr>
        <w:spacing w:after="0" w:line="17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publicly-traded partnership is a partnership whose interests are traded on an established securities market or are readily tradable on a secondary market or the substantial equivalent thereof. A publicly-traded partnership will not, however, be treated as a corporation for any taxable year if, for each taxable year beginning after December 31, 1987 in which it was classified as a publicly-traded partnership, 90% or more of the partnership’s gross income for such year consists of certain passive-type income, including real property rents, gains from the sale or other disposition of real property, interest, and dividends, or the “90% passive income exception”. Treasury Regulations provide limited safe harbors from the definition of a publicly-traded partnership. Pursuant to one of those safe harbors or the “private placement exclusion,” interests in a partnership will not be treated as readily tradable on a secondary market or the substantial equivalent thereof if (i) all interests in the partnership were issued in a transaction or transactions that were not required to be registered under the Securities Act and (ii) the partnership does not have more than 100 partners at any time during the partnership’s taxable year. In determining the number of partners in a partnership, a person owning an interest in an entity that is a partnership, grantor trust, or S corporation that owns an interest in the partnership is treated as a partner in such partnership only if (i) substantially all of the value of the owner’s interest in the entity is attributable to the entity’s direct 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indirect interest in the partnership and (ii) a principal purpose of the use of the entity is to permit the partnership to satisfy the 100-partner limitation. We expect that our operating partnership and any other partnership in which we own an interest will qualify for the private placement exception.</w:t>
      </w:r>
    </w:p>
    <w:p>
      <w:pPr>
        <w:spacing w:after="0" w:line="124"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not requested, and do not intend to request, a ruling from the IRS that our operating partnership will be classified as a partnership for U.S. federal income tax purposes. If for any reason our operating partnership were taxable as a corporation, rather than as a partnership, for U.S. federal income tax purposes, we likely would not be able to qualify as a REIT unless we qualified for certain relief provisions. See “—Gross Income Tests” and “—Asset Tests.” In addition, any change in a Partnership’s classification for tax purposes might be treated as a taxable event, in which case we might incur tax liability without any related cash distribution. See “—Distribution Requirements.” Further, items of income and deduction of such Partnership would not pass through to us or its other partners, and we and its other partners would be treated as stockholders for tax purposes. Consequently, such Partnership would be required to pay income tax at corporate rates on its net income, and distributions to us and its other partners would constitute dividends that would not be deductible in computing such Partnership’s taxable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Taxation of the Partnerships and their Partners</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Partners, Not the Partnerships, Subject to Tax </w:t>
      </w:r>
      <w:r>
        <w:rPr>
          <w:rFonts w:ascii="Arial" w:cs="Arial" w:eastAsia="Arial" w:hAnsi="Arial"/>
          <w:sz w:val="17"/>
          <w:szCs w:val="17"/>
          <w:color w:val="auto"/>
        </w:rPr>
        <w:t>A partnership is not a taxable entity for U.S. federal income tax purposes. Rather, we are required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take into account our allocable share of each Partnership’s income, gains, losses, deductions, and credits for any taxable year of such Partnership ending within or with our taxable year, without regard to whether we have received or will receive any distribution from such Partnership.</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Partnership Allocations </w:t>
      </w:r>
      <w:r>
        <w:rPr>
          <w:rFonts w:ascii="Arial" w:cs="Arial" w:eastAsia="Arial" w:hAnsi="Arial"/>
          <w:sz w:val="18"/>
          <w:szCs w:val="18"/>
          <w:color w:val="auto"/>
        </w:rPr>
        <w:t>Although a partnership agreement generally will determine the allocation of income and losses among partners,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allocations will be disregarded for tax purposes if they do not comply with the provisions of the U.S. federal income tax laws governing partnership allocations. If an allocation is not recognized for U.S. federal income tax purposes, the item subject to the allocation will be reallocated in accordance with the partners’ interests in the partnership, which will be determined by taking into account all of the facts and circumstances relating to the economic arrangement of the partners with respect to such item. Each Partnership’s allocations of taxable income, gain, and loss are intended to comply with the requirements of the U.S. federal income tax laws governing partnership allocations.</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Tax Allocations With Respect to Partnership Properties </w:t>
      </w:r>
      <w:r>
        <w:rPr>
          <w:rFonts w:ascii="Arial" w:cs="Arial" w:eastAsia="Arial" w:hAnsi="Arial"/>
          <w:sz w:val="18"/>
          <w:szCs w:val="18"/>
          <w:color w:val="auto"/>
        </w:rPr>
        <w:t>We may acquire properties in exchange for partnership units in our operating partnership,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 units, in the future.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the unrealized gain or unrealized loss (“built-in gain” or “built-in loss”) is generally equal to the difference between the fair market value of the contributed property at the time of contribution and the adjusted tax basis of such property at the time of contribution (a “book-tax difference”).</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Any property purchased for cash initially by our operating partnership will have an adjusted tax basis equal to the amount paid, resulting in no book-tax difference. Allocations with respect to book-tax differences are solely for U.S. federal income tax purposes and do not affect the book capital accounts or other economic or legal arrangements among the partners. The U.S. Treasury Department has issued regulations requiring partnerships to use a “reasonable method” for allocating items with respect to which there is a book-tax difference and outlining several reasonable allocation methods. Under certain available methods, the carryover basis of contributed properties in the hands of our operating partnership (i) could cause us to be allocated lower amounts of depreciation deductions for tax purposes than would be allocated to us if all contributed properties were to have a tax basis equal to their fair market value at the time of the contribution and (ii) in the event of a sale of such properties, could cause us to be allocated taxable gain in excess of the economic or book gain allocated to us as a result of such sale, with a corresponding benefit to the contributing partners. An allocation described in (ii)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might cause us to recognize taxable income in excess of cash proceeds in the event of a sale or other disposition of property, which might adversely affect our ability to comply with the REIT distribution requirements and may result in a greater portion of our distributions being taxed as dividends. We have not yet decided what method will be used to account for book-tax differences for properties that may be acquired in exchange for OP units by our operating partnership in the future.</w:t>
      </w:r>
    </w:p>
    <w:p>
      <w:pPr>
        <w:spacing w:after="0" w:line="18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operating partnership will revalue its assets upon any grant of long-term incentive plan units, or LTIP units, a special class of limited partnership interests in our operating partnership, and thereafter upon the occurrence of certain specified events permitted under the Treasury Regulations (including a subsequent issuance of LTIP units), and any increase in valuation since the time of grant of such LTIP units or the last revaluation event from the time of grant until such event will be allocated first to the existing LTIP units holders to equalize the capital accounts of such holders with the capital accounts of holders of our other outstanding partnership units. Upon equalization of the capital accounts of the LTIP unit holders with the capital accounts of the other holders of our OP units, the LTIP units will achieve full parity with our other OP units for all purposes, including with respect to liquidating distributions. The liquidation value of an LTIP unit upon grant will be zero because liquidating distributions are required to be made in accordance with the partners’ positive capital account balances (and at the time of the grant of an LTIP unit, the capital account of the holder of such LTIP unit is zero with respect to such LTIP unit).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a Partnership’s Property</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Generally, any gain realized by a Partnership on the sale of property held by the Partnership for more than one year will be long-term capital gain, except for any portion of such gain that is treated as depreciation or cost recovery recapture. Under Section 704(c) of the Code, any gain or loss recognized by a Partnership on the disposition of contributed properties will be allocated first to the partners of the Partnership who contributed such properties to the extent of their built-in gain or loss on those properties for U.S. federal income tax purposes. The partners’ built-in gain or loss on such contributed properties will equal the difference between the partners’ proportionate share of the book value of those properties and the partners’ tax basis allocable to those properties at the time of the contribution as reduced for any decrease in the “book-tax difference.” See “—Income Taxation of the Partnerships and their Partners—Tax Allocations With Respect to Partnership Properties.” Any remaining gain or loss recognized by the Partnership on the disposition of the contributed properties, and any gain or loss recognized by the Partnership on the disposition of the other properties, will generally be allocated among the partners in accordance with their respective interests in the Partnership.</w:t>
      </w:r>
    </w:p>
    <w:p>
      <w:pPr>
        <w:spacing w:after="0" w:line="1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share of any gain realized by a Partnership on the sale of any property held by the Partnership as inventory or other property held primarily for sale to customers in the ordinary course of the Partnership’s trade or business will be treated as income from a prohibited transaction that is subject to a 100% prohibited transactions tax. Such prohibited transaction income also may have an adverse effect upon our ability to satisfy the income tests for REIT status. See “—Gross Income Tests.” We do not presently intend to acquire or hold or to allow any Partnership to acquire or hold any property, other than through a taxable REIT subsidiary, that represents inventory or other property held primarily for sale to customers in the ordinary course of our or such Partnership’s trade or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or Other Actions Affecting REITs</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 regulations and interpretations. Additionally, several of the tax considerations described herein are currently under review and are subject to change. Prospective investors are urged to consult with their own tax advisors regarding the effect of potential changes to the federal tax laws on an investment in our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Local and Foreign Taxes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and/or our securityholders may be subject to taxation by various states, localities or foreign jurisdictions, including those in which we, our subsidiaries, or our securityholders transact business, own property or reside. We or our subsidiaries may own properties located in numerous jurisdictions and may be required to file tax returns in some or all of those jurisdictions. The state, local and foreign tax treatment of us and our securityholders may differ from the federal income tax treatment of us and our securityholders described above. Consequently, securityholders should consult their tax advisors regarding the application and effect of state, local and foreign income and other tax laws upon an investment in our securities.</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20"/>
          </w:cols>
          <w:pgMar w:left="240" w:top="459"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sell the securities being offered hereby in one or more of the following ways from time to time:</w:t>
      </w:r>
    </w:p>
    <w:p>
      <w:pPr>
        <w:spacing w:after="0" w:line="13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agents to the public or to investors;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underwriters or dealers for resale to the public or to investors;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agents;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“at-the-market” offerings, within the meaning of Rule 415 of the Securities Act, to or through a market maker or into an existing trading market on an exchange or otherwise;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any manner, as provided in the accompanying prospectus supplement.</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may also effect a distribution of the securities offered hereby through the issuance of derivative securities, including, without limitation, warrants, forward delivery contracts and the writing of options. In addition, the manner in which we may sell some or all of the securities covered by this prospectus includes, without limitation, through:</w:t>
      </w:r>
    </w:p>
    <w:p>
      <w:pPr>
        <w:spacing w:after="0" w:line="87" w:lineRule="exact"/>
        <w:rPr>
          <w:sz w:val="20"/>
          <w:szCs w:val="20"/>
          <w:color w:val="auto"/>
        </w:rPr>
      </w:pPr>
    </w:p>
    <w:p>
      <w:pPr>
        <w:ind w:left="900" w:right="440" w:hanging="446"/>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maintaining our qualification as a REIT, we may also enter into hedging transactions. For example, we may:</w:t>
      </w:r>
    </w:p>
    <w:p>
      <w:pPr>
        <w:spacing w:after="0" w:line="131" w:lineRule="exact"/>
        <w:rPr>
          <w:sz w:val="20"/>
          <w:szCs w:val="20"/>
          <w:color w:val="auto"/>
        </w:rPr>
      </w:pPr>
    </w:p>
    <w:p>
      <w:pPr>
        <w:ind w:left="9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securities offered pursuant to this prospectus, in which case such broker-dealer or affiliate may use securities issued pursuant to this prospectus to close out its short positions;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130"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securities to a broker-dealer or an affiliate thereof, who will then resell or transfer securities under this prospectus; or</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loan or pledge securities to a broker-dealer or an affiliate thereof, who may sell the loaned securities or, in an event of default in the case of a pledge, sell the pledged securities pursuant to this prospectus.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131"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name or names of any agents or underwriters;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terms of the securities offered;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over-allotment or other options under which underwriters or agents may purchase or place additional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securities exchanges on which such securities may be listed.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may designate agents who agree to use their reasonable efforts to solicit purchases for the period of their appointment or to sell the securities being offered hereby on a continuing basis, unless otherwise provided in a prospectus supplement.</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may from time to time engage a broker-dealer to act as our offering agent for one or more offerings of our securities. If we reach agreement with an offering agent with respect to a specific offering, including the number of securities and any minimum price below which sales may not be made, then the offering agent will try to sell such common stock on the agreed terms. The offering agent could make sales in privately negotiated transactions and/or any other method permitted by law, including sales deemed to be an “at-the-market” offering as defined in Rule 415 promulgated under the Securities Act, including sales made directly on the NYSE, or sales made to or through a market maker other than on an exchange. The offering agent will be deemed to be an “underwriter” within the meaning of the Securities Act, with respect to any sales effected through an “at-the-market” offering.</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If we use underwriters for a sale of securities, the underwriters will acquire the securities, and may resell the securities in one or more transactions, including negotiated transactions, at a fixed public offering price or at varying prices determined at the time of sale. The obligations of the underwriters to purchase the securities will be subject to the conditions set forth in the applicable underwriting agreement. We may change from time to time any public offering price and any discounts or concessions the underwriters allow or reallow or pay to dealers. We may use underwriters with whom we have a material relationship. We will identify the underwriter or underwriters and describe the nature of any such relationship in the applicable the prospectus supplement.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Purchasers</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We may authorize underwriters, dealers or agents to solicit certain institutional investors, approved by us, to purchase our securities on a delayed delivery basis or pursuant to delayed delivery contracts providing for payment and delivery on a specified future date. These institutions may include commercial and savings banks, insurance companies, pension funds, investment companies and educational and charitable institutions. We will describe in the prospectus supplement details of any such arrangement, including the offering price and applicable sales commissions payable on such solicitations.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may also sell securities directly to one or more purchasers without using underwriters or agents. 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accompanying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 from time to time.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Compensation</w:t>
      </w:r>
    </w:p>
    <w:p>
      <w:pPr>
        <w:spacing w:after="0" w:line="121"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Any underwriting compensation paid by us to underwriters, dealers or agents in connection with the offering of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w:t>
      </w:r>
    </w:p>
    <w:p>
      <w:pPr>
        <w:spacing w:after="0" w:line="17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Underwriters, dealers and agents may be entitled, under agreements entered into with us and our operating partnership, to indemnification against and contribution toward civil liabilities, including liabilities under the Securities Act. We will describe any indemnification agreement in the applicable prospectus supplement.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Markets and Listing of Securities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Unless otherwise specified in the accompanying prospectus supplement, each class or series of securities covered by this prospectus will be a new issue with no established trading market, other than our common stock, which is listed on the NYSE. We may elect to list any other class or series of securities on any exchange,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trading market for any of the securities.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Activities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accordance with Regulation M under the Exchange Act, underwriters may engage in over-allotment, stabilizing or short covering transactions or penalty bids in connection with an offering of our securities. Over-allotment transactions involve sales in excess of the offering size, which create a short position. Stabilizing transactions permit bids to purchase the underlying security so long as the stabilizing bids do not exceed a specified maximum price.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they would otherwise be. If commenced, the underwriters may discontinue any of the activities at any time.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Certain matters of Maryland law, including the validity of the securities covered by this prospectus, will be passed upon for us by Venable LLP. Certain tax matters will be passed upon for us by Hunton &amp; Williams LLP.</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consolidated financial statements of Cherry Hill Mortgage Investment Corporation, appearing in our Annual Report on Form 10-K for the year ended December 31, 2013, have been audited by Ernst &amp; Young LLP, independent registered public accounting firm, as set forth in their report thereon and incorporated herein by reference. Such consolidated financial statements are incorporated herein by reference in reliance upon such report given on the authority of such firm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website is http://www.chmireit.com. We make our SEC filings available on our website, free of charge, as soon as reasonably practicable after such materials are filed with, or furnished to, the SEC. Information on or accessible from our website is not considered a part of or incorporated by reference into this prospectus.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file annual, quarterly and current reports, proxy statements and other information with the SEC. We have filed with the SEC a registration statement on Form S-3 relating to the securities covered by this prospectus. This prospectus does not contain all of the information set forth in that registration statement and is only a part of that registration statement. Statements contained or incorporated by reference in this prospectus as to the contents of any contract or other document referred to in this prospectus or a document we incorporate by reference are not necessarily complete and, where that contract or other document has been filed as an exhibit to or incorporated by reference into the registration statement, each statement in this prospectus or a document we incorporate by reference is qualified in all respects by the exhibit to which the reference relates. Copies of the registration statement, and other documents that we file with the SEC, may be examined without charge at the public reference room of the SEC, 100 F Street, N.E., Washington, DC 20549. Information about the operation of the public reference room may be obtained by calling the SEC at 1-800-SEC-0300. Copies of all or a portion of the registration statement can be obtained from the public reference room of the SEC upon payment of prescribed fees. In addition, our SEC filings also are available electronically to the public on the SEC’s website at http://www.sec.gov and can be inspected at the offices of the NYSE, the exchange on which our common stock is listed, at 20 Broad Street, New York, New York 10005.</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WE FILE WITH THE SEC</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SEC rules allow us to incorporate by reference information into this prospectus. This means we can disclose important information to you by referring you to another document. Any information referred to in this way is considered part of this prospectus from the date we file that document. Any reports filed by us with the SEC after the date of the initial filing of the registration statement of which this prospectus is a part and prior to the termination of the offering of any securities covered by this prospectus will automatically update and, where applicable, supersede any information contained in this prospectus or incorporated by reference in this prospectus.</w:t>
      </w:r>
    </w:p>
    <w:p>
      <w:pPr>
        <w:spacing w:after="0" w:line="18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We incorporate by reference into this prospectus the following documents or information filed with the SEC (other than, in each case, documents or information deemed to have been furnished and not filed in accordance with SEC rules):</w:t>
      </w:r>
    </w:p>
    <w:p>
      <w:pPr>
        <w:spacing w:after="0" w:line="76" w:lineRule="exact"/>
        <w:rPr>
          <w:sz w:val="20"/>
          <w:szCs w:val="20"/>
          <w:color w:val="auto"/>
        </w:rPr>
      </w:pPr>
    </w:p>
    <w:p>
      <w:pPr>
        <w:ind w:left="5620" w:right="2400" w:hanging="5166"/>
        <w:spacing w:after="0" w:line="449" w:lineRule="auto"/>
        <w:tabs>
          <w:tab w:leader="none" w:pos="8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2013, filed with the SEC on March 26, 2014; 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hanging="446"/>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our Quarterly Reports on Form 10-Q for the quarter ended March 31, 2013, filed with the SEC on May 13, 2014, for the quarter ended June 30, 2014, filed with the SEC on August 12, 2014, and for the quarter ended September 30, 2014, filed with the SEC on November 12, 2014;</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January 27, 2014 and June 11, 2014; and</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September 27, 2013, including any amendments and reports filed for the purpose of updating such description.</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also incorporate by reference into this prospectus all documents filed by us under Sections 13(a), 13(c), 14 or 15(d) of the Exchange Act on or after the date of the initial filing of the registration statement of which this prospectus is a part and prior to the termination of the offering of any securities covered by this prospectus (other than, in each case, documents or information deemed to have been furnished and not filed in accordance with SEC rules).</w:t>
      </w:r>
    </w:p>
    <w:p>
      <w:pPr>
        <w:spacing w:after="0" w:line="14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will provide without charge to each person, including any beneficial owner, to whom this prospectus is delivered, upon his or her written or oral request, a copy of any or all documents referred to above which have been or may be incorporated by reference into this prospectus, excluding exhibits to those documents unless they are specifically incorporated by reference into those documents. You can request those documents by writing, telephoning or emailing us at:</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Cherry Hill Mortgage Investment Corporation</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301 Harper Drive, Suite 110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Moorestown, New Jersey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Telephone: (877) 870-7005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InvestorRelations@chmireit.com</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itemizes the expenses incurred by us in connection with the issuance and registration of the securities being registered hereunder.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amounts shown are estimates except the Securities and Exchange Commission registration fee.</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64,400</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220" w:right="380" w:hanging="212"/>
        <w:spacing w:after="0" w:line="277" w:lineRule="auto"/>
        <w:tabs>
          <w:tab w:leader="none" w:pos="2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These fees and expenses are calculated based on the number of issuances and amount of securities offered and accordingly cannot be estimated at this time.</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Maryland General Corporation Law (“MGCL”) permits a Maryland corporation to include in its charter a provision limiting the liability of its directors and officers to the corporation and its stockholders for money damages, except for liability resulting from (1) actual receipt of an improper benefit or profit in money, property or services or (2) active and deliberate dishonesty that is established by a final judgment and is material to the cause of action. Our charter contains a provision that eliminates such liability to the maximum extent permitted by Maryland law.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charter and bylaws provide for indemnification of our officers and directors against liabilities to the maximum extent permitted by the MGCL.</w:t>
      </w:r>
    </w:p>
    <w:p>
      <w:pPr>
        <w:spacing w:after="0" w:line="23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MGCL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78" w:lineRule="exact"/>
        <w:rPr>
          <w:sz w:val="20"/>
          <w:szCs w:val="20"/>
          <w:color w:val="auto"/>
        </w:rPr>
      </w:pPr>
    </w:p>
    <w:p>
      <w:pPr>
        <w:ind w:left="90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act or omission of the director or officer was material to the matter giving rise to the proceeding and (1) was committed in bad faith or (2) was the result of active and deliberate dishonesty;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director or officer actually received an improper personal benefit in money, property or services;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However, under the MGCL, a Maryland corporation may not indemnify a director or officer for an adverse judgment in a suit by or in the right of the corporation or for a judgment of liability on the basis that personal benefit was improperly received by such director or officer, unless in either case a court orders indemnification, and then only for expenses. In addition, the MGCL permits a Maryland corporation to advance reasonable expenses to a director or officer upon its receipt of:</w:t>
      </w:r>
    </w:p>
    <w:p>
      <w:pPr>
        <w:spacing w:after="0" w:line="92" w:lineRule="exact"/>
        <w:rPr>
          <w:sz w:val="20"/>
          <w:szCs w:val="20"/>
          <w:color w:val="auto"/>
        </w:rPr>
      </w:pPr>
    </w:p>
    <w:p>
      <w:pPr>
        <w:ind w:left="900" w:right="720" w:hanging="446"/>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written affirmation by the director or officer of his or her good faith belief that he or she has met the standard of conduct necessary for indemnification by the corporation;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70"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Our charter authorizes us and our bylaws obligate us, to the maximum extent permitted by Maryland law, to indemnify and, without requiring a preliminary determination of the ultimate entitlement to indemnification, pay or reimburse reasonable expenses in advance of final disposition of such a proceeding to:</w:t>
      </w:r>
    </w:p>
    <w:p>
      <w:pPr>
        <w:spacing w:after="0" w:line="87" w:lineRule="exact"/>
        <w:rPr>
          <w:sz w:val="20"/>
          <w:szCs w:val="20"/>
          <w:color w:val="auto"/>
        </w:rPr>
      </w:pPr>
    </w:p>
    <w:p>
      <w:pPr>
        <w:ind w:left="900" w:right="80" w:hanging="446"/>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present or former director or officer of our company who is made, or threatened to be made, a party to the proceeding by reason of his or her service in that capacity; and</w:t>
      </w:r>
    </w:p>
    <w:p>
      <w:pPr>
        <w:spacing w:after="0" w:line="75"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individual who, while a director or officer of our company and at our request, serves or has served as a director, officer, partner, trustee, member or manager of another corporation, real estate investment trust, limited liability company, partnership, joint venture, trust, employee benefit plan or other enterprise and who is made, or threatened to be made, a party to the proceeding by reason of his or her service in that capacity.</w:t>
      </w:r>
    </w:p>
    <w:p>
      <w:pPr>
        <w:spacing w:after="0" w:line="18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Our charter and bylaws also permit us, with the approval of our board of directors, to indemnify and advance expenses to any individual who served our predecessor in any of the capacities described above and to any employee or agent of our company or our predecessor.</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that provide for indemnification to the maximum extent permitted by Maryland law and advancement by us of expenses and costs relating to certain claims, suits or proceedings arising from their service to us.</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exhibits to this registration statement are listed on the exhibit index, which appears elsewhere herein, and such exhibits are incorporated by reference herein.</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2"/>
          <w:numId w:val="6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40" w:firstLine="1492"/>
        <w:spacing w:after="0" w:line="293" w:lineRule="auto"/>
        <w:tabs>
          <w:tab w:leader="none" w:pos="1748" w:val="left"/>
        </w:tabs>
        <w:numPr>
          <w:ilvl w:val="2"/>
          <w:numId w:val="6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right="160" w:firstLine="1492"/>
        <w:spacing w:after="0" w:line="277" w:lineRule="auto"/>
        <w:tabs>
          <w:tab w:leader="none" w:pos="1798" w:val="left"/>
        </w:tabs>
        <w:numPr>
          <w:ilvl w:val="2"/>
          <w:numId w:val="6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(a)(l)(i), (a)(l)(ii) and (a)(l)(iii) of this section do not apply if the registration statement is on Form S-3 or Form F-3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jc w:val="both"/>
        <w:ind w:right="20" w:firstLine="921"/>
        <w:spacing w:after="0" w:line="264"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560" w:firstLine="921"/>
        <w:spacing w:after="0" w:line="277"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rFonts w:ascii="Arial" w:cs="Arial" w:eastAsia="Arial" w:hAnsi="Arial"/>
          <w:sz w:val="18"/>
          <w:szCs w:val="18"/>
          <w:color w:val="auto"/>
        </w:rPr>
      </w:pPr>
    </w:p>
    <w:p>
      <w:pPr>
        <w:ind w:right="340" w:firstLine="1492"/>
        <w:spacing w:after="0" w:line="277" w:lineRule="auto"/>
        <w:tabs>
          <w:tab w:leader="none" w:pos="169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right="40" w:firstLine="1492"/>
        <w:spacing w:after="0" w:line="288" w:lineRule="auto"/>
        <w:tabs>
          <w:tab w:leader="none" w:pos="1748"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rFonts w:ascii="Arial" w:cs="Arial" w:eastAsia="Arial" w:hAnsi="Arial"/>
          <w:sz w:val="16"/>
          <w:szCs w:val="16"/>
          <w:color w:val="auto"/>
        </w:rPr>
      </w:pPr>
    </w:p>
    <w:p>
      <w:pPr>
        <w:ind w:right="60" w:firstLine="921"/>
        <w:spacing w:after="0" w:line="257"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Arial" w:cs="Arial" w:eastAsia="Arial" w:hAnsi="Arial"/>
          <w:sz w:val="18"/>
          <w:szCs w:val="18"/>
          <w:color w:val="auto"/>
        </w:rPr>
      </w:pPr>
    </w:p>
    <w:p>
      <w:pPr>
        <w:ind w:left="1700" w:hanging="208"/>
        <w:spacing w:after="0"/>
        <w:tabs>
          <w:tab w:leader="none" w:pos="1700" w:val="left"/>
        </w:tabs>
        <w:numPr>
          <w:ilvl w:val="1"/>
          <w:numId w:val="6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Rule 424;</w:t>
      </w:r>
    </w:p>
    <w:p>
      <w:pPr>
        <w:spacing w:after="0" w:line="211" w:lineRule="exact"/>
        <w:rPr>
          <w:sz w:val="20"/>
          <w:szCs w:val="20"/>
          <w:color w:val="auto"/>
        </w:rPr>
      </w:pPr>
    </w:p>
    <w:p>
      <w:pPr>
        <w:ind w:left="1760" w:hanging="268"/>
        <w:spacing w:after="0"/>
        <w:tabs>
          <w:tab w:leader="none" w:pos="17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free writing prospectus relating to the offering prepared by or on behalf of the undersigned registrant or used or referred to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undersigned registrant;</w:t>
      </w:r>
    </w:p>
    <w:p>
      <w:pPr>
        <w:spacing w:after="0" w:line="210" w:lineRule="exact"/>
        <w:rPr>
          <w:rFonts w:ascii="Arial" w:cs="Arial" w:eastAsia="Arial" w:hAnsi="Arial"/>
          <w:sz w:val="16"/>
          <w:szCs w:val="16"/>
          <w:color w:val="auto"/>
        </w:rPr>
      </w:pPr>
    </w:p>
    <w:p>
      <w:pPr>
        <w:ind w:right="520" w:firstLine="1492"/>
        <w:spacing w:after="0" w:line="277" w:lineRule="auto"/>
        <w:tabs>
          <w:tab w:leader="none" w:pos="179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64"/>
        <w:spacing w:after="0" w:line="257" w:lineRule="auto"/>
        <w:tabs>
          <w:tab w:leader="none" w:pos="7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firstLine="464"/>
        <w:spacing w:after="0" w:line="254" w:lineRule="auto"/>
        <w:tabs>
          <w:tab w:leader="none" w:pos="701"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the registrant meets all of the requirements for filing on Form S-3 and has duly caused this registration statement to be signed on its behalf by the undersigned, thereunto duly authorized, in the City of New York, in the State of New York, on this 12</w:t>
      </w:r>
      <w:r>
        <w:rPr>
          <w:rFonts w:ascii="Arial" w:cs="Arial" w:eastAsia="Arial" w:hAnsi="Arial"/>
          <w:sz w:val="14"/>
          <w:szCs w:val="14"/>
          <w:color w:val="auto"/>
        </w:rPr>
        <w:t>th</w:t>
      </w:r>
      <w:r>
        <w:rPr>
          <w:rFonts w:ascii="Arial" w:cs="Arial" w:eastAsia="Arial" w:hAnsi="Arial"/>
          <w:sz w:val="17"/>
          <w:szCs w:val="17"/>
          <w:color w:val="auto"/>
        </w:rPr>
        <w:t xml:space="preserve"> day of November 2014.</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CHERRY HILL MORTGAGE INVESTMENT</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CORPORATION</w:t>
      </w:r>
    </w:p>
    <w:p>
      <w:pPr>
        <w:spacing w:after="0" w:line="103"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Jeffrey Lown II</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220"/>
              <w:spacing w:after="0" w:line="195" w:lineRule="exact"/>
              <w:rPr>
                <w:sz w:val="20"/>
                <w:szCs w:val="20"/>
                <w:color w:val="auto"/>
              </w:rPr>
            </w:pPr>
            <w:r>
              <w:rPr>
                <w:rFonts w:ascii="Arial" w:cs="Arial" w:eastAsia="Arial" w:hAnsi="Arial"/>
                <w:sz w:val="18"/>
                <w:szCs w:val="18"/>
                <w:color w:val="auto"/>
              </w:rPr>
              <w:t>Jeffrey Lown II</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220"/>
              <w:spacing w:after="0"/>
              <w:rPr>
                <w:sz w:val="20"/>
                <w:szCs w:val="20"/>
                <w:color w:val="auto"/>
              </w:rPr>
            </w:pPr>
            <w:r>
              <w:rPr>
                <w:rFonts w:ascii="Arial" w:cs="Arial" w:eastAsia="Arial" w:hAnsi="Arial"/>
                <w:sz w:val="18"/>
                <w:szCs w:val="18"/>
                <w:color w:val="auto"/>
              </w:rPr>
              <w:t>President, Chief Investment Officer and</w:t>
            </w:r>
          </w:p>
        </w:tc>
      </w:tr>
      <w:tr>
        <w:trPr>
          <w:trHeight w:val="230"/>
        </w:trPr>
        <w:tc>
          <w:tcPr>
            <w:tcW w:w="540" w:type="dxa"/>
            <w:vAlign w:val="bottom"/>
          </w:tcPr>
          <w:p>
            <w:pPr>
              <w:spacing w:after="0"/>
              <w:rPr>
                <w:sz w:val="20"/>
                <w:szCs w:val="20"/>
                <w:color w:val="auto"/>
              </w:rPr>
            </w:pPr>
          </w:p>
        </w:tc>
        <w:tc>
          <w:tcPr>
            <w:tcW w:w="4020" w:type="dxa"/>
            <w:vAlign w:val="bottom"/>
          </w:tcPr>
          <w:p>
            <w:pPr>
              <w:ind w:left="220"/>
              <w:spacing w:after="0"/>
              <w:rPr>
                <w:sz w:val="20"/>
                <w:szCs w:val="20"/>
                <w:color w:val="auto"/>
              </w:rPr>
            </w:pPr>
            <w:r>
              <w:rPr>
                <w:rFonts w:ascii="Arial" w:cs="Arial" w:eastAsia="Arial" w:hAnsi="Arial"/>
                <w:sz w:val="18"/>
                <w:szCs w:val="18"/>
                <w:color w:val="auto"/>
              </w:rPr>
              <w:t>Director (Principal Executive Officer)</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Each person whose signature appears below hereby constitutes and appoints Jeffrey Lown II and Martin Levine, and each of them, as his attorney-in-fact and agent, with full power of substitution and resubstitution for him in any and all capacities, to sign any or all amendments (including post-effective amendments) to this registration statement, and any related registration statement filed pursuant to Rule 462(b) under the Securities Act of 1933, as amended, and to file the same, with exhibits thereto and other documents in connection therewith, with the SEC, granting unto each such attorney-in-fact and agent full power and authority to do and perform each and every act and thing requisite and necessary in connection with such matters and hereby ratifying and confirming all that each such attorney-in-fact and agent or his substitutes may do or cause to be done by virtue hereof.</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Stanley Middleman</w:t>
            </w:r>
          </w:p>
        </w:tc>
        <w:tc>
          <w:tcPr>
            <w:tcW w:w="5020" w:type="dxa"/>
            <w:vAlign w:val="bottom"/>
          </w:tcPr>
          <w:p>
            <w:pPr>
              <w:ind w:left="140"/>
              <w:spacing w:after="0"/>
              <w:rPr>
                <w:sz w:val="20"/>
                <w:szCs w:val="20"/>
                <w:color w:val="auto"/>
              </w:rPr>
            </w:pPr>
            <w:r>
              <w:rPr>
                <w:rFonts w:ascii="Arial" w:cs="Arial" w:eastAsia="Arial" w:hAnsi="Arial"/>
                <w:sz w:val="18"/>
                <w:szCs w:val="18"/>
                <w:color w:val="auto"/>
              </w:rPr>
              <w:t>Chairman of the Board of Directors</w:t>
            </w:r>
          </w:p>
        </w:tc>
        <w:tc>
          <w:tcPr>
            <w:tcW w:w="1760" w:type="dxa"/>
            <w:vAlign w:val="bottom"/>
          </w:tcPr>
          <w:p>
            <w:pPr>
              <w:ind w:left="320"/>
              <w:spacing w:after="0"/>
              <w:rPr>
                <w:sz w:val="20"/>
                <w:szCs w:val="20"/>
                <w:color w:val="auto"/>
              </w:rPr>
            </w:pPr>
            <w:r>
              <w:rPr>
                <w:rFonts w:ascii="Arial" w:cs="Arial" w:eastAsia="Arial" w:hAnsi="Arial"/>
                <w:sz w:val="18"/>
                <w:szCs w:val="18"/>
                <w:color w:val="auto"/>
                <w:w w:val="89"/>
              </w:rPr>
              <w:t>November 12, 2014</w:t>
            </w: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92"/>
              </w:rPr>
              <w:t>Stanley Middleman</w:t>
            </w:r>
          </w:p>
        </w:tc>
        <w:tc>
          <w:tcPr>
            <w:tcW w:w="50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Jeffrey Lown II</w:t>
            </w:r>
          </w:p>
        </w:tc>
        <w:tc>
          <w:tcPr>
            <w:tcW w:w="5020" w:type="dxa"/>
            <w:vAlign w:val="bottom"/>
          </w:tcPr>
          <w:p>
            <w:pPr>
              <w:ind w:left="140"/>
              <w:spacing w:after="0"/>
              <w:rPr>
                <w:sz w:val="20"/>
                <w:szCs w:val="20"/>
                <w:color w:val="auto"/>
              </w:rPr>
            </w:pPr>
            <w:r>
              <w:rPr>
                <w:rFonts w:ascii="Arial" w:cs="Arial" w:eastAsia="Arial" w:hAnsi="Arial"/>
                <w:sz w:val="18"/>
                <w:szCs w:val="18"/>
                <w:color w:val="auto"/>
              </w:rPr>
              <w:t>President, Chief Investment Officer and Director (</w:t>
            </w:r>
            <w:r>
              <w:rPr>
                <w:rFonts w:ascii="Arial" w:cs="Arial" w:eastAsia="Arial" w:hAnsi="Arial"/>
                <w:sz w:val="18"/>
                <w:szCs w:val="18"/>
                <w:i w:val="1"/>
                <w:iCs w:val="1"/>
                <w:color w:val="auto"/>
              </w:rPr>
              <w:t>Principal</w:t>
            </w:r>
          </w:p>
        </w:tc>
        <w:tc>
          <w:tcPr>
            <w:tcW w:w="1760" w:type="dxa"/>
            <w:vAlign w:val="bottom"/>
          </w:tcPr>
          <w:p>
            <w:pPr>
              <w:ind w:left="320"/>
              <w:spacing w:after="0"/>
              <w:rPr>
                <w:sz w:val="20"/>
                <w:szCs w:val="20"/>
                <w:color w:val="auto"/>
              </w:rPr>
            </w:pPr>
            <w:r>
              <w:rPr>
                <w:rFonts w:ascii="Arial" w:cs="Arial" w:eastAsia="Arial" w:hAnsi="Arial"/>
                <w:sz w:val="18"/>
                <w:szCs w:val="18"/>
                <w:color w:val="auto"/>
                <w:w w:val="89"/>
              </w:rPr>
              <w:t>November 12, 2014</w:t>
            </w: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95"/>
              </w:rPr>
              <w:t>Jeffrey Lown II</w:t>
            </w:r>
          </w:p>
        </w:tc>
        <w:tc>
          <w:tcPr>
            <w:tcW w:w="5020" w:type="dxa"/>
            <w:vAlign w:val="bottom"/>
          </w:tcPr>
          <w:p>
            <w:pPr>
              <w:ind w:left="14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Martin Levine</w:t>
            </w:r>
          </w:p>
        </w:tc>
        <w:tc>
          <w:tcPr>
            <w:tcW w:w="5020" w:type="dxa"/>
            <w:vAlign w:val="bottom"/>
          </w:tcPr>
          <w:p>
            <w:pPr>
              <w:ind w:left="140"/>
              <w:spacing w:after="0"/>
              <w:rPr>
                <w:sz w:val="20"/>
                <w:szCs w:val="20"/>
                <w:color w:val="auto"/>
              </w:rPr>
            </w:pPr>
            <w:r>
              <w:rPr>
                <w:rFonts w:ascii="Arial" w:cs="Arial" w:eastAsia="Arial" w:hAnsi="Arial"/>
                <w:sz w:val="18"/>
                <w:szCs w:val="18"/>
                <w:color w:val="auto"/>
                <w:w w:val="99"/>
              </w:rPr>
              <w:t>Chief Financial Officer and Treasurer (</w:t>
            </w:r>
            <w:r>
              <w:rPr>
                <w:rFonts w:ascii="Arial" w:cs="Arial" w:eastAsia="Arial" w:hAnsi="Arial"/>
                <w:sz w:val="18"/>
                <w:szCs w:val="18"/>
                <w:i w:val="1"/>
                <w:iCs w:val="1"/>
                <w:color w:val="auto"/>
                <w:w w:val="99"/>
              </w:rPr>
              <w:t>Principal Financial and</w:t>
            </w:r>
          </w:p>
        </w:tc>
        <w:tc>
          <w:tcPr>
            <w:tcW w:w="1760" w:type="dxa"/>
            <w:vAlign w:val="bottom"/>
          </w:tcPr>
          <w:p>
            <w:pPr>
              <w:ind w:left="320"/>
              <w:spacing w:after="0"/>
              <w:rPr>
                <w:sz w:val="20"/>
                <w:szCs w:val="20"/>
                <w:color w:val="auto"/>
              </w:rPr>
            </w:pPr>
            <w:r>
              <w:rPr>
                <w:rFonts w:ascii="Arial" w:cs="Arial" w:eastAsia="Arial" w:hAnsi="Arial"/>
                <w:sz w:val="18"/>
                <w:szCs w:val="18"/>
                <w:color w:val="auto"/>
                <w:w w:val="89"/>
              </w:rPr>
              <w:t>November 12, 2014</w:t>
            </w: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96"/>
              </w:rPr>
              <w:t>Martin Levine</w:t>
            </w:r>
          </w:p>
        </w:tc>
        <w:tc>
          <w:tcPr>
            <w:tcW w:w="5020" w:type="dxa"/>
            <w:vAlign w:val="bottom"/>
          </w:tcPr>
          <w:p>
            <w:pPr>
              <w:ind w:left="14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17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Joseph Murin</w:t>
            </w:r>
          </w:p>
        </w:tc>
        <w:tc>
          <w:tcPr>
            <w:tcW w:w="50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320"/>
              <w:spacing w:after="0"/>
              <w:rPr>
                <w:sz w:val="20"/>
                <w:szCs w:val="20"/>
                <w:color w:val="auto"/>
              </w:rPr>
            </w:pPr>
            <w:r>
              <w:rPr>
                <w:rFonts w:ascii="Arial" w:cs="Arial" w:eastAsia="Arial" w:hAnsi="Arial"/>
                <w:sz w:val="18"/>
                <w:szCs w:val="18"/>
                <w:color w:val="auto"/>
                <w:w w:val="89"/>
              </w:rPr>
              <w:t>November 12, 2014</w:t>
            </w: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90"/>
              </w:rPr>
              <w:t>Joseph Murin</w:t>
            </w:r>
          </w:p>
        </w:tc>
        <w:tc>
          <w:tcPr>
            <w:tcW w:w="50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Jonathan Kislak</w:t>
            </w:r>
          </w:p>
        </w:tc>
        <w:tc>
          <w:tcPr>
            <w:tcW w:w="50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320"/>
              <w:spacing w:after="0"/>
              <w:rPr>
                <w:sz w:val="20"/>
                <w:szCs w:val="20"/>
                <w:color w:val="auto"/>
              </w:rPr>
            </w:pPr>
            <w:r>
              <w:rPr>
                <w:rFonts w:ascii="Arial" w:cs="Arial" w:eastAsia="Arial" w:hAnsi="Arial"/>
                <w:sz w:val="18"/>
                <w:szCs w:val="18"/>
                <w:color w:val="auto"/>
                <w:w w:val="89"/>
              </w:rPr>
              <w:t>November 12, 2014</w:t>
            </w: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91"/>
              </w:rPr>
              <w:t>Jonathan Kislak</w:t>
            </w:r>
          </w:p>
        </w:tc>
        <w:tc>
          <w:tcPr>
            <w:tcW w:w="50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31"/>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Robert Salcetti</w:t>
            </w:r>
          </w:p>
        </w:tc>
        <w:tc>
          <w:tcPr>
            <w:tcW w:w="50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320"/>
              <w:spacing w:after="0"/>
              <w:rPr>
                <w:sz w:val="20"/>
                <w:szCs w:val="20"/>
                <w:color w:val="auto"/>
              </w:rPr>
            </w:pPr>
            <w:r>
              <w:rPr>
                <w:rFonts w:ascii="Arial" w:cs="Arial" w:eastAsia="Arial" w:hAnsi="Arial"/>
                <w:sz w:val="18"/>
                <w:szCs w:val="18"/>
                <w:color w:val="auto"/>
                <w:w w:val="89"/>
              </w:rPr>
              <w:t>November 12, 2014</w:t>
            </w:r>
          </w:p>
        </w:tc>
      </w:tr>
      <w:tr>
        <w:trPr>
          <w:trHeight w:val="224"/>
        </w:trPr>
        <w:tc>
          <w:tcPr>
            <w:tcW w:w="4340" w:type="dxa"/>
            <w:vAlign w:val="bottom"/>
          </w:tcPr>
          <w:p>
            <w:pPr>
              <w:jc w:val="center"/>
              <w:spacing w:after="0"/>
              <w:rPr>
                <w:sz w:val="20"/>
                <w:szCs w:val="20"/>
                <w:color w:val="auto"/>
              </w:rPr>
            </w:pPr>
            <w:r>
              <w:rPr>
                <w:rFonts w:ascii="Arial" w:cs="Arial" w:eastAsia="Arial" w:hAnsi="Arial"/>
                <w:sz w:val="18"/>
                <w:szCs w:val="18"/>
                <w:color w:val="auto"/>
                <w:w w:val="91"/>
              </w:rPr>
              <w:t>Robert Salcetti</w:t>
            </w:r>
          </w:p>
        </w:tc>
        <w:tc>
          <w:tcPr>
            <w:tcW w:w="50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364"/>
        </w:trPr>
        <w:tc>
          <w:tcPr>
            <w:tcW w:w="4340" w:type="dxa"/>
            <w:vAlign w:val="bottom"/>
          </w:tcPr>
          <w:p>
            <w:pPr>
              <w:spacing w:after="0"/>
              <w:rPr>
                <w:sz w:val="24"/>
                <w:szCs w:val="24"/>
                <w:color w:val="auto"/>
              </w:rPr>
            </w:pPr>
          </w:p>
        </w:tc>
        <w:tc>
          <w:tcPr>
            <w:tcW w:w="5020" w:type="dxa"/>
            <w:vAlign w:val="bottom"/>
          </w:tcPr>
          <w:p>
            <w:pPr>
              <w:ind w:left="1240"/>
              <w:spacing w:after="0"/>
              <w:rPr>
                <w:sz w:val="20"/>
                <w:szCs w:val="20"/>
                <w:color w:val="auto"/>
              </w:rPr>
            </w:pPr>
            <w:r>
              <w:rPr>
                <w:rFonts w:ascii="Arial" w:cs="Arial" w:eastAsia="Arial" w:hAnsi="Arial"/>
                <w:sz w:val="18"/>
                <w:szCs w:val="18"/>
                <w:color w:val="auto"/>
              </w:rPr>
              <w:t>II-5</w:t>
            </w:r>
          </w:p>
        </w:tc>
        <w:tc>
          <w:tcPr>
            <w:tcW w:w="17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tcPr>
          <w:p>
            <w:pPr>
              <w:ind w:left="418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10560" w:type="dxa"/>
            <w:vAlign w:val="bottom"/>
          </w:tcPr>
          <w:p>
            <w:pPr>
              <w:spacing w:after="0"/>
              <w:rPr>
                <w:sz w:val="24"/>
                <w:szCs w:val="24"/>
                <w:color w:val="auto"/>
              </w:rPr>
            </w:pPr>
          </w:p>
        </w:tc>
      </w:tr>
      <w:tr>
        <w:trPr>
          <w:trHeight w:val="185"/>
        </w:trPr>
        <w:tc>
          <w:tcPr>
            <w:tcW w:w="40" w:type="dxa"/>
            <w:vAlign w:val="bottom"/>
          </w:tcPr>
          <w:p>
            <w:pPr>
              <w:spacing w:after="0"/>
              <w:rPr>
                <w:sz w:val="16"/>
                <w:szCs w:val="16"/>
                <w:color w:val="auto"/>
              </w:rPr>
            </w:pP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6"/>
                <w:szCs w:val="16"/>
                <w:color w:val="auto"/>
              </w:rPr>
            </w:pPr>
          </w:p>
        </w:tc>
        <w:tc>
          <w:tcPr>
            <w:tcW w:w="10560" w:type="dxa"/>
            <w:vAlign w:val="bottom"/>
          </w:tcPr>
          <w:p>
            <w:pPr>
              <w:spacing w:after="0"/>
              <w:rPr>
                <w:sz w:val="16"/>
                <w:szCs w:val="16"/>
                <w:color w:val="auto"/>
              </w:rPr>
            </w:pPr>
          </w:p>
        </w:tc>
      </w:tr>
      <w:tr>
        <w:trPr>
          <w:trHeight w:val="30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Form of Underwriting Agreement.</w:t>
            </w:r>
          </w:p>
        </w:tc>
      </w:tr>
      <w:tr>
        <w:trPr>
          <w:trHeight w:val="310"/>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3.1**</w:t>
            </w:r>
          </w:p>
        </w:tc>
        <w:tc>
          <w:tcPr>
            <w:tcW w:w="10560" w:type="dxa"/>
            <w:vAlign w:val="bottom"/>
          </w:tcPr>
          <w:p>
            <w:pPr>
              <w:ind w:left="320"/>
              <w:spacing w:after="0"/>
              <w:rPr>
                <w:sz w:val="20"/>
                <w:szCs w:val="20"/>
                <w:color w:val="auto"/>
              </w:rPr>
            </w:pPr>
            <w:r>
              <w:rPr>
                <w:rFonts w:ascii="Arial" w:cs="Arial" w:eastAsia="Arial" w:hAnsi="Arial"/>
                <w:sz w:val="18"/>
                <w:szCs w:val="18"/>
                <w:color w:val="auto"/>
                <w:w w:val="97"/>
              </w:rPr>
              <w:t>Articles of Amendment and Restatement of Cherry Hill Mortgage Investment Corporation (incorporated by reference to Exhibit 3.1 to</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1"/>
              </w:rPr>
              <w:t>Amendment No. 2 to the registrant’s Registration Statement on Form S-11 (Registration No. 333-188214) filed by the registrant with the SEC</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on June 10, 2013).</w:t>
            </w:r>
          </w:p>
        </w:tc>
      </w:tr>
      <w:tr>
        <w:trPr>
          <w:trHeight w:val="310"/>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3.2**</w:t>
            </w:r>
          </w:p>
        </w:tc>
        <w:tc>
          <w:tcPr>
            <w:tcW w:w="10560" w:type="dxa"/>
            <w:vAlign w:val="bottom"/>
          </w:tcPr>
          <w:p>
            <w:pPr>
              <w:ind w:left="320"/>
              <w:spacing w:after="0"/>
              <w:rPr>
                <w:sz w:val="20"/>
                <w:szCs w:val="20"/>
                <w:color w:val="auto"/>
              </w:rPr>
            </w:pPr>
            <w:r>
              <w:rPr>
                <w:rFonts w:ascii="Arial" w:cs="Arial" w:eastAsia="Arial" w:hAnsi="Arial"/>
                <w:sz w:val="18"/>
                <w:szCs w:val="18"/>
                <w:color w:val="auto"/>
                <w:w w:val="91"/>
              </w:rPr>
              <w:t>Amended and Restated Bylaws of Cherry Hill Mortgage Investment Corporation (incorporated by reference to Exhibit 3.2 to Amendment No.</w:t>
            </w:r>
          </w:p>
        </w:tc>
      </w:tr>
      <w:tr>
        <w:trPr>
          <w:trHeight w:val="216"/>
        </w:trPr>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w w:val="94"/>
              </w:rPr>
              <w:t>2 to the registrant’s Registration Statement on Form S-11 (Registration No. 333-188214) filed by the registrant with the SEC on June 10,</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2013).</w:t>
            </w:r>
          </w:p>
        </w:tc>
      </w:tr>
      <w:tr>
        <w:trPr>
          <w:trHeight w:val="310"/>
        </w:trPr>
        <w:tc>
          <w:tcPr>
            <w:tcW w:w="840" w:type="dxa"/>
            <w:vAlign w:val="bottom"/>
            <w:gridSpan w:val="3"/>
          </w:tcPr>
          <w:p>
            <w:pPr>
              <w:ind w:left="100"/>
              <w:spacing w:after="0"/>
              <w:rPr>
                <w:sz w:val="20"/>
                <w:szCs w:val="20"/>
                <w:color w:val="auto"/>
              </w:rPr>
            </w:pPr>
            <w:r>
              <w:rPr>
                <w:rFonts w:ascii="Arial" w:cs="Arial" w:eastAsia="Arial" w:hAnsi="Arial"/>
                <w:sz w:val="18"/>
                <w:szCs w:val="18"/>
                <w:color w:val="auto"/>
              </w:rPr>
              <w:t>4.1**</w:t>
            </w:r>
          </w:p>
        </w:tc>
        <w:tc>
          <w:tcPr>
            <w:tcW w:w="10560" w:type="dxa"/>
            <w:vAlign w:val="bottom"/>
          </w:tcPr>
          <w:p>
            <w:pPr>
              <w:ind w:left="320"/>
              <w:spacing w:after="0"/>
              <w:rPr>
                <w:sz w:val="20"/>
                <w:szCs w:val="20"/>
                <w:color w:val="auto"/>
              </w:rPr>
            </w:pPr>
            <w:r>
              <w:rPr>
                <w:rFonts w:ascii="Arial" w:cs="Arial" w:eastAsia="Arial" w:hAnsi="Arial"/>
                <w:sz w:val="18"/>
                <w:szCs w:val="18"/>
                <w:color w:val="auto"/>
                <w:w w:val="91"/>
              </w:rPr>
              <w:t>Specimen Common Stock Certificate (incorporated by reference to Exhibit 4.1 to Amendment No. 1 to the registrant’s Registration Statement</w:t>
            </w:r>
          </w:p>
        </w:tc>
      </w:tr>
      <w:tr>
        <w:trPr>
          <w:trHeight w:val="230"/>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on Form S-11 (Registration No. 333-188214) filed by the registrant with the SEC on May 29, 2013).</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Form of Warrant Agreement.</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Form of Rights Agreement.</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Form of Unit Agreement.</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Opinion of Venable LLP as to legality of the securities being registered.</w:t>
            </w:r>
          </w:p>
        </w:tc>
      </w:tr>
      <w:tr>
        <w:trPr>
          <w:trHeight w:val="324"/>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8.1+</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Opinion of Hunton &amp; Williams LLP with respect to tax matters.</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Statement of Computation of Ratio of Earnings To Fixed Charges and Preferred Stock Dividends.</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Consent of Venable LLP (included in Exhibit 5.1).</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23.4+</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Consent of Hunton &amp; Williams LLP (included in Exhibit 8.1).</w:t>
            </w:r>
          </w:p>
        </w:tc>
      </w:tr>
      <w:tr>
        <w:trPr>
          <w:trHeight w:val="324"/>
        </w:trPr>
        <w:tc>
          <w:tcPr>
            <w:tcW w:w="480" w:type="dxa"/>
            <w:vAlign w:val="bottom"/>
            <w:gridSpan w:val="2"/>
          </w:tcPr>
          <w:p>
            <w:pPr>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a particular class or series of securities.</w:t>
      </w:r>
    </w:p>
    <w:p>
      <w:pPr>
        <w:spacing w:after="0" w:line="23"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Incorporated by reference to the Registration Statement on Form S-11, as amended (Registration No. 333-172980) filed by Cherry Hill Mortgage</w:t>
      </w:r>
    </w:p>
    <w:p>
      <w:pPr>
        <w:spacing w:after="0" w:line="22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400"/>
          </w:cols>
          <w:pgMar w:left="240" w:top="459" w:right="2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Harper Drive,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Moorestown, New Jersey 08057</w:t>
      </w:r>
    </w:p>
    <w:p>
      <w:pPr>
        <w:spacing w:after="0" w:line="23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We have served as Maryland counsel to Cherry Hill Mortgage Investment Corporation, a Maryland corporation (the “Company”), in connection with certain matters of Maryland law relating to the registration by the Company of the following securities of the Company having an aggregate initial offering price of up to $500,000,000 (collectively, the “Securities”): (i) shares of common stock, $0.01 par value per share (the “Common Stock”); (ii) shares of preferred stock, $0.01 par value per share (the “Preferred Stock”); (iii) warrants (“Warrants”) to purchase shares of Common Stock or Preferred Stock;</w:t>
      </w:r>
    </w:p>
    <w:p>
      <w:pPr>
        <w:spacing w:after="0" w:line="2" w:lineRule="exact"/>
        <w:rPr>
          <w:sz w:val="20"/>
          <w:szCs w:val="20"/>
          <w:color w:val="auto"/>
        </w:rPr>
      </w:pPr>
    </w:p>
    <w:p>
      <w:pPr>
        <w:ind w:right="20" w:firstLine="8"/>
        <w:spacing w:after="0" w:line="254" w:lineRule="auto"/>
        <w:tabs>
          <w:tab w:leader="none" w:pos="3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rights (“Rights”) to purchase shares of Common Stock or Preferred Stock; and (v) units (the “Units”) consisting of any combination of two or more of the foregoing, each covered by the Registration Statement on Form S-3, and all amendments thereto (the “Registration Statement”), as filed with the United States Securities and Exchange Commission (the “Commission”) by the Company on or about the date hereof under the Securities Act of 1933, as amended (the “1933 Act”).</w:t>
      </w:r>
    </w:p>
    <w:p>
      <w:pPr>
        <w:spacing w:after="0" w:line="190"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38" w:lineRule="exact"/>
        <w:rPr>
          <w:sz w:val="20"/>
          <w:szCs w:val="20"/>
          <w:color w:val="auto"/>
        </w:rPr>
      </w:pPr>
    </w:p>
    <w:p>
      <w:pPr>
        <w:ind w:left="640" w:hanging="176"/>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Registration Statement and the related form of prospectus included therein in the form to be filed with the Commission under the 1933 Act;</w:t>
      </w:r>
    </w:p>
    <w:p>
      <w:pPr>
        <w:spacing w:after="0" w:line="236" w:lineRule="exact"/>
        <w:rPr>
          <w:rFonts w:ascii="Arial" w:cs="Arial" w:eastAsia="Arial" w:hAnsi="Arial"/>
          <w:sz w:val="17"/>
          <w:szCs w:val="17"/>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charter of the Company (the “Charter”), certified by the State Department of Assessments and Taxation of Maryland (the “SDAT”);</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Bylaws of the Company (the “Bylaws”), certified as of the date hereof by an officer of the Company;</w:t>
      </w:r>
    </w:p>
    <w:p>
      <w:pPr>
        <w:spacing w:after="0" w:line="225" w:lineRule="exact"/>
        <w:rPr>
          <w:rFonts w:ascii="Arial" w:cs="Arial" w:eastAsia="Arial" w:hAnsi="Arial"/>
          <w:sz w:val="18"/>
          <w:szCs w:val="18"/>
          <w:color w:val="auto"/>
        </w:rPr>
      </w:pPr>
    </w:p>
    <w:p>
      <w:pPr>
        <w:ind w:right="380" w:firstLine="464"/>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of the Company (the “Board”), relating to the registration and issuance of the Securities, certified as of the date hereof by an officer of the Company;</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right="840" w:firstLine="464"/>
        <w:spacing w:after="0" w:line="277" w:lineRule="auto"/>
        <w:tabs>
          <w:tab w:leader="none" w:pos="636"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in this letter, subject to the assumptions, limitations and qualifications stated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Each individual executing any of the Documents, whether on behalf of such individual or another person, is legally competent to do so.</w:t>
      </w:r>
    </w:p>
    <w:p>
      <w:pPr>
        <w:sectPr>
          <w:pgSz w:w="11900" w:h="16838" w:orient="portrait"/>
          <w:cols w:equalWidth="0" w:num="1">
            <w:col w:w="11420"/>
          </w:cols>
          <w:pgMar w:left="2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640" w:hanging="17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225" w:lineRule="exact"/>
        <w:rPr>
          <w:rFonts w:ascii="Arial" w:cs="Arial" w:eastAsia="Arial" w:hAnsi="Arial"/>
          <w:sz w:val="18"/>
          <w:szCs w:val="18"/>
          <w:color w:val="auto"/>
        </w:rPr>
      </w:pPr>
    </w:p>
    <w:p>
      <w:pPr>
        <w:ind w:right="60" w:firstLine="464"/>
        <w:spacing w:after="0" w:line="264"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81" w:lineRule="exact"/>
        <w:rPr>
          <w:rFonts w:ascii="Arial" w:cs="Arial" w:eastAsia="Arial" w:hAnsi="Arial"/>
          <w:sz w:val="18"/>
          <w:szCs w:val="18"/>
          <w:color w:val="auto"/>
        </w:rPr>
      </w:pPr>
    </w:p>
    <w:p>
      <w:pPr>
        <w:ind w:firstLine="464"/>
        <w:spacing w:after="0" w:line="255"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93" w:lineRule="exact"/>
        <w:rPr>
          <w:rFonts w:ascii="Arial" w:cs="Arial" w:eastAsia="Arial" w:hAnsi="Arial"/>
          <w:sz w:val="18"/>
          <w:szCs w:val="18"/>
          <w:color w:val="auto"/>
        </w:rPr>
      </w:pPr>
    </w:p>
    <w:p>
      <w:pPr>
        <w:ind w:right="220" w:firstLine="464"/>
        <w:spacing w:after="0" w:line="312" w:lineRule="auto"/>
        <w:tabs>
          <w:tab w:leader="none" w:pos="636" w:val="left"/>
        </w:tabs>
        <w:numPr>
          <w:ilvl w:val="0"/>
          <w:numId w:val="72"/>
        </w:numPr>
        <w:rPr>
          <w:rFonts w:ascii="Arial" w:cs="Arial" w:eastAsia="Arial" w:hAnsi="Arial"/>
          <w:sz w:val="16"/>
          <w:szCs w:val="16"/>
          <w:color w:val="auto"/>
        </w:rPr>
      </w:pPr>
      <w:r>
        <w:rPr>
          <w:rFonts w:ascii="Arial" w:cs="Arial" w:eastAsia="Arial" w:hAnsi="Arial"/>
          <w:sz w:val="16"/>
          <w:szCs w:val="16"/>
          <w:color w:val="auto"/>
        </w:rPr>
        <w:t>Upon the issuance of any Securities that are shares of Common Stock (“Common Securities”), including Common Securities which may be issued upon conversion or exercise of any other Securities convertible into or exercisable for Common Securities, the total number of shares of Common Stock issued and outstanding will not exceed the total number of shares of Common Stock that the Company is then authorized to issue under the Charter.</w:t>
      </w:r>
    </w:p>
    <w:p>
      <w:pPr>
        <w:spacing w:after="0" w:line="146" w:lineRule="exact"/>
        <w:rPr>
          <w:rFonts w:ascii="Arial" w:cs="Arial" w:eastAsia="Arial" w:hAnsi="Arial"/>
          <w:sz w:val="16"/>
          <w:szCs w:val="16"/>
          <w:color w:val="auto"/>
        </w:rPr>
      </w:pPr>
    </w:p>
    <w:p>
      <w:pPr>
        <w:ind w:right="200" w:firstLine="464"/>
        <w:spacing w:after="0" w:line="257"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the issuance of any Securities that are shares of Preferred Stock (“Preferred Securities”), including Preferred Securities which may be issued upon conversion or exercise of any other Securities convertible into or exercisable for Preferred Securities,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88" w:lineRule="exact"/>
        <w:rPr>
          <w:rFonts w:ascii="Arial" w:cs="Arial" w:eastAsia="Arial" w:hAnsi="Arial"/>
          <w:sz w:val="18"/>
          <w:szCs w:val="18"/>
          <w:color w:val="auto"/>
        </w:rPr>
      </w:pPr>
    </w:p>
    <w:p>
      <w:pPr>
        <w:ind w:left="640" w:hanging="176"/>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Securities convertible into or exercisable for any other Securities will be duly converted or exercised in accordance with their terms.</w:t>
      </w:r>
    </w:p>
    <w:p>
      <w:pPr>
        <w:spacing w:after="0" w:line="225" w:lineRule="exact"/>
        <w:rPr>
          <w:rFonts w:ascii="Arial" w:cs="Arial" w:eastAsia="Arial" w:hAnsi="Arial"/>
          <w:sz w:val="18"/>
          <w:szCs w:val="18"/>
          <w:color w:val="auto"/>
        </w:rPr>
      </w:pPr>
    </w:p>
    <w:p>
      <w:pPr>
        <w:ind w:right="40" w:firstLine="464"/>
        <w:spacing w:after="0" w:line="257"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issuance, and certain terms, of the Securities to be issued by the Company from time to time will be authorized and approved by the Board, or a duly authorized committee thereof, in accordance with the Maryland General Corporation Law, the Charter, the Bylaws, the Registration Statement and the Resolutions and, with respect to any Preferred Securities, Articles Supplementary setting forth the number of shares and the terms of any class or series of Preferred Stock to be issued by the Company will be filed with and accepted for record by the SDAT prior to their issuance (such approvals and, if applicable, acceptance for record, referred to herein as the “Corporate Proceedings”).</w:t>
      </w:r>
    </w:p>
    <w:p>
      <w:pPr>
        <w:spacing w:after="0" w:line="188" w:lineRule="exact"/>
        <w:rPr>
          <w:rFonts w:ascii="Arial" w:cs="Arial" w:eastAsia="Arial" w:hAnsi="Arial"/>
          <w:sz w:val="18"/>
          <w:szCs w:val="18"/>
          <w:color w:val="auto"/>
        </w:rPr>
      </w:pPr>
    </w:p>
    <w:p>
      <w:pPr>
        <w:ind w:right="520" w:firstLine="464"/>
        <w:spacing w:after="0" w:line="277" w:lineRule="auto"/>
        <w:tabs>
          <w:tab w:leader="none" w:pos="6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None of the Securities will be issued, sold or transferred in violation of the restrictions on ownership and transfer set forth in Article VII of the Charter, or any comparable provision in the Articles Supplementary designating any class or series of Preferred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180" w:firstLine="464"/>
        <w:spacing w:after="0" w:line="277" w:lineRule="auto"/>
        <w:tabs>
          <w:tab w:leader="none" w:pos="63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ectPr>
          <w:pgSz w:w="11900" w:h="16838" w:orient="portrait"/>
          <w:cols w:equalWidth="0" w:num="1">
            <w:col w:w="11420"/>
          </w:cols>
          <w:pgMar w:left="240" w:top="274"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64"/>
        <w:spacing w:after="0" w:line="264" w:lineRule="auto"/>
        <w:tabs>
          <w:tab w:leader="none" w:pos="6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Securities, the issuance of the Common Securities will be duly authorized and, when and if issued and delivered against payment therefor in accordance with the Registration Statement, the Resolutions and the Corporate Proceedings, the Common Securities will be validly issued, fully paid and nonassessable.</w:t>
      </w:r>
    </w:p>
    <w:p>
      <w:pPr>
        <w:spacing w:after="0" w:line="181" w:lineRule="exact"/>
        <w:rPr>
          <w:rFonts w:ascii="Arial" w:cs="Arial" w:eastAsia="Arial" w:hAnsi="Arial"/>
          <w:sz w:val="18"/>
          <w:szCs w:val="18"/>
          <w:color w:val="auto"/>
        </w:rPr>
      </w:pPr>
    </w:p>
    <w:p>
      <w:pPr>
        <w:ind w:firstLine="464"/>
        <w:spacing w:after="0" w:line="264" w:lineRule="auto"/>
        <w:tabs>
          <w:tab w:leader="none" w:pos="6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Securities, the issuance of the Preferred Securities will be duly authorized and, when and if issued and delivered against payment therefor in accordance with the Registration Statement, the Resolutions and the Corporate Proceedings, the Preferred Securities will be validly issued, fully paid and nonassessable.</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Warrants, the issuance of the Warrants will be duly authorized.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Rights, the issuance of the Rights will be duly authorized.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Units, the issuance of Units will be duly authorized.</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foregoing opinion is limited to the laws of the State of Maryland and we do not express any opinion herein concerning any other law. We express no opinion as to the applicability or effect of any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73"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1400"/>
          </w:cols>
          <w:pgMar w:left="240" w:top="274" w:right="25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8.1</w:t>
      </w:r>
    </w:p>
    <w:p>
      <w:pPr>
        <w:spacing w:after="0" w:line="251"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HUNTON &amp; WILLIAMS LLP</w:t>
      </w:r>
    </w:p>
    <w:p>
      <w:pPr>
        <w:ind w:left="7540"/>
        <w:spacing w:after="0" w:line="221" w:lineRule="auto"/>
        <w:rPr>
          <w:sz w:val="20"/>
          <w:szCs w:val="20"/>
          <w:color w:val="auto"/>
        </w:rPr>
      </w:pPr>
      <w:r>
        <w:rPr>
          <w:rFonts w:ascii="Arial" w:cs="Arial" w:eastAsia="Arial" w:hAnsi="Arial"/>
          <w:sz w:val="14"/>
          <w:szCs w:val="14"/>
          <w:color w:val="auto"/>
        </w:rPr>
        <w:t>RIVERFRONT PLAZA, EAST TOWER</w:t>
      </w:r>
    </w:p>
    <w:p>
      <w:pPr>
        <w:ind w:left="7540"/>
        <w:spacing w:after="0" w:line="221" w:lineRule="auto"/>
        <w:rPr>
          <w:sz w:val="20"/>
          <w:szCs w:val="20"/>
          <w:color w:val="auto"/>
        </w:rPr>
      </w:pPr>
      <w:r>
        <w:rPr>
          <w:rFonts w:ascii="Arial" w:cs="Arial" w:eastAsia="Arial" w:hAnsi="Arial"/>
          <w:sz w:val="14"/>
          <w:szCs w:val="14"/>
          <w:color w:val="auto"/>
        </w:rPr>
        <w:t>951 EAST BYRD STREET</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RICHMOND, VIRGINIA 23219-4074</w:t>
      </w:r>
    </w:p>
    <w:p>
      <w:pPr>
        <w:spacing w:after="0" w:line="85" w:lineRule="exact"/>
        <w:rPr>
          <w:sz w:val="20"/>
          <w:szCs w:val="20"/>
          <w:color w:val="auto"/>
        </w:rPr>
      </w:pPr>
    </w:p>
    <w:tbl>
      <w:tblPr>
        <w:tblLayout w:type="fixed"/>
        <w:tblInd w:w="754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color w:val="auto"/>
              </w:rPr>
              <w:t>TEL</w:t>
            </w:r>
          </w:p>
        </w:tc>
        <w:tc>
          <w:tcPr>
            <w:tcW w:w="1200" w:type="dxa"/>
            <w:vAlign w:val="bottom"/>
          </w:tcPr>
          <w:p>
            <w:pPr>
              <w:ind w:left="220"/>
              <w:spacing w:after="0"/>
              <w:rPr>
                <w:sz w:val="20"/>
                <w:szCs w:val="20"/>
                <w:color w:val="auto"/>
              </w:rPr>
            </w:pPr>
            <w:r>
              <w:rPr>
                <w:rFonts w:ascii="Arial" w:cs="Arial" w:eastAsia="Arial" w:hAnsi="Arial"/>
                <w:sz w:val="14"/>
                <w:szCs w:val="14"/>
                <w:color w:val="auto"/>
                <w:w w:val="92"/>
              </w:rPr>
              <w:t>804 • 788 • 8200</w:t>
            </w:r>
          </w:p>
        </w:tc>
      </w:tr>
      <w:tr>
        <w:trPr>
          <w:trHeight w:val="182"/>
        </w:trPr>
        <w:tc>
          <w:tcPr>
            <w:tcW w:w="520" w:type="dxa"/>
            <w:vAlign w:val="bottom"/>
          </w:tcPr>
          <w:p>
            <w:pPr>
              <w:spacing w:after="0"/>
              <w:rPr>
                <w:sz w:val="20"/>
                <w:szCs w:val="20"/>
                <w:color w:val="auto"/>
              </w:rPr>
            </w:pPr>
            <w:r>
              <w:rPr>
                <w:rFonts w:ascii="Arial" w:cs="Arial" w:eastAsia="Arial" w:hAnsi="Arial"/>
                <w:sz w:val="14"/>
                <w:szCs w:val="14"/>
                <w:color w:val="auto"/>
              </w:rPr>
              <w:t>FAX</w:t>
            </w:r>
          </w:p>
        </w:tc>
        <w:tc>
          <w:tcPr>
            <w:tcW w:w="1200" w:type="dxa"/>
            <w:vAlign w:val="bottom"/>
          </w:tcPr>
          <w:p>
            <w:pPr>
              <w:ind w:left="220"/>
              <w:spacing w:after="0"/>
              <w:rPr>
                <w:sz w:val="20"/>
                <w:szCs w:val="20"/>
                <w:color w:val="auto"/>
              </w:rPr>
            </w:pPr>
            <w:r>
              <w:rPr>
                <w:rFonts w:ascii="Arial" w:cs="Arial" w:eastAsia="Arial" w:hAnsi="Arial"/>
                <w:sz w:val="14"/>
                <w:szCs w:val="14"/>
                <w:color w:val="auto"/>
                <w:w w:val="92"/>
              </w:rPr>
              <w:t>804 • 788 • 8218</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Harper Drive,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Moorestown, NJ 08057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Cherry Hill Mortgage Investment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Qualification as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Real Estate Investment 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have acted as tax counsel to Cherry Hill Mortgage Investment Corporation, a Maryland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of a registration statement on Form S-3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as filed with the Securities and Exchange Commission on November 12, 2014, with respect to the offer and sale from time-to-time of shares of common stock, par value $0.01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shares of preferred stock, par value $0.01 per share, of the Company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warrants entitling the holders to purchase Common Stock or Preferred Stock, rights entitling the holders to purchase Common Stock or Preferred Stock and units comprising two or more of the preceding securities of the Company. You have requested our opinion regarding certain U.S. federal income tax matters.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giving this opinion letter, we have examined the following:</w:t>
      </w:r>
    </w:p>
    <w:p>
      <w:pPr>
        <w:spacing w:after="0" w:line="131"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Registration Statement and the Prospectus filed as part of the Registration Statement (the “</w:t>
      </w:r>
      <w:r>
        <w:rPr>
          <w:rFonts w:ascii="Arial" w:cs="Arial" w:eastAsia="Arial" w:hAnsi="Arial"/>
          <w:sz w:val="18"/>
          <w:szCs w:val="18"/>
          <w:u w:val="single" w:color="auto"/>
          <w:color w:val="auto"/>
        </w:rPr>
        <w:t>Prospectus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Company’s Articles of Amendment and Restatement, dated as of June 3, 2013;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Agreement of Limited Partnership of Cherry Hill Operating Partnership, LP, dated as of April 25, 2013;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other documents as we have deemed necessary or appropriate for purposes of this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opinions rendered below, we have assumed, with your consent, that:</w:t>
      </w:r>
    </w:p>
    <w:p>
      <w:pPr>
        <w:spacing w:after="0" w:line="117" w:lineRule="exact"/>
        <w:rPr>
          <w:sz w:val="20"/>
          <w:szCs w:val="20"/>
          <w:color w:val="auto"/>
        </w:rPr>
      </w:pPr>
    </w:p>
    <w:p>
      <w:pPr>
        <w:ind w:right="80" w:firstLine="8"/>
        <w:spacing w:after="0" w:line="277"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the documents referred to above has been duly authorized, executed, and delivered; is authentic, if an original, or is accurate, if a copy; and has not been amended;</w:t>
      </w:r>
    </w:p>
    <w:p>
      <w:pPr>
        <w:spacing w:after="0" w:line="170" w:lineRule="exact"/>
        <w:rPr>
          <w:rFonts w:ascii="Arial" w:cs="Arial" w:eastAsia="Arial" w:hAnsi="Arial"/>
          <w:sz w:val="18"/>
          <w:szCs w:val="18"/>
          <w:color w:val="auto"/>
        </w:rPr>
      </w:pPr>
    </w:p>
    <w:p>
      <w:pPr>
        <w:ind w:firstLine="8"/>
        <w:spacing w:after="0" w:line="342" w:lineRule="auto"/>
        <w:tabs>
          <w:tab w:leader="none" w:pos="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during its taxable year ending December 31, 2014 and future taxable years, the Company will operate in a manner that will make the factual representations contained in a certificate, dated the date hereof and executed by a duly appointed officer of the Company (the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true for such years;</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will not make any amendments to its organizational documents after the date of this opinion that would affect the Company’s qualification as a real estate investment trust (a “</w:t>
      </w:r>
      <w:r>
        <w:rPr>
          <w:rFonts w:ascii="Arial" w:cs="Arial" w:eastAsia="Arial" w:hAnsi="Arial"/>
          <w:sz w:val="18"/>
          <w:szCs w:val="18"/>
          <w:u w:val="single" w:color="auto"/>
          <w:color w:val="auto"/>
        </w:rPr>
        <w:t>REIT</w:t>
      </w:r>
      <w:r>
        <w:rPr>
          <w:rFonts w:ascii="Arial" w:cs="Arial" w:eastAsia="Arial" w:hAnsi="Arial"/>
          <w:sz w:val="18"/>
          <w:szCs w:val="18"/>
          <w:color w:val="auto"/>
        </w:rPr>
        <w:t>”) for any taxable year; and</w:t>
      </w:r>
    </w:p>
    <w:p>
      <w:pPr>
        <w:spacing w:after="0" w:line="170" w:lineRule="exact"/>
        <w:rPr>
          <w:rFonts w:ascii="Arial" w:cs="Arial" w:eastAsia="Arial" w:hAnsi="Arial"/>
          <w:sz w:val="18"/>
          <w:szCs w:val="18"/>
          <w:color w:val="auto"/>
        </w:rPr>
      </w:pPr>
    </w:p>
    <w:p>
      <w:pPr>
        <w:ind w:right="300" w:firstLine="8"/>
        <w:spacing w:after="0" w:line="277"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action will be taken by the Company after the date hereof that would have the effect of altering the facts upon which the opinions set forth below are based.</w:t>
      </w:r>
    </w:p>
    <w:p>
      <w:pPr>
        <w:spacing w:after="0" w:line="166" w:lineRule="exact"/>
        <w:rPr>
          <w:sz w:val="20"/>
          <w:szCs w:val="20"/>
          <w:color w:val="auto"/>
        </w:rPr>
      </w:pPr>
    </w:p>
    <w:p>
      <w:pPr>
        <w:jc w:val="center"/>
        <w:spacing w:after="0" w:line="238" w:lineRule="auto"/>
        <w:rPr>
          <w:sz w:val="20"/>
          <w:szCs w:val="20"/>
          <w:color w:val="auto"/>
        </w:rPr>
      </w:pPr>
      <w:r>
        <w:rPr>
          <w:rFonts w:ascii="Arial" w:cs="Arial" w:eastAsia="Arial" w:hAnsi="Arial"/>
          <w:sz w:val="14"/>
          <w:szCs w:val="14"/>
          <w:color w:val="auto"/>
        </w:rPr>
        <w:t>ATLANTA AUSTIN BANGKOK BEIJING BRUSSELS CHARLOTTE DALLAS  HOUSTON LONDON LOS ANGELES McLEAN MIAMI NEW YORK NORFOLK RALEIGH RICHMOND SAN FRANCISCO TOKYO WASHINGTON www.hunton.com</w:t>
      </w:r>
    </w:p>
    <w:p>
      <w:pPr>
        <w:sectPr>
          <w:pgSz w:w="11900" w:h="16838" w:orient="portrait"/>
          <w:cols w:equalWidth="0" w:num="1">
            <w:col w:w="11420"/>
          </w:cols>
          <w:pgMar w:left="240" w:top="121"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Cherry Hill Mortgage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 connection with the opinions rendered below, we also have relied upon the correctness of the factual representations contained in the Officer’s Certificate and the factual matters discussed in the Prospectus that relate to the Company’s status as a REIT. We are not aware of any facts that are inconsistent with the representations contained in the Officer’s Certificate. Where the factual representations in the Officer’s Certificate involve terms defined in the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the Treasury regulations thereunder (the “</w:t>
      </w:r>
      <w:r>
        <w:rPr>
          <w:rFonts w:ascii="Arial" w:cs="Arial" w:eastAsia="Arial" w:hAnsi="Arial"/>
          <w:sz w:val="17"/>
          <w:szCs w:val="17"/>
          <w:u w:val="single" w:color="auto"/>
          <w:color w:val="auto"/>
        </w:rPr>
        <w:t>Regulations</w:t>
      </w:r>
      <w:r>
        <w:rPr>
          <w:rFonts w:ascii="Arial" w:cs="Arial" w:eastAsia="Arial" w:hAnsi="Arial"/>
          <w:sz w:val="17"/>
          <w:szCs w:val="17"/>
          <w:color w:val="auto"/>
        </w:rPr>
        <w:t>”), published rulings of the Internal Revenue Service (the “</w:t>
      </w:r>
      <w:r>
        <w:rPr>
          <w:rFonts w:ascii="Arial" w:cs="Arial" w:eastAsia="Arial" w:hAnsi="Arial"/>
          <w:sz w:val="17"/>
          <w:szCs w:val="17"/>
          <w:u w:val="single" w:color="auto"/>
          <w:color w:val="auto"/>
        </w:rPr>
        <w:t>Service</w:t>
      </w:r>
      <w:r>
        <w:rPr>
          <w:rFonts w:ascii="Arial" w:cs="Arial" w:eastAsia="Arial" w:hAnsi="Arial"/>
          <w:sz w:val="17"/>
          <w:szCs w:val="17"/>
          <w:color w:val="auto"/>
        </w:rPr>
        <w:t>”), or other relevant authority, we have reviewed with the individual making such representations the relevant provisions of the Code, the applicable Regulations, the published rulings of the Service, and other relevant authority.</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Based solely on the documents and assumptions set forth above, the representations set forth in the Officer’s Certificate, and the factual matters discussed in the Prospectus under the caption “Material U.S. Federal Income Tax Considerations” (which is incorporated herein by reference), we are of the opinion that:</w:t>
      </w:r>
    </w:p>
    <w:p>
      <w:pPr>
        <w:spacing w:after="0" w:line="73" w:lineRule="exact"/>
        <w:rPr>
          <w:sz w:val="20"/>
          <w:szCs w:val="20"/>
          <w:color w:val="auto"/>
        </w:rPr>
      </w:pPr>
    </w:p>
    <w:p>
      <w:pPr>
        <w:jc w:val="both"/>
        <w:ind w:left="460" w:right="100" w:firstLine="443"/>
        <w:spacing w:after="0" w:line="264" w:lineRule="auto"/>
        <w:tabs>
          <w:tab w:leader="none" w:pos="11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qualified to be taxed as a REIT pursuant to sections 856 through 860 of the Code for its short taxable year ended December 31, 2013, and the Company’s organization and current and proposed method of operation will enable it to qualify as a REIT under the Code for its taxable year ending December 31, 2014 and thereafter; and</w:t>
      </w:r>
    </w:p>
    <w:p>
      <w:pPr>
        <w:spacing w:after="0" w:line="73" w:lineRule="exact"/>
        <w:rPr>
          <w:rFonts w:ascii="Arial" w:cs="Arial" w:eastAsia="Arial" w:hAnsi="Arial"/>
          <w:sz w:val="18"/>
          <w:szCs w:val="18"/>
          <w:color w:val="auto"/>
        </w:rPr>
      </w:pPr>
    </w:p>
    <w:p>
      <w:pPr>
        <w:ind w:left="460" w:right="600" w:firstLine="443"/>
        <w:spacing w:after="0" w:line="277" w:lineRule="auto"/>
        <w:tabs>
          <w:tab w:leader="none" w:pos="11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descriptions of the law and the legal conclusions contained in the Prospectus under the caption “Material U.S. Federal Income Tax Considerations” are correct in all material respects.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will not review on a continuing basis the Company’s compliance with the documents or assumptions set forth above, or the representations set forth in the Officer’s Certificate. Accordingly, no assurance can be given that the actual results of the Company’s operations for any given taxable year will satisfy the requirements for qualification and taxation as a REIT. Although we have made such inquiries and performed such investigations as we have deemed necessary to fulfill our professional responsibilities as counsel, we have not undertaken an independent investigation of all the facts referred to in this opinion letter or the Officer’s Certificate.</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foregoing opinions are based on current provisions of the Code and the Regulations, published administrative interpretations thereof, and published court decisions. The Service has not issued Regulations or administrative interpretations with respect to various provisions of the Code relating to REIT qualification. No assurance can be given that the law will not change in a way that will prevent the Company from qualifying as a REIT.</w:t>
      </w:r>
    </w:p>
    <w:p>
      <w:pPr>
        <w:spacing w:after="0" w:line="16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foregoing opinions are limited to the U.S. federal income tax matters addressed herein, and no other opinions are rendered with respect to other U.S. federal tax matters or to any issues arising under the tax laws of any other country, or any state or locality. We undertake no obligation to update the opinions expressed herein after the date of this letter. This opinion letter speaks only as of the date hereof. Except as provided in the next paragraph, this opinion letter may not be distributed, quoted in whole or in part or otherwise reproduced in any document, or filed with any governmental agency without our express written consent.</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We also consent to the references to Hunton &amp; Williams LLP under the captions “Material U.S. Federal Income Tax Considerations” and “Legal Matters” in the Prospectus. In giving this consent, we do not admit that we are in the category of persons whose consent is required by Section 7 of the Securities Act of 1933, as amended, or the rules and regulations promulgated thereunder by the Securities and Exchange Commission.</w:t>
      </w:r>
    </w:p>
    <w:p>
      <w:pPr>
        <w:spacing w:after="0" w:line="18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Hunton &amp; Williams LLP</w:t>
      </w:r>
    </w:p>
    <w:p>
      <w:pPr>
        <w:sectPr>
          <w:pgSz w:w="11900" w:h="16838" w:orient="portrait"/>
          <w:cols w:equalWidth="0" w:num="1">
            <w:col w:w="11420"/>
          </w:cols>
          <w:pgMar w:left="240" w:top="274" w:right="239" w:bottom="1440" w:gutter="0" w:footer="0" w:header="0"/>
        </w:sectPr>
      </w:pPr>
    </w:p>
    <w:bookmarkStart w:id="73" w:name="page74"/>
    <w:bookmarkEnd w:id="73"/>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Cherry Hill Mortgage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Combined Fixed Charges and Preferred Stock Dividends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6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5"/>
              </w:rPr>
              <w:t>For the Nine</w:t>
            </w:r>
          </w:p>
        </w:tc>
        <w:tc>
          <w:tcPr>
            <w:tcW w:w="168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5"/>
              </w:rPr>
              <w:t>For the Year</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9,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40" w:type="dxa"/>
            <w:vAlign w:val="bottom"/>
          </w:tcPr>
          <w:p>
            <w:pPr>
              <w:spacing w:after="0"/>
              <w:rPr>
                <w:sz w:val="12"/>
                <w:szCs w:val="12"/>
                <w:color w:val="auto"/>
              </w:rPr>
            </w:pPr>
          </w:p>
        </w:tc>
        <w:tc>
          <w:tcPr>
            <w:tcW w:w="15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2013</w:t>
            </w:r>
          </w:p>
        </w:tc>
        <w:tc>
          <w:tcPr>
            <w:tcW w:w="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r>
              <w:rPr>
                <w:rFonts w:ascii="Arial" w:cs="Arial" w:eastAsia="Arial" w:hAnsi="Arial"/>
                <w:sz w:val="15"/>
                <w:szCs w:val="15"/>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3,117</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867</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Preferred stock dividends</w:t>
            </w:r>
            <w:r>
              <w:rPr>
                <w:rFonts w:ascii="Arial" w:cs="Arial" w:eastAsia="Arial" w:hAnsi="Arial"/>
                <w:sz w:val="15"/>
                <w:szCs w:val="15"/>
                <w:color w:val="auto"/>
              </w:rPr>
              <w:t>(2)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left="252"/>
              <w:spacing w:after="0"/>
              <w:rPr>
                <w:sz w:val="20"/>
                <w:szCs w:val="20"/>
                <w:color w:val="auto"/>
              </w:rPr>
            </w:pPr>
            <w:r>
              <w:rPr>
                <w:rFonts w:ascii="Arial" w:cs="Arial" w:eastAsia="Arial" w:hAnsi="Arial"/>
                <w:sz w:val="18"/>
                <w:szCs w:val="18"/>
                <w:color w:val="auto"/>
                <w:w w:val="99"/>
              </w:rPr>
              <w:t>—</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8"/>
              </w:rPr>
              <w:t>3,117</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center"/>
              <w:ind w:left="232"/>
              <w:spacing w:after="0"/>
              <w:rPr>
                <w:sz w:val="20"/>
                <w:szCs w:val="20"/>
                <w:color w:val="auto"/>
              </w:rPr>
            </w:pPr>
            <w:r>
              <w:rPr>
                <w:rFonts w:ascii="Arial" w:cs="Arial" w:eastAsia="Arial" w:hAnsi="Arial"/>
                <w:sz w:val="18"/>
                <w:szCs w:val="18"/>
                <w:color w:val="auto"/>
                <w:w w:val="88"/>
              </w:rPr>
              <w:t>3,117</w:t>
            </w:r>
          </w:p>
        </w:tc>
        <w:tc>
          <w:tcPr>
            <w:tcW w:w="8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ind w:left="420"/>
              <w:spacing w:after="0"/>
              <w:rPr>
                <w:sz w:val="20"/>
                <w:szCs w:val="20"/>
                <w:color w:val="auto"/>
              </w:rPr>
            </w:pPr>
            <w:r>
              <w:rPr>
                <w:rFonts w:ascii="Arial" w:cs="Arial" w:eastAsia="Arial" w:hAnsi="Arial"/>
                <w:sz w:val="18"/>
                <w:szCs w:val="18"/>
                <w:color w:val="auto"/>
                <w:w w:val="79"/>
              </w:rPr>
              <w:t>867</w:t>
            </w:r>
          </w:p>
        </w:tc>
        <w:tc>
          <w:tcPr>
            <w:tcW w:w="8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3"/>
              </w:rPr>
              <w:t>2,893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21,202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Earnings (deficit)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center"/>
              <w:ind w:left="212"/>
              <w:spacing w:after="0"/>
              <w:rPr>
                <w:sz w:val="20"/>
                <w:szCs w:val="20"/>
                <w:color w:val="auto"/>
              </w:rPr>
            </w:pPr>
            <w:r>
              <w:rPr>
                <w:rFonts w:ascii="Arial" w:cs="Arial" w:eastAsia="Arial" w:hAnsi="Arial"/>
                <w:sz w:val="18"/>
                <w:szCs w:val="18"/>
                <w:color w:val="auto"/>
                <w:w w:val="93"/>
              </w:rPr>
              <w:t>6,010</w:t>
            </w: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3"/>
              </w:rPr>
              <w:t>22,069</w:t>
            </w: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color w:val="auto"/>
                <w:w w:val="72"/>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95"/>
              </w:rPr>
              <w:t>1.93x</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25.45x</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Fixed charges consists of interest expense.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were no shares of preferred stock issued and outstanding in each period presented.</w:t>
      </w:r>
    </w:p>
    <w:p>
      <w:pPr>
        <w:spacing w:after="0" w:line="21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Net income for the nine months ended September 30, 2014 includes an unrealized loss on derivatives, net, of $4,123 and an unrealized loss on investments in Excess MSRs of $3,028. Net income for the year ended December 31, 2013 includes an unrealized gain on derivatives, net, of $2,747 and an unrealized gain on investments in Excess MSRs of $15,647. Excluding unrealized gains and losses on derivatives, net, and unrealized gains and losses on investments in Excess MSRs, adjusted earnings and the ratio of adjusted earnings to combined fixed charges and preferred stock dividends would have been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For the Nine</w:t>
            </w:r>
          </w:p>
        </w:tc>
        <w:tc>
          <w:tcPr>
            <w:tcW w:w="1680" w:type="dxa"/>
            <w:vAlign w:val="bottom"/>
            <w:gridSpan w:val="3"/>
            <w:vMerge w:val="restart"/>
          </w:tcPr>
          <w:p>
            <w:pPr>
              <w:jc w:val="center"/>
              <w:ind w:right="860"/>
              <w:spacing w:after="0"/>
              <w:rPr>
                <w:sz w:val="20"/>
                <w:szCs w:val="20"/>
                <w:color w:val="auto"/>
              </w:rPr>
            </w:pPr>
            <w:r>
              <w:rPr>
                <w:rFonts w:ascii="Arial" w:cs="Arial" w:eastAsia="Arial" w:hAnsi="Arial"/>
                <w:sz w:val="14"/>
                <w:szCs w:val="14"/>
                <w:b w:val="1"/>
                <w:bCs w:val="1"/>
                <w:color w:val="auto"/>
                <w:w w:val="95"/>
              </w:rPr>
              <w:t>For the Year</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October 9,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40" w:type="dxa"/>
            <w:vAlign w:val="bottom"/>
          </w:tcPr>
          <w:p>
            <w:pPr>
              <w:spacing w:after="0"/>
              <w:rPr>
                <w:sz w:val="12"/>
                <w:szCs w:val="12"/>
                <w:color w:val="auto"/>
              </w:rPr>
            </w:pPr>
          </w:p>
        </w:tc>
        <w:tc>
          <w:tcPr>
            <w:tcW w:w="15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2013</w:t>
            </w:r>
          </w:p>
        </w:tc>
        <w:tc>
          <w:tcPr>
            <w:tcW w:w="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r>
              <w:rPr>
                <w:rFonts w:ascii="Arial" w:cs="Arial" w:eastAsia="Arial" w:hAnsi="Arial"/>
                <w:sz w:val="15"/>
                <w:szCs w:val="15"/>
                <w:color w:val="auto"/>
              </w:rPr>
              <w:t>(1)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Preferred stock dividends</w:t>
            </w:r>
            <w:r>
              <w:rPr>
                <w:rFonts w:ascii="Arial" w:cs="Arial" w:eastAsia="Arial" w:hAnsi="Arial"/>
                <w:sz w:val="15"/>
                <w:szCs w:val="15"/>
                <w:color w:val="auto"/>
              </w:rPr>
              <w:t>(2)</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867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Combined fixed charges and preferred stock dividends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3,117</w:t>
            </w:r>
          </w:p>
        </w:tc>
        <w:tc>
          <w:tcPr>
            <w:tcW w:w="8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867</w:t>
            </w:r>
          </w:p>
        </w:tc>
        <w:tc>
          <w:tcPr>
            <w:tcW w:w="8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2,893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21,202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color w:val="auto"/>
              </w:rPr>
              <w:t>Earnings (deficit)</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22,069</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20"/>
              <w:spacing w:after="0"/>
              <w:rPr>
                <w:sz w:val="20"/>
                <w:szCs w:val="20"/>
                <w:color w:val="auto"/>
              </w:rPr>
            </w:pPr>
            <w:r>
              <w:rPr>
                <w:rFonts w:ascii="Arial" w:cs="Arial" w:eastAsia="Arial" w:hAnsi="Arial"/>
                <w:sz w:val="17"/>
                <w:szCs w:val="17"/>
                <w:color w:val="auto"/>
                <w:w w:val="72"/>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derivatives, net</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4,123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(2,747)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Unrealized (gains)/losses on investments in Excess MSRs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3,028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(15,647)</w:t>
            </w:r>
          </w:p>
        </w:tc>
        <w:tc>
          <w:tcPr>
            <w:tcW w:w="220" w:type="dxa"/>
            <w:vAlign w:val="bottom"/>
          </w:tcPr>
          <w:p>
            <w:pPr>
              <w:spacing w:after="0"/>
              <w:rPr>
                <w:sz w:val="18"/>
                <w:szCs w:val="18"/>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3,675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Ratio of adjusted earnings to combined fixed charges and preferred stock dividends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4.22x</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4.24x</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ind w:left="44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Fixed charges consists of interest expense.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were no shares of preferred stock issued and outstanding in each period presented.</w:t>
      </w:r>
    </w:p>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consent to the reference to our firm under the caption “Experts” in this Registration Statement (Form S-3) and related Prospectus of Cherry Hill Mortgage Investment Corporation for the registration of shares of common stock, shares of preferred stock, warrants to purchase shares of common stock or preferred stock, rights to purchase shares of common stock or preferred stock, and units consisting of two or more of the foregoing, and to the incorporation by reference therein of our report dated March 26, 2014, with respect to the consolidated financial statements and schedules of Cherry Hill Mortgage Investment Corporation included in its Annual Report (Form 10-K) for the year ended December 31, 2013, filed with the Securities and Exchange Commission.</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November 12,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2"/>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lvl w:ilvl="1">
      <w:lvlJc w:val="left"/>
      <w:lvlText w:val="•"/>
      <w:numFmt w:val="bullet"/>
      <w:start w:val="1"/>
    </w:lvl>
  </w:abstractNum>
  <w:abstractNum w:abstractNumId="19">
    <w:nsid w:val="579478FE"/>
    <w:multiLevelType w:val="hybridMultilevel"/>
    <w:lvl w:ilvl="0">
      <w:lvlJc w:val="left"/>
      <w:lvlText w:val="•"/>
      <w:numFmt w:val="bullet"/>
      <w:start w:val="1"/>
    </w:lvl>
    <w:lvl w:ilvl="1">
      <w:lvlJc w:val="left"/>
      <w:lvlText w:val="•"/>
      <w:numFmt w:val="bullet"/>
      <w:start w:val="1"/>
    </w:lvl>
  </w:abstractNum>
  <w:abstractNum w:abstractNumId="20">
    <w:nsid w:val="749ABB43"/>
    <w:multiLevelType w:val="hybridMultilevel"/>
    <w:lvl w:ilvl="0">
      <w:lvlJc w:val="left"/>
      <w:lvlText w:val="(%1)"/>
      <w:numFmt w:val="lowerRoman"/>
      <w:start w:val="4"/>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lvl w:ilvl="1">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lvl w:ilvl="1">
      <w:lvlJc w:val="left"/>
      <w:lvlText w:val="•"/>
      <w:numFmt w:val="bullet"/>
      <w:start w:val="1"/>
    </w:lvl>
  </w:abstractNum>
  <w:abstractNum w:abstractNumId="34">
    <w:nsid w:val="1CF10FD8"/>
    <w:multiLevelType w:val="hybridMultilevel"/>
    <w:lvl w:ilvl="0">
      <w:lvlJc w:val="left"/>
      <w:lvlText w:val="(%1)"/>
      <w:numFmt w:val="lowerLetter"/>
      <w:start w:val="2"/>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lowerRoman"/>
      <w:start w:val="1"/>
    </w:lvl>
  </w:abstractNum>
  <w:abstractNum w:abstractNumId="37">
    <w:nsid w:val="47398C89"/>
    <w:multiLevelType w:val="hybridMultilevel"/>
    <w:lvl w:ilvl="0">
      <w:lvlJc w:val="left"/>
      <w:lvlText w:val="(%1)"/>
      <w:numFmt w:val="lowerRoman"/>
      <w:start w:val="3"/>
    </w:lvl>
  </w:abstractNum>
  <w:abstractNum w:abstractNumId="38">
    <w:nsid w:val="354FE9F9"/>
    <w:multiLevelType w:val="hybridMultilevel"/>
    <w:lvl w:ilvl="0">
      <w:lvlJc w:val="left"/>
      <w:lvlText w:val="•"/>
      <w:numFmt w:val="bullet"/>
      <w:start w:val="1"/>
    </w:lvl>
    <w:lvl w:ilvl="1">
      <w:lvlJc w:val="left"/>
      <w:lvlText w:val="•"/>
      <w:numFmt w:val="bullet"/>
      <w:start w:val="1"/>
    </w:lvl>
  </w:abstractNum>
  <w:abstractNum w:abstractNumId="39">
    <w:nsid w:val="15B5AF5C"/>
    <w:multiLevelType w:val="hybridMultilevel"/>
    <w:lvl w:ilvl="0">
      <w:lvlJc w:val="left"/>
      <w:lvlText w:val="(%1)"/>
      <w:numFmt w:val="lowerRoman"/>
      <w:start w:val="2"/>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lowerRoman"/>
      <w:start w:val="2"/>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lvl w:ilvl="1">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3">
    <w:nsid w:val="6B94764"/>
    <w:multiLevelType w:val="hybridMultilevel"/>
    <w:lvl w:ilvl="0">
      <w:lvlJc w:val="left"/>
      <w:lvlText w:val="(%1)"/>
      <w:numFmt w:val="decimal"/>
      <w:start w:val="2"/>
    </w:lvl>
    <w:lvl w:ilvl="1">
      <w:lvlJc w:val="left"/>
      <w:lvlText w:val="(%2)"/>
      <w:numFmt w:val="lowerRoman"/>
      <w:start w:val="1"/>
    </w:lvl>
  </w:abstractNum>
  <w:abstractNum w:abstractNumId="64">
    <w:nsid w:val="42C296BD"/>
    <w:multiLevelType w:val="hybridMultilevel"/>
    <w:lvl w:ilvl="0">
      <w:lvlJc w:val="left"/>
      <w:lvlText w:val="(%1)"/>
      <w:numFmt w:val="lowerRoman"/>
      <w:start w:val="2"/>
    </w:lvl>
  </w:abstractNum>
  <w:abstractNum w:abstractNumId="65">
    <w:nsid w:val="168E121F"/>
    <w:multiLevelType w:val="hybridMultilevel"/>
    <w:lvl w:ilvl="0">
      <w:lvlJc w:val="left"/>
      <w:lvlText w:val="(%1)"/>
      <w:numFmt w:val="lowerLetter"/>
      <w:start w:val="2"/>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1)"/>
      <w:numFmt w:val="lowerRoman"/>
      <w:start w:val="4"/>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1."/>
      <w:numFmt w:val="decimal"/>
      <w:start w:val="2"/>
    </w:lvl>
  </w:abstractNum>
  <w:abstractNum w:abstractNumId="72">
    <w:nsid w:val="613EFDC5"/>
    <w:multiLevelType w:val="hybridMultilevel"/>
    <w:lvl w:ilvl="0">
      <w:lvlJc w:val="left"/>
      <w:lvlText w:val="%1."/>
      <w:numFmt w:val="decimal"/>
      <w:start w:val="1"/>
    </w:lvl>
  </w:abstractNum>
  <w:abstractNum w:abstractNumId="73">
    <w:nsid w:val="BF72B14"/>
    <w:multiLevelType w:val="hybridMultilevel"/>
    <w:lvl w:ilvl="0">
      <w:lvlJc w:val="left"/>
      <w:lvlText w:val="%1."/>
      <w:numFmt w:val="decimal"/>
      <w:start w:val="2"/>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2019-12-08T07:29:38Z</dcterms:created>
  <dcterms:modified xsi:type="dcterms:W3CDTF">2019-12-08T07:29:38Z</dcterms:modified>
</cp:coreProperties>
</file>