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26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2640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Apeksha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4000 ROUTE 66, SUITE 310</w:t>
      </w:r>
    </w:p>
    <w:p>
      <w:pPr>
        <w:spacing w:after="0" w:line="63" w:lineRule="exact"/>
        <w:rPr>
          <w:sz w:val="24"/>
          <w:szCs w:val="24"/>
          <w:color w:val="auto"/>
        </w:rPr>
      </w:pPr>
    </w:p>
    <w:p>
      <w:pPr>
        <w:ind w:left="120"/>
        <w:spacing w:after="0" w:line="280" w:lineRule="auto"/>
        <w:rPr>
          <w:sz w:val="20"/>
          <w:szCs w:val="20"/>
          <w:color w:val="auto"/>
        </w:rPr>
      </w:pPr>
      <w:r>
        <w:rPr>
          <w:rFonts w:ascii="Times New Roman" w:cs="Times New Roman" w:eastAsia="Times New Roman" w:hAnsi="Times New Roman"/>
          <w:sz w:val="17"/>
          <w:szCs w:val="17"/>
          <w:color w:val="0000FF"/>
        </w:rPr>
        <w:t>CHERRY HILL MORTGAGE INVESTMENT CORP</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TINTON</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07753</w:t>
            </w:r>
          </w:p>
        </w:tc>
        <w:tc>
          <w:tcPr>
            <w:tcW w:w="0" w:type="dxa"/>
            <w:vAlign w:val="bottom"/>
          </w:tcPr>
          <w:p>
            <w:pPr>
              <w:spacing w:after="0"/>
              <w:rPr>
                <w:sz w:val="1"/>
                <w:szCs w:val="1"/>
                <w:color w:val="auto"/>
              </w:rPr>
            </w:pPr>
          </w:p>
        </w:tc>
      </w:tr>
      <w:tr>
        <w:trPr>
          <w:trHeight w:val="114"/>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FALLS</w:t>
            </w: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Cherry Hill Mortgage Investment Corp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CHMI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4"/>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34"/>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8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20" w:space="52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2"/>
                <w:szCs w:val="12"/>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28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06/01/2026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11,000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17,907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28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61"/>
              <w:spacing w:after="0"/>
              <w:rPr>
                <w:sz w:val="20"/>
                <w:szCs w:val="20"/>
                <w:color w:val="auto"/>
              </w:rPr>
            </w:pPr>
            <w:r>
              <w:rPr>
                <w:rFonts w:ascii="Times New Roman" w:cs="Times New Roman" w:eastAsia="Times New Roman" w:hAnsi="Times New Roman"/>
                <w:sz w:val="17"/>
                <w:szCs w:val="17"/>
                <w:color w:val="0000FF"/>
              </w:rPr>
              <w:t>06/01/2026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3,449</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14,458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3"/>
              </w:rPr>
              <w:t>3A. Deemed</w:t>
            </w:r>
          </w:p>
        </w:tc>
        <w:tc>
          <w:tcPr>
            <w:tcW w:w="3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06/01/2026</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11,000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87,091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granted restricted stock unit ("RSU") represents the right to receive one share of the Issuer's common stock. Vested RSUs are payable in the form of shares of the Issuer's common stock, delivered to the reporting person no later than sixty days after the date on which vesting occurs, subject to the collection of withholding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withheld by Cherry Hill Mortgage Investment Corporation to satisfy tax withholding requirements on the grant of unrestricted shares of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30, 2024, the Reporting Person was granted 33,333 RSUs, vesting ratably over a three-year period, with one-third vesting on the first anniversary of the grant date, one-third on the second anniversary of the grant date, and one-third on the third anniversary of the grant date, subject to the terms and conditions of the Cherry Hill Mortgage Investment Corporation 2023 Equity Incentive Plan and the Restricted Stock Unit Award Agreement entered into between the Issuer and the Reporting Person.</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Apeksha Patel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3571" TargetMode="External"/><Relationship Id="rId14" Type="http://schemas.openxmlformats.org/officeDocument/2006/relationships/hyperlink" Target="http://www.sec.gov/cgi-bin/browse-edgar?action=getcompany&amp;CIK=0001571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2026-06-03T15:22:13Z</dcterms:created>
  <dcterms:modified xsi:type="dcterms:W3CDTF">2026-06-03T15:22:13Z</dcterms:modified>
</cp:coreProperties>
</file>