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10, 2026 (August 9,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CHERRY HILL MORTGAGE INVESTMENT CORPORATION</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865" w:type="dxa"/>
        <w:jc w:val="left"/>
        <w:tblInd w:w="-15" w:type="dxa"/>
        <w:tblLayout w:type="fixed"/>
        <w:tblCellMar>
          <w:top w:w="28" w:type="dxa"/>
          <w:left w:w="28" w:type="dxa"/>
          <w:bottom w:w="28" w:type="dxa"/>
          <w:right w:w="28" w:type="dxa"/>
        </w:tblCellMar>
      </w:tblPr>
      <w:tblGrid>
        <w:gridCol w:w="3755"/>
        <w:gridCol w:w="2240"/>
        <w:gridCol w:w="2870"/>
      </w:tblGrid>
      <w:tr>
        <w:trPr/>
        <w:tc>
          <w:tcPr>
            <w:tcW w:w="37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Maryland</w:t>
            </w:r>
          </w:p>
        </w:tc>
        <w:tc>
          <w:tcPr>
            <w:tcW w:w="22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001-36099</w:t>
            </w:r>
          </w:p>
        </w:tc>
        <w:tc>
          <w:tcPr>
            <w:tcW w:w="28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46-1315605</w:t>
            </w:r>
          </w:p>
        </w:tc>
      </w:tr>
      <w:tr>
        <w:trPr/>
        <w:tc>
          <w:tcPr>
            <w:tcW w:w="37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 incorporation)</w:t>
            </w:r>
          </w:p>
        </w:tc>
        <w:tc>
          <w:tcPr>
            <w:tcW w:w="22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Commission File Number:</w:t>
            </w:r>
          </w:p>
        </w:tc>
        <w:tc>
          <w:tcPr>
            <w:tcW w:w="28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4000 Route 66, Suite 310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Tinton Falls, NJ 07753</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877.870.7005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10205" w:type="dxa"/>
        <w:jc w:val="left"/>
        <w:tblInd w:w="-15" w:type="dxa"/>
        <w:tblLayout w:type="fixed"/>
        <w:tblCellMar>
          <w:top w:w="28" w:type="dxa"/>
          <w:left w:w="28" w:type="dxa"/>
          <w:bottom w:w="28" w:type="dxa"/>
          <w:right w:w="28" w:type="dxa"/>
        </w:tblCellMar>
      </w:tblPr>
      <w:tblGrid>
        <w:gridCol w:w="7598"/>
        <w:gridCol w:w="965"/>
        <w:gridCol w:w="1642"/>
      </w:tblGrid>
      <w:tr>
        <w:trPr/>
        <w:tc>
          <w:tcPr>
            <w:tcW w:w="759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9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1642"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759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9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CHMI</w:t>
            </w:r>
          </w:p>
        </w:tc>
        <w:tc>
          <w:tcPr>
            <w:tcW w:w="164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NYSE</w:t>
            </w:r>
          </w:p>
        </w:tc>
      </w:tr>
      <w:tr>
        <w:trPr/>
        <w:tc>
          <w:tcPr>
            <w:tcW w:w="759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8.20% Series A Cumulative Redeemable Preferred Stock, $0.01 par value</w:t>
            </w:r>
          </w:p>
        </w:tc>
        <w:tc>
          <w:tcPr>
            <w:tcW w:w="9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CHMI-PRA</w:t>
            </w:r>
          </w:p>
        </w:tc>
        <w:tc>
          <w:tcPr>
            <w:tcW w:w="164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NYSE</w:t>
            </w:r>
          </w:p>
        </w:tc>
      </w:tr>
      <w:tr>
        <w:trPr/>
        <w:tc>
          <w:tcPr>
            <w:tcW w:w="759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8.250% Series B Fixed-to-Floating Rate Cumulative Redeemable Perferred Stock, $0.01 par value</w:t>
            </w:r>
          </w:p>
        </w:tc>
        <w:tc>
          <w:tcPr>
            <w:tcW w:w="9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CHMI-PRB</w:t>
            </w:r>
          </w:p>
        </w:tc>
        <w:tc>
          <w:tcPr>
            <w:tcW w:w="1642"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NYSE</w:t>
            </w:r>
          </w:p>
        </w:tc>
      </w:tr>
    </w:tbl>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Agreement and Plan of Merger</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9, 2026, Cherry Hill Mortgage Investment Corporation, a Maryland corporation (the “</w:t>
      </w:r>
      <w:r>
        <w:rPr>
          <w:rFonts w:ascii="Times New Roman" w:hAnsi="Times New Roman"/>
          <w:b/>
          <w:i/>
          <w:color w:val="000000"/>
          <w:sz w:val="20"/>
          <w:shd w:fill="FFFFFF" w:val="clear"/>
        </w:rPr>
        <w:t>Company</w:t>
      </w:r>
      <w:r>
        <w:rPr>
          <w:rFonts w:ascii="Times New Roman" w:hAnsi="Times New Roman"/>
          <w:color w:val="000000"/>
          <w:sz w:val="20"/>
          <w:shd w:fill="FFFFFF" w:val="clear"/>
        </w:rPr>
        <w:t>”), entered into an Agreement and Plan of Merger (the “</w:t>
      </w:r>
      <w:r>
        <w:rPr>
          <w:rFonts w:ascii="Times New Roman" w:hAnsi="Times New Roman"/>
          <w:b/>
          <w:i/>
          <w:color w:val="000000"/>
          <w:sz w:val="20"/>
          <w:shd w:fill="FFFFFF" w:val="clear"/>
        </w:rPr>
        <w:t>Merger Agreement</w:t>
      </w:r>
      <w:r>
        <w:rPr>
          <w:rFonts w:ascii="Times New Roman" w:hAnsi="Times New Roman"/>
          <w:color w:val="000000"/>
          <w:sz w:val="20"/>
          <w:shd w:fill="FFFFFF" w:val="clear"/>
        </w:rPr>
        <w:t>”) with TPG Mortgage Investment Trust, Inc., a Maryland corporation (“</w:t>
      </w:r>
      <w:r>
        <w:rPr>
          <w:rFonts w:ascii="Times New Roman" w:hAnsi="Times New Roman"/>
          <w:b/>
          <w:i/>
          <w:color w:val="000000"/>
          <w:sz w:val="20"/>
          <w:shd w:fill="FFFFFF" w:val="clear"/>
        </w:rPr>
        <w:t>Parent</w:t>
      </w:r>
      <w:r>
        <w:rPr>
          <w:rFonts w:ascii="Times New Roman" w:hAnsi="Times New Roman"/>
          <w:color w:val="000000"/>
          <w:sz w:val="20"/>
          <w:shd w:fill="FFFFFF" w:val="clear"/>
        </w:rPr>
        <w:t>”), MIT Merger Sub II, LLC, a Delaware limited liability company and a subsidiary of Parent (“</w:t>
      </w:r>
      <w:r>
        <w:rPr>
          <w:rFonts w:ascii="Times New Roman" w:hAnsi="Times New Roman"/>
          <w:b/>
          <w:i/>
          <w:color w:val="000000"/>
          <w:sz w:val="20"/>
          <w:shd w:fill="FFFFFF" w:val="clear"/>
        </w:rPr>
        <w:t>Merger Sub</w:t>
      </w:r>
      <w:r>
        <w:rPr>
          <w:rFonts w:ascii="Times New Roman" w:hAnsi="Times New Roman"/>
          <w:color w:val="000000"/>
          <w:sz w:val="20"/>
          <w:shd w:fill="FFFFFF" w:val="clear"/>
        </w:rPr>
        <w:t>”), Cherry Hill Operating Partnership, LP, a Delaware limited partnership (the “</w:t>
      </w:r>
      <w:r>
        <w:rPr>
          <w:rFonts w:ascii="Times New Roman" w:hAnsi="Times New Roman"/>
          <w:b/>
          <w:i/>
          <w:color w:val="000000"/>
          <w:sz w:val="20"/>
          <w:shd w:fill="FFFFFF" w:val="clear"/>
        </w:rPr>
        <w:t>Company Operating Partnership</w:t>
      </w:r>
      <w:r>
        <w:rPr>
          <w:rFonts w:ascii="Times New Roman" w:hAnsi="Times New Roman"/>
          <w:color w:val="000000"/>
          <w:sz w:val="20"/>
          <w:shd w:fill="FFFFFF" w:val="clear"/>
        </w:rPr>
        <w:t>”), and, solely for limited purposes set forth therein, AG REIT Management, LLC, a Delaware limited liability company (“</w:t>
      </w:r>
      <w:r>
        <w:rPr>
          <w:rFonts w:ascii="Times New Roman" w:hAnsi="Times New Roman"/>
          <w:b/>
          <w:i/>
          <w:color w:val="000000"/>
          <w:sz w:val="20"/>
          <w:shd w:fill="FFFFFF" w:val="clear"/>
        </w:rPr>
        <w:t>Parent Manager</w:t>
      </w:r>
      <w:r>
        <w:rPr>
          <w:rFonts w:ascii="Times New Roman" w:hAnsi="Times New Roman"/>
          <w:color w:val="000000"/>
          <w:sz w:val="20"/>
          <w:shd w:fill="FFFFFF" w:val="clear"/>
        </w:rPr>
        <w:t>”). The Merger Agreement provides that, upon the terms and subject to the conditions set forth therein, (a) the Company Operating Partnership will merge with and into the Company (the “</w:t>
      </w:r>
      <w:r>
        <w:rPr>
          <w:rFonts w:ascii="Times New Roman" w:hAnsi="Times New Roman"/>
          <w:b/>
          <w:i/>
          <w:color w:val="000000"/>
          <w:sz w:val="20"/>
          <w:shd w:fill="FFFFFF" w:val="clear"/>
        </w:rPr>
        <w:t>Partnership Merger</w:t>
      </w:r>
      <w:r>
        <w:rPr>
          <w:rFonts w:ascii="Times New Roman" w:hAnsi="Times New Roman"/>
          <w:color w:val="000000"/>
          <w:sz w:val="20"/>
          <w:shd w:fill="FFFFFF" w:val="clear"/>
        </w:rPr>
        <w:t>”), with the Company surviving as the surviving corporation in the Partnership Merger, and (b) immediately following the Partnership Merger, the Company will merge with and into Merger Sub (the “</w:t>
      </w:r>
      <w:r>
        <w:rPr>
          <w:rFonts w:ascii="Times New Roman" w:hAnsi="Times New Roman"/>
          <w:b/>
          <w:i/>
          <w:color w:val="000000"/>
          <w:sz w:val="20"/>
          <w:shd w:fill="FFFFFF" w:val="clear"/>
        </w:rPr>
        <w:t>Company Merger</w:t>
      </w:r>
      <w:r>
        <w:rPr>
          <w:rFonts w:ascii="Times New Roman" w:hAnsi="Times New Roman"/>
          <w:color w:val="000000"/>
          <w:sz w:val="20"/>
          <w:shd w:fill="FFFFFF" w:val="clear"/>
        </w:rPr>
        <w:t>” and together with the Partnership Merger, the “</w:t>
      </w:r>
      <w:r>
        <w:rPr>
          <w:rFonts w:ascii="Times New Roman" w:hAnsi="Times New Roman"/>
          <w:b/>
          <w:i/>
          <w:color w:val="000000"/>
          <w:sz w:val="20"/>
          <w:shd w:fill="FFFFFF" w:val="clear"/>
        </w:rPr>
        <w:t>Mergers</w:t>
      </w:r>
      <w:r>
        <w:rPr>
          <w:rFonts w:ascii="Times New Roman" w:hAnsi="Times New Roman"/>
          <w:color w:val="000000"/>
          <w:sz w:val="20"/>
          <w:shd w:fill="FFFFFF" w:val="clear"/>
        </w:rPr>
        <w:t>”), with Merger Sub surviving as the surviving entity in the Company Merger.</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boards of directors of each of the Company and Parent have approved the Mergers and the Merger Agreement.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Subject to the terms and conditions set forth in the Merger Agreement, at the effective time of the Company Merger (the “</w:t>
      </w:r>
      <w:r>
        <w:rPr>
          <w:rFonts w:ascii="Times New Roman" w:hAnsi="Times New Roman"/>
          <w:b/>
          <w:i/>
          <w:color w:val="000000"/>
          <w:sz w:val="20"/>
          <w:shd w:fill="FFFFFF" w:val="clear"/>
        </w:rPr>
        <w:t>Company Merger Effective Time</w:t>
      </w:r>
      <w:r>
        <w:rPr>
          <w:rFonts w:ascii="Times New Roman" w:hAnsi="Times New Roman"/>
          <w:color w:val="000000"/>
          <w:sz w:val="20"/>
          <w:shd w:fill="FFFFFF" w:val="clear"/>
        </w:rPr>
        <w:t>”), each share of common stock, par value $0.01 per share, of the Company (“</w:t>
      </w:r>
      <w:r>
        <w:rPr>
          <w:rFonts w:ascii="Times New Roman" w:hAnsi="Times New Roman"/>
          <w:b/>
          <w:i/>
          <w:color w:val="000000"/>
          <w:sz w:val="20"/>
          <w:shd w:fill="FFFFFF" w:val="clear"/>
        </w:rPr>
        <w:t>Company Common Stock</w:t>
      </w:r>
      <w:r>
        <w:rPr>
          <w:rFonts w:ascii="Times New Roman" w:hAnsi="Times New Roman"/>
          <w:color w:val="000000"/>
          <w:sz w:val="20"/>
          <w:shd w:fill="FFFFFF" w:val="clear"/>
        </w:rPr>
        <w:t>”) issued and outstanding immediately prior to the Company Merger Effective Time (other than any shares of Company Common Stock held by the Company, Parent or any direct or indirect subsidiary of Parent or the Company, in each case, immediately prior to the Company Merger Effective Time, which shall automatically be cancelled and retired and shall cease to exist as of the Company Merger Effective Time, and no consideration will be delivered or deliverable in exchange therefor) will be canceled and extinguished and automatically converted into and shall thereafter represent only the right to receive, without interest thereon:</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from Parent: (a) 0.3063 validly issued, fully paid and nonassessable shares of the common stock, par value $0.01 per share, of Parent pursuant to a fixed exchange ratio (“</w:t>
            </w:r>
            <w:r>
              <w:rPr>
                <w:rFonts w:ascii="Times New Roman" w:hAnsi="Times New Roman"/>
                <w:b/>
                <w:i/>
                <w:sz w:val="20"/>
              </w:rPr>
              <w:t>Parent Common Stock</w:t>
            </w:r>
            <w:r>
              <w:rPr>
                <w:rFonts w:ascii="Times New Roman" w:hAnsi="Times New Roman"/>
                <w:sz w:val="20"/>
              </w:rPr>
              <w:t>”), and (b) $0.41 per share in cash (the foregoing (a) and (b), together, the “</w:t>
            </w:r>
            <w:r>
              <w:rPr>
                <w:rFonts w:ascii="Times New Roman" w:hAnsi="Times New Roman"/>
                <w:b/>
                <w:i/>
                <w:sz w:val="20"/>
              </w:rPr>
              <w:t>Per Share Parent Consideration</w:t>
            </w:r>
            <w:r>
              <w:rPr>
                <w:rFonts w:ascii="Times New Roman" w:hAnsi="Times New Roman"/>
                <w:sz w:val="20"/>
              </w:rPr>
              <w:t>”); plus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from Parent Manager (acting solely on its own behalf), as additional consideration: $0.52 per share in cash (the “</w:t>
            </w:r>
            <w:r>
              <w:rPr>
                <w:rFonts w:ascii="Times New Roman" w:hAnsi="Times New Roman"/>
                <w:b/>
                <w:i/>
                <w:sz w:val="20"/>
              </w:rPr>
              <w:t>Per Share Additional Manager Consideration</w:t>
            </w:r>
            <w:r>
              <w:rPr>
                <w:rFonts w:ascii="Times New Roman" w:hAnsi="Times New Roman"/>
                <w:sz w:val="20"/>
              </w:rPr>
              <w:t>” and together with the Per Share Parent Consideration, the “</w:t>
            </w:r>
            <w:r>
              <w:rPr>
                <w:rFonts w:ascii="Times New Roman" w:hAnsi="Times New Roman"/>
                <w:b/>
                <w:i/>
                <w:sz w:val="20"/>
              </w:rPr>
              <w:t>Common Stock Merger Consideration</w:t>
            </w:r>
            <w:r>
              <w:rPr>
                <w:rFonts w:ascii="Times New Roman" w:hAnsi="Times New Roman"/>
                <w:sz w:val="20"/>
              </w:rPr>
              <w: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pursuant to the Merger Agreement, at the Company Merger Effective Time,</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share of the Company’s 8.20% Series A Cumulative Redeemable Preferred Stock (“</w:t>
            </w:r>
            <w:r>
              <w:rPr>
                <w:rFonts w:ascii="Times New Roman" w:hAnsi="Times New Roman"/>
                <w:b/>
                <w:i/>
                <w:sz w:val="20"/>
              </w:rPr>
              <w:t>Company Series A Preferred Stock</w:t>
            </w:r>
            <w:r>
              <w:rPr>
                <w:rFonts w:ascii="Times New Roman" w:hAnsi="Times New Roman"/>
                <w:sz w:val="20"/>
              </w:rPr>
              <w:t>”) issued and outstanding immediately prior to the Company Merger Effective Time will be automatically converted into the right to receive one newly issued share of Parent’s 8.20% Series D Cumulative Redeemable Preferred Stock, which will have substantially the same rights, preferences, privileges and voting powers as the Company Series A Preferred Stock immediately prior to the Mergers;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share of the Company’s 8.250% Series B Fixed-to-Floating Rate Cumulative Redeemable Preferred Stock (“</w:t>
            </w:r>
            <w:r>
              <w:rPr>
                <w:rFonts w:ascii="Times New Roman" w:hAnsi="Times New Roman"/>
                <w:b/>
                <w:i/>
                <w:sz w:val="20"/>
              </w:rPr>
              <w:t>Company Series B Preferred Stock</w:t>
            </w:r>
            <w:r>
              <w:rPr>
                <w:rFonts w:ascii="Times New Roman" w:hAnsi="Times New Roman"/>
                <w:sz w:val="20"/>
              </w:rPr>
              <w:t>”) issued and outstanding immediately prior to the Company Merger Effective Time will be automatically converted into the right to receive one newly issued share of Parent’s Series E Floating Rate Cumulative Redeemable Preferred Stock, which will have substantially the same rights, preferences, privileges and voting powers as the Company Series B Preferred Stock immediately prior to the Mergers;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restricted stock unit award in respect of a share of Company Common Stock granted under the Company’s equity plans (other than Company PSU Awards (as defined below)) that is outstanding immediately prior to the Company Merger Effective Time, whether or not vested, will automatically vest (to the extent not yet vested) and be settled in shares of Company Common Stock immediately prior to the Company Merger Effective Time, with the number of shares determined under the applicable award agreement, net settled in respect of applicable withholding taxes, and such shares will be treated as outstanding shares of Company Common Stock entitled to receive the Common Stock Merger Consideration;</w:t>
            </w:r>
          </w:p>
        </w:tc>
      </w:tr>
    </w:tbl>
    <w:p>
      <w:pPr>
        <w:pStyle w:val="TextBody"/>
        <w:bidi w:val="0"/>
        <w:spacing w:before="0" w:after="0"/>
        <w:jc w:val="left"/>
        <w:rPr>
          <w:sz w:val="20"/>
        </w:rPr>
      </w:pPr>
      <w:r>
        <w:rPr>
          <w:sz w:val="20"/>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performance-based restricted stock unit award in respect of a share of Company Common Stock granted under the Company’s equity plans (each, a “</w:t>
            </w:r>
            <w:r>
              <w:rPr>
                <w:rFonts w:ascii="Times New Roman" w:hAnsi="Times New Roman"/>
                <w:b/>
                <w:i/>
                <w:sz w:val="20"/>
              </w:rPr>
              <w:t>Company PSU Award</w:t>
            </w:r>
            <w:r>
              <w:rPr>
                <w:rFonts w:ascii="Times New Roman" w:hAnsi="Times New Roman"/>
                <w:sz w:val="20"/>
              </w:rPr>
              <w:t>”) that is outstanding immediately prior to the Company Merger Effective Time, assuming maximum performance for the performance goals applicable to such Company PSU Awards, will automatically vest and be settled in shares of Company Common Stock immediately prior to the Company Merger Effective Time, net settled in respect of applicable withholding taxes, and such shares will be treated as outstanding shares of Company Common Stock entitled to receive the Common Stock Merger Consideration; and</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each award of shares of restricted stock of the Company or any other shares of Company Common Stock subject to vesting conditions based on continuing service that is outstanding immediately prior to the Company Merger Effective Time will fully vest and all restrictions thereon will lapse at such time, and will be net settled in respect of applicable withholding taxes, and such remaining shares will be treated as outstanding shares of Company Common Stock entitled to receive the Common Stock Merger Consideration.</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 the effective time of the Partnership Merger (the “</w:t>
            </w:r>
            <w:r>
              <w:rPr>
                <w:rFonts w:ascii="Times New Roman" w:hAnsi="Times New Roman"/>
                <w:b/>
                <w:i/>
                <w:sz w:val="20"/>
              </w:rPr>
              <w:t>Partnership Merger Effective Time</w:t>
            </w:r>
            <w:r>
              <w:rPr>
                <w:rFonts w:ascii="Times New Roman" w:hAnsi="Times New Roman"/>
                <w:sz w:val="20"/>
              </w:rPr>
              <w:t>”), each Company Common Unit (as defined in the Company Operating Partnership Agreement (as defined in the Merger Agreement)) (“</w:t>
            </w:r>
            <w:r>
              <w:rPr>
                <w:rFonts w:ascii="Times New Roman" w:hAnsi="Times New Roman"/>
                <w:b/>
                <w:i/>
                <w:sz w:val="20"/>
              </w:rPr>
              <w:t>Company Common Unit</w:t>
            </w:r>
            <w:r>
              <w:rPr>
                <w:rFonts w:ascii="Times New Roman" w:hAnsi="Times New Roman"/>
                <w:sz w:val="20"/>
              </w:rPr>
              <w:t>”) issued and outstanding immediately prior to the Partnership Merger Effective Time (other than Company Common Units held by the Company, Parent or any direct or indirect subsidiary of the Company or Parent, which will be automatically cancelled) will be converted into shares of Company Common Stock, which shares will be entitled to receive the Common Stock Merger Consideration.</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Immediately prior to the Partnership Merger Effective Time, all outstanding LTIP Units (as defined in the Company Operating Partnership Agreement) will be converted into shares of Company Common Stock, which shares will be entitled to receive the Common Stock Merger Consideration.</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obligations of the Company, the Company Operating Partnership, Parent, Merger Sub and Parent Manager to consummate the Mergers are subject to the satisfaction or waiver of certain customary mutual closing conditions, including, among other things: (a) the absence of any law, order or injunction prohibiting the consummation of the Mergers; (b) the approval of the Company Merger and the Merger Agreement by a majority vote of the issued and outstanding shares of Company Common Stock; (c) the approval of the issuance of shares of Parent Common Stock in connection with the transactions by the affirmative vote of a majority of the votes cast by the holders of the outstanding shares of Parent Common Stock; (d) the registration statement on Form S-4 (the “</w:t>
      </w:r>
      <w:r>
        <w:rPr>
          <w:rFonts w:ascii="Times New Roman" w:hAnsi="Times New Roman"/>
          <w:b/>
          <w:i/>
          <w:color w:val="000000"/>
          <w:sz w:val="20"/>
          <w:shd w:fill="FFFFFF" w:val="clear"/>
        </w:rPr>
        <w:t>Form S-4</w:t>
      </w:r>
      <w:r>
        <w:rPr>
          <w:rFonts w:ascii="Times New Roman" w:hAnsi="Times New Roman"/>
          <w:color w:val="000000"/>
          <w:sz w:val="20"/>
          <w:shd w:fill="FFFFFF" w:val="clear"/>
        </w:rPr>
        <w:t>”) having been declared effective by the U.S. Securities and Exchange Commission (the “</w:t>
      </w:r>
      <w:r>
        <w:rPr>
          <w:rFonts w:ascii="Times New Roman" w:hAnsi="Times New Roman"/>
          <w:b/>
          <w:i/>
          <w:color w:val="000000"/>
          <w:sz w:val="20"/>
          <w:shd w:fill="FFFFFF" w:val="clear"/>
        </w:rPr>
        <w:t>SEC</w:t>
      </w:r>
      <w:r>
        <w:rPr>
          <w:rFonts w:ascii="Times New Roman" w:hAnsi="Times New Roman"/>
          <w:color w:val="000000"/>
          <w:sz w:val="20"/>
          <w:shd w:fill="FFFFFF" w:val="clear"/>
        </w:rPr>
        <w:t>”) and no stop order suspending its effectiveness being in effect and no proceedings for such purpose being pending before or threatened by the SEC; (e) the shares of Parent Common Stock, Parent Series D Cumulative Redeemable Preferred Stock and Parent Series E Cumulative Redeemable Preferred Stock to be issued in the Mergers having been approved for listing on the New York Stock Exchange (the “</w:t>
      </w:r>
      <w:r>
        <w:rPr>
          <w:rFonts w:ascii="Times New Roman" w:hAnsi="Times New Roman"/>
          <w:b/>
          <w:i/>
          <w:color w:val="000000"/>
          <w:sz w:val="20"/>
          <w:shd w:fill="FFFFFF" w:val="clear"/>
        </w:rPr>
        <w:t>NYSE</w:t>
      </w:r>
      <w:r>
        <w:rPr>
          <w:rFonts w:ascii="Times New Roman" w:hAnsi="Times New Roman"/>
          <w:color w:val="000000"/>
          <w:sz w:val="20"/>
          <w:shd w:fill="FFFFFF" w:val="clear"/>
        </w:rPr>
        <w:t>”), subject to official notice of issuance; and (f) the receipt of certain regulatory approvals arising in connection with the proposed transaction.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obligations of Parent, Merger Sub and Parent Manager to consummate the Mergers are further subject to the satisfaction or waiver of certain additional customary closing conditions, including, among other things: (a) the representations and warranties of the Company and the Company Operating Partnership being true and correct as of the Closing Date (as defined in the Merger Agreement), subject to the materiality standards set forth in the Merger Agreement; (b) the Company and the Company Operating Partnership having duly performed and complied in all material respects with their covenants in the Merger Agreement; (c) the receipt by Parent of a certificate executed on behalf of the Company by its Chief Executive Officer or Chief Financial Officer confirming satisfaction of the conditions contained in the foregoing clauses (a) and (b); (d) receipt by Parent of a written opinion of Mayer Brown LLP with respect to the Company’s qualification as a REIT under the Internal Revenue Code of 1986, as amended (the “</w:t>
      </w:r>
      <w:r>
        <w:rPr>
          <w:rFonts w:ascii="Times New Roman" w:hAnsi="Times New Roman"/>
          <w:b/>
          <w:i/>
          <w:color w:val="000000"/>
          <w:sz w:val="20"/>
          <w:shd w:fill="FFFFFF" w:val="clear"/>
        </w:rPr>
        <w:t>Code</w:t>
      </w:r>
      <w:r>
        <w:rPr>
          <w:rFonts w:ascii="Times New Roman" w:hAnsi="Times New Roman"/>
          <w:color w:val="000000"/>
          <w:sz w:val="20"/>
          <w:shd w:fill="FFFFFF" w:val="clear"/>
        </w:rPr>
        <w:t>”); and (e) receipt by Parent of a written opinion of Hunton Andrews Kurth LLP to the effect that the Company Merger will qualify as a “reorganization” within the meaning of Section 368(a) of the Code.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obligations of the Company and the Company Operating Partnership to consummate the Mergers are further subject to the satisfaction or waiver of certain additional customary closing conditions, including, among other things: (a) the representations and warranties of Parent, Merger Sub and Parent Manager being true and correct as of the Closing Date, subject to the materiality standards set forth in the Merger Agreement; (b) Parent, Merger Sub and Parent Manager having duly performed and complied in all material respects with their covenants in the Merger Agreement; (c) the receipt by the Company of a certificate executed on behalf of Parent and Parent Manager confirming satisfaction of the conditions contained in the foregoing clauses (a) and (b); (d) receipt by the Company of a written opinion of Hunton Andrews Kurth LLP with respect to Parent’s qualification as a REIT under the Code; and (e) receipt by the Company of a written opinion of Mayer Brown LLP to the effect that the Company Merger will qualify as a “reorganization” within the meaning of Section 368(a) of the Code.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contains various customary representations and warranties of the Company, the Company Operating Partnership, Parent, Merger Sub and Parent Manager. The representations and warranties of the parties are subject to certain important qualifications and limitations set forth in confidential disclosure letters delivered by the Company, on the one hand, and Parent, on the other hand, and were made solely for purposes of the Merger Agreement. The representations and warranties are subject to a contractual standard of materiality that may be different from what may be viewed as material to stockholders, and the representations and warranties are primarily intended to establish circumstances in which either of the parties may not be obligated to consummate the Mergers, rather than establishing matters as facts.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the Merger Agreement provides that each of the Company and Parent will, from the date of the Merger Agreement until the earlier of the Company Merger Effective Time or until the Merger Agreement is terminated (the “</w:t>
      </w:r>
      <w:r>
        <w:rPr>
          <w:rFonts w:ascii="Times New Roman" w:hAnsi="Times New Roman"/>
          <w:b/>
          <w:i/>
          <w:color w:val="000000"/>
          <w:sz w:val="20"/>
          <w:shd w:fill="FFFFFF" w:val="clear"/>
        </w:rPr>
        <w:t>Interim Period</w:t>
      </w:r>
      <w:r>
        <w:rPr>
          <w:rFonts w:ascii="Times New Roman" w:hAnsi="Times New Roman"/>
          <w:color w:val="000000"/>
          <w:sz w:val="20"/>
          <w:shd w:fill="FFFFFF" w:val="clear"/>
        </w:rPr>
        <w:t>”), use commercially reasonable efforts to operate their respective businesses in all material respects in the ordinary course consistent with past practice and to maintain and preserve intact, in all material respects, its business organization, its existing relationships with its key business partners, vendors and counterparties and to maintain all material permits. Each of the Company and Parent is subject to restrictions as specified in the Merger Agreement on certain actions each may take during the Interim Period, including related to amending organizational documents, declaring dividends, issuing or repurchasing capital stock, and engaging in certain business transactions.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provides for reciprocal “no-shop” provisions, which prohibit each of the Company, Parent and their respective subsidiaries from, among other things, (a) soliciting, initiating or knowingly encouraging or facilitating the making of a competing proposal, or (b) engaging in, continuing, or otherwise participating in discussions or negotiations regarding, or furnishing to any other person any information for the purpose of encouraging or facilitating, a competing proposal. The no-shop provisions are subject to certain exceptions as more fully described in the Merger Agreement, including the ability of the Company or Parent to engage in certain of the foregoing activities under certain circumstances in the event that it receives a bona fide, competing proposal that is, or would reasonably be expected to lead to, a “superior proposal,” that did not result from a material breach of the foregoing restrictions. The Company and Parent also may not enter into a letter of intent or agreement in principle or other agreement providing for a competing proposal or effect a change of recommendation.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any time prior to obtaining the applicable requisite stockholder approval, under certain specified circumstances, the board of directors of each of the Company and Parent may change its recommendation to its stockholders regarding the Mergers, if such board of directors (i) determines in good faith after consulting with its independent financial advisor and outside legal counsel that the failure to do so would reasonably be expected to be inconsistent with such board of directors’ fiduciary duties under applicable law (outside the context of a competing proposal, which is addressed in the following prong (ii)) or (ii) in response to a bona fide unsolicited written competing proposal that such board of directors has determined in good faith, after consultation with its legal and financial advisors, is a “superior proposal,” provided the party intending to make the change of recommendation complies with the procedures set forth in the Merger Agreement.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provides that each of the Company and Parent will use reasonable best efforts to consummate the Mergers, including preparing and making all necessary filings with governmental authorities, responding to any requests for additional information and cooperating with each other in connection with obtaining all required regulatory approvals.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also provides that it is intended that the Company Merger qualify as a “reorganization” under Section 368(a) of the Code for U.S. federal income tax purposes. The Merger Agreement includes covenants related to the maintenance of the Company’s and Parent’s respective REIT status, including restrictions on dividends and distributions during the interim period (with carve-outs permitting minimum distribution dividends necessary to preserve REIT qualification).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contains certain termination rights for both the Company and Parent, including if there is a failure to complete the Mergers on or before March 9, 2027 (subject to extension by an additional 60 days if, by such date, the only closing conditions not satisfied are those relating to obtaining regulatory approvals), a failure to obtain the requisite stockholder approvals of the Company or Parent, a change of recommendation of the other party’s board of directors, a material breach of the no-shop covenants by the other party, acceptance of a superior proposal, or uncured breaches of the Merger Agreement by the other party. In the event of a termination of the Merger Agreement under certain circumstances, including a change of recommendation or the acceptance of a superior proposal, the Company or Parent, as applicable, would be required to pay the other party a termination fee of, in the case of payment by the Company, $4,700,000 and, in the case of payment by Parent, $7,990,000.</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Merger Agreement, Parent has agreed to take all necessary corporate action so that upon and after the Company Merger Effective Time, the size of the Parent board of directors is increased by two members, and certain members of the Company board of directors designated by the Company are appointed to the Parent board of directors. Parent has further agreed to nominate such designees to the Parent board of directors at the next annual meeting following the Company Merger Effective Time.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Merger Agreement is only a summary, does not purport to be complete and is qualified in its entirety by reference to the full text of the Merger Agreement, which is filed as Exhibit 2.1 hereto and incorporated herein by reference.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and the foregoing description of the Merger Agreement, have been included to provide investors and the Company’s stockholders with information regarding the terms of the Mergers. The assertions embodied in the representations, warranties and covenants contained in the Merger Agreement were made only for purposes of the Merger Agreement, were solely for the benefit of the parties to the Merger Agreement, and may be subject to limitations agreed upon by the contracting parties, including being qualified by information in confidential disclosure letters provided by the Company to Parent and by Parent to the Company in connection with the signing of the Merger Agreement.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persons as characterizations of the actual state of facts and circumstances about the Company, Parent, Merger Sub or Parent Manager at the time they were made or otherwise, and information in the Merger Agreement should be considered in conjunction with the entirety of the factual disclosure about the Company in the Company’s public reports filed with the SEC. Information concerning the subject matter of the representations and warranties may change after the date of the Merger Agreement, which subsequent information may or may not be fully reflected in the Company’s public disclosures.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Support Agreement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Concurrently with the execution and delivery of the Merger Agreement, the Company entered into a voting and support agreement (the “</w:t>
      </w:r>
      <w:r>
        <w:rPr>
          <w:rFonts w:ascii="Times New Roman" w:hAnsi="Times New Roman"/>
          <w:b/>
          <w:i/>
          <w:color w:val="000000"/>
          <w:sz w:val="20"/>
          <w:shd w:fill="FFFFFF" w:val="clear"/>
        </w:rPr>
        <w:t>Support Agreement</w:t>
      </w:r>
      <w:r>
        <w:rPr>
          <w:rFonts w:ascii="Times New Roman" w:hAnsi="Times New Roman"/>
          <w:color w:val="000000"/>
          <w:sz w:val="20"/>
          <w:shd w:fill="FFFFFF" w:val="clear"/>
        </w:rPr>
        <w:t>”) with AG MIT, LLC, a stockholder of the Company. Pursuant to the Support Agreement, AG MIT, LLC has agreed to, among other things, vote its shares of Company Common Stock in favor of the Merger Agreement and the Company Merger and related matters at the Company stockholders meeting, and against any competing proposal, subject to customary terms and conditions. AG MIT, LLC’s obligations under the Support Agreement will automatically terminate upon the earliest to occur of (a) the Company Merger Effective Time and (b) the valid termination of the Merger Agreement in accordance with its terms.</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Support Agreement is only a summary, does not purport to be complete and is qualified in its entirety by reference to the full text of the Support Agreement, which is filed as Exhibit 10.1 hereto and incorporated herein by reference.</w:t>
      </w:r>
    </w:p>
    <w:p>
      <w:pPr>
        <w:pStyle w:val="TextBody"/>
        <w:bidi w:val="0"/>
        <w:spacing w:before="0" w:after="0"/>
        <w:jc w:val="left"/>
        <w:rPr>
          <w:sz w:val="20"/>
        </w:rPr>
      </w:pPr>
      <w:r>
        <w:rPr>
          <w:sz w:val="20"/>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10, 2026, the Company and Parent issued a joint press release announcing their entry into the Merger Agreement. A copy of the joint press release is furnished as Exhibit 99.1 to this Current Report on Form 8-K and is incorporated herein by reference.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in this Item 7.01 is being furnished and shall not be deemed “filed” for the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registration statement or other document filed by the Company under the Securities Act of 1933, as amended (the “</w:t>
      </w:r>
      <w:r>
        <w:rPr>
          <w:rFonts w:ascii="Times New Roman" w:hAnsi="Times New Roman"/>
          <w:b/>
          <w:i/>
          <w:color w:val="000000"/>
          <w:sz w:val="20"/>
          <w:shd w:fill="FFFFFF" w:val="clear"/>
        </w:rPr>
        <w:t>Securities Act</w:t>
      </w:r>
      <w:r>
        <w:rPr>
          <w:rFonts w:ascii="Times New Roman" w:hAnsi="Times New Roman"/>
          <w:color w:val="000000"/>
          <w:sz w:val="20"/>
          <w:shd w:fill="FFFFFF" w:val="clear"/>
        </w:rPr>
        <w:t>”), or the Exchange Act, except as otherwise expressly stated in such filing. In addition, the information contained in this Item 7.01 on Form 8-K will not be deemed an admission as to the materiality of any information required to be disclosed solely to satisfy the requirements of Regulation FD.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Important Information for Investors and Stockholders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communication is being made in respect of the proposed transaction involving the Company and Parent. In connection with the proposed transaction, the Company and Parent intend to file relevant materials with the SEC, including the Form S-4 that will contain a joint proxy statement/prospectus. The Form S-4 will be filed by Parent and will include a joint proxy statement/prospectus to be sent to both the stockholders of the Company and the stockholders of Parent. Promptly after the Form S-4 is declared effective by the SEC, the Company and Parent will mail the definitive joint proxy statement/prospectus and a proxy card to each of their respective stockholders entitled to vote at the applicable special meeting relating to the proposed transaction. This communication is not a substitute for the Form S-4, the joint proxy statement/prospectus or any other document that the Company or Parent may file with the SEC or send to their respective stockholders in connection with the proposed transaction. The materials to be filed by the Company and Parent will be made available to investors and stockholders at no expense to them and copies may be obtained free of charge on the Company’s website at www.chmireit.com and Parent’s website at www.mitt.tpg.com. In addition, all of those materials will be available at no charge on the SEC’s website at www.sec.gov. Investors and stockholders of the Company and Parent are urged to read the Form S-4, the joint proxy statement/prospectus and the other relevant materials when they become available before making any voting or investment decision with respect to the proposed transaction because they will contain important information about the Company, Parent and the proposed transaction.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 Offer or Solicitation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communication is for informational purposes only and is not intended to, and shall not, constitute an offer to sell or the solicitation of an offer to buy or exchange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Participation in the Solicitation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Parent and certain of their respective directors and executive officers may be deemed to be participants in the solicitation of proxies from the Company’s stockholders and Parent’s stockholders, respectively, in connection with the proposed transaction under SEC rules. Investors and stockholders may obtain more detailed information regarding the names, affiliations and interests of the Company’s executive officers and directors in the solicitation by reading the Company’s Annual Report on Form 10-K for the fiscal year ended December 31, 2025, and the joint proxy statement/prospectus and other relevant materials that will be filed with the SEC in connection with the proposed transaction when they become available. Investors and stockholders may obtain more detailed information regarding the names, affiliations and interests of Parent’s executive officers and directors in the solicitation by reading Parent’s Annual Report on Form 10-K for the fiscal year ended December 31, 2025, and the joint proxy statement/prospectus and other relevant materials that will be filed with the SEC in connection with the proposed transaction when they become available. Information concerning the interests of the Company’s and Parent’s respective participants in the solicitation, which may, in some cases, be different from those of the Company’s or Parent’s stockholders generally, will be set forth in the joint proxy statement/prospectus relating to the proposed transaction when it becomes available.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statements and assumptions in this communication that do not directly and exclusively relate to historical facts could be deemed “forward-looking statements.” Forward-looking statements are often identified by the use of words such as “anticipates,” “believes,” “estimates,” “expects,” “may,” “could,” “should,” “forecast,” “goal,” “intends,” “objective,” “plans,” “projects,” “strategy,” “target” and “will” and similar words and terms or variations of such. These statements represent current intentions, expectations, beliefs or projections, and no assurance can be given that the results described in such statements will be achieved. Forward-looking statements include, among other things, statements about the potential benefits of the proposed transaction; the prospective performance and outlook of the Company’s and Parent’s respective businesses, performance and opportunities; the ability of the parties to complete the proposed transaction and the expected timing of completion of the proposed transaction; the ability to obtain the requisite approvals of the Company’s stockholders and Parent’s stockholders; the expected tax treatment of the proposed transaction; as well as any assumptions underlying any of the foregoing. Such statements are subject to numerous assumptions, risks, uncertainties and other factors that could cause actual results to differ materially from those described in such statements, many of which are outside of the control of the Company and Parent.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Important factors that could cause actual results to differ materially from those described in forward-looking statements include, but are not limited to: (a) the risk that the proposed transaction may not be completed in a timely manner or at all; (b) the failure to receive, on a timely basis or otherwise, the required approvals of the proposed transaction by the Company’s stockholders and Parent’s stockholders; (c) the possibility that any or all of the various conditions to the consummation of the proposed transaction may not be satisfied or waived, including the failure to receive any required regulatory approvals from any applicable governmental entities (or any conditions, limitations or restrictions placed on such approvals); (d) the possibility that competing offers or acquisition proposals for the Company or Parent will be made; (e) the occurrence of any event, change or other circumstance that could give rise to the termination of the Merger Agreement, including in circumstances which would require the Company or Parent to pay a termination fee; (f) the effect of the announcement or pendency of the proposed transaction on the Company’s or Parent’s ability to attract, motivate or retain key executives and employees, their ability to maintain relationships with their respective customers, counterparties and business partners, or their respective operating results and business generally; (g) risks related to the proposed transaction diverting management’s attention from the Company’s or Parent’s ongoing business operations; (h) the amount of costs, fees and expenses related to the proposed transaction; (i) the risk that the Company’s or Parent’s stock price may decline significantly if the Mergers are not consummated; (j) risks that the proposed transaction may not qualify as a tax-free reorganization for U.S. federal income tax purposes; (k) the risk of stockholder litigation in connection with the proposed transaction, including resulting expense or delay; (l) changes in interest rates and their effect on the Company’s and Parent’s respective portfolios of mortgage-related assets; (m) the risk that the Company or Parent may fail to maintain qualification as a REIT; and (n) other factors as set forth from time to time in the Company’s and Parent’s respective filings with the SEC, including the Company’s Annual Report on Form 10-K for the fiscal year ended December 31, 2025, as may be updated or supplemented by any subsequent Quarterly Reports on Form 10-Q or other filings with the SEC. Readers are cautioned not to place undue reliance on such statements which speak only as of the date they are made. The Company does not undertake any obligation to update or release any revisions to any forward-looking statement or to report any events or circumstances after the date of this communication or to reflect the occurrence of unanticipated events except as required by law.</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sz w:val="20"/>
        </w:rPr>
      </w:pPr>
      <w:r>
        <w:rPr>
          <w:sz w:val="20"/>
        </w:rPr>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w:t>
            </w:r>
          </w:p>
          <w:p>
            <w:pPr>
              <w:pStyle w:val="TableContents"/>
              <w:bidi w:val="0"/>
              <w:spacing w:before="0" w:after="0"/>
              <w:jc w:val="left"/>
              <w:rPr>
                <w:rFonts w:ascii="Times New Roman" w:hAnsi="Times New Roman"/>
                <w:b/>
                <w:sz w:val="20"/>
              </w:rPr>
            </w:pPr>
            <w:r>
              <w:rPr>
                <w:rFonts w:ascii="Times New Roman" w:hAnsi="Times New Roman"/>
                <w:b/>
                <w:sz w:val="20"/>
              </w:rPr>
              <w:t>Number</w:t>
            </w:r>
          </w:p>
        </w:tc>
        <w:tc>
          <w:tcPr>
            <w:tcW w:w="94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jc w:val="left"/>
              <w:rPr/>
            </w:pPr>
            <w:hyperlink w:anchor="ef20079827_ex2-1.htm">
              <w:r>
                <w:rPr>
                  <w:rStyle w:val="InternetLink"/>
                  <w:rFonts w:ascii="Times New Roman" w:hAnsi="Times New Roman"/>
                  <w:sz w:val="20"/>
                </w:rPr>
                <w:t>2.1*</w:t>
              </w:r>
            </w:hyperlink>
          </w:p>
        </w:tc>
        <w:tc>
          <w:tcPr>
            <w:tcW w:w="9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Agreement and Plan of Merger, dated as of August 9, 2026, by and among Cherry Hill Mortgage Investment Corporation, Cherry Hill Operating Partnership, LP, TPG Mortgage Investment Trust, Inc., MIT Merger Sub II, LLC and AG REIT Management, LLC</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jc w:val="left"/>
              <w:rPr/>
            </w:pPr>
            <w:hyperlink w:anchor="ef20079827_ex10-1.htm">
              <w:r>
                <w:rPr>
                  <w:rStyle w:val="InternetLink"/>
                  <w:rFonts w:ascii="Times New Roman" w:hAnsi="Times New Roman"/>
                  <w:sz w:val="20"/>
                </w:rPr>
                <w:t>10.1</w:t>
              </w:r>
            </w:hyperlink>
          </w:p>
        </w:tc>
        <w:tc>
          <w:tcPr>
            <w:tcW w:w="9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Voting and Support Agreement, dated as of August 9, 2026, by and between Cherry Hill Mortgage Investment Corporation and AG MIT, LLC</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jc w:val="left"/>
              <w:rPr/>
            </w:pPr>
            <w:hyperlink w:anchor="ef20079827_ex99-1.htm">
              <w:r>
                <w:rPr>
                  <w:rStyle w:val="InternetLink"/>
                  <w:rFonts w:ascii="Times New Roman" w:hAnsi="Times New Roman"/>
                  <w:sz w:val="20"/>
                </w:rPr>
                <w:t>99.1</w:t>
              </w:r>
            </w:hyperlink>
          </w:p>
        </w:tc>
        <w:tc>
          <w:tcPr>
            <w:tcW w:w="9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Joint Press Release, dated August 10, 2026</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9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Schedules and similar attachments have been omitted pursuant to Item 601(a)(5) of Regulation S-K. The Company agrees to furnish supplementally a copy of any omitted schedule and similar attachment to the SEC upon request.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sz w:val="20"/>
        </w:rPr>
      </w:pPr>
      <w:r>
        <w:rPr>
          <w:sz w:val="20"/>
        </w:rPr>
      </w:r>
    </w:p>
    <w:tbl>
      <w:tblPr>
        <w:tblW w:w="7299" w:type="dxa"/>
        <w:jc w:val="left"/>
        <w:tblInd w:w="0" w:type="dxa"/>
        <w:tblLayout w:type="fixed"/>
        <w:tblCellMar>
          <w:top w:w="0" w:type="dxa"/>
          <w:left w:w="0" w:type="dxa"/>
          <w:bottom w:w="0" w:type="dxa"/>
          <w:right w:w="0" w:type="dxa"/>
        </w:tblCellMar>
      </w:tblPr>
      <w:tblGrid>
        <w:gridCol w:w="1850"/>
        <w:gridCol w:w="1005"/>
        <w:gridCol w:w="4444"/>
      </w:tblGrid>
      <w:tr>
        <w:trPr/>
        <w:tc>
          <w:tcPr>
            <w:tcW w:w="1850"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CHERRY HILL MORTGAGE INVESTMENT CORPORATION</w:t>
            </w:r>
          </w:p>
        </w:tc>
      </w:tr>
      <w:tr>
        <w:trPr/>
        <w:tc>
          <w:tcPr>
            <w:tcW w:w="185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4444"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10, 2026</w:t>
            </w:r>
          </w:p>
        </w:tc>
        <w:tc>
          <w:tcPr>
            <w:tcW w:w="1005" w:type="dxa"/>
            <w:tcBorders/>
            <w:vAlign w:val="center"/>
          </w:tcPr>
          <w:p>
            <w:pPr>
              <w:pStyle w:val="TableContents"/>
              <w:bidi w:val="0"/>
              <w:spacing w:before="0" w:after="283"/>
              <w:jc w:val="left"/>
              <w:rPr/>
            </w:pPr>
            <w:r>
              <w:rPr/>
              <w:t> </w:t>
            </w:r>
          </w:p>
        </w:tc>
        <w:tc>
          <w:tcPr>
            <w:tcW w:w="4444"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4444"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444"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Apeksha Patel</w:t>
            </w:r>
          </w:p>
        </w:tc>
      </w:tr>
      <w:tr>
        <w:trPr/>
        <w:tc>
          <w:tcPr>
            <w:tcW w:w="1850"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Apeksha Patel</w:t>
            </w:r>
          </w:p>
        </w:tc>
      </w:tr>
      <w:tr>
        <w:trPr/>
        <w:tc>
          <w:tcPr>
            <w:tcW w:w="1850"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9827_ex2-1.htm"/>
      <w:bookmarkStart w:id="1" w:name="ksef20079827_ex21"/>
      <w:bookmarkStart w:id="2" w:name="ef20079827_ex2-1.htm"/>
      <w:bookmarkStart w:id="3" w:name="ksef20079827_ex2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w:t>
      </w:r>
    </w:p>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EXECUTION VERSION</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AGREEMENT AND PLAN OF MERGER</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by and among</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TPG MORTGAGE INVESTMENT TRUST, INC.,</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MIT MERGER SUB II, LLC,</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CHERRY HILL MORTGAGE INVESTMENT CORPORATION</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and</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CHERRY HILL OPERATING PARTNERSHIP, LP</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and, solely for the limited purposes set forth herein,</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AG REIT MANAGEMENT, LLC</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Dated as of August 9,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val="false"/>
          <w:color w:val="000000"/>
          <w:sz w:val="20"/>
          <w:u w:val="single"/>
        </w:rPr>
      </w:pPr>
      <w:r>
        <w:rPr>
          <w:rFonts w:ascii="Times New Roman" w:hAnsi="Times New Roman"/>
          <w:b w:val="false"/>
          <w:color w:val="000000"/>
          <w:sz w:val="20"/>
          <w:u w:val="single"/>
        </w:rPr>
        <w:t>TABLE OF CONTENTS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04f5bb1fda647029568e8c3c54f6959"/>
      <w:bookmarkStart w:id="5" w:name="z504f5bb1fda647029568e8c3c54f6959"/>
      <w:bookmarkEnd w:id="5"/>
    </w:p>
    <w:tbl>
      <w:tblPr>
        <w:tblW w:w="10205" w:type="dxa"/>
        <w:jc w:val="left"/>
        <w:tblInd w:w="0" w:type="dxa"/>
        <w:tblLayout w:type="fixed"/>
        <w:tblCellMar>
          <w:top w:w="0" w:type="dxa"/>
          <w:left w:w="0" w:type="dxa"/>
          <w:bottom w:w="0" w:type="dxa"/>
          <w:right w:w="0" w:type="dxa"/>
        </w:tblCellMar>
      </w:tblPr>
      <w:tblGrid>
        <w:gridCol w:w="67"/>
        <w:gridCol w:w="559"/>
        <w:gridCol w:w="9063"/>
        <w:gridCol w:w="516"/>
      </w:tblGrid>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right"/>
              <w:rPr>
                <w:b/>
              </w:rPr>
            </w:pPr>
            <w:r>
              <w:rPr>
                <w:b/>
              </w:rPr>
              <w:t>Page</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 </w:t>
            </w:r>
          </w:p>
        </w:tc>
      </w:tr>
      <w:tr>
        <w:trPr/>
        <w:tc>
          <w:tcPr>
            <w:tcW w:w="9689" w:type="dxa"/>
            <w:gridSpan w:val="3"/>
            <w:tcBorders/>
            <w:shd w:fill="CCEEFF" w:val="clear"/>
            <w:vAlign w:val="center"/>
          </w:tcPr>
          <w:p>
            <w:pPr>
              <w:pStyle w:val="TableContents"/>
              <w:bidi w:val="0"/>
              <w:spacing w:before="0" w:after="0"/>
              <w:jc w:val="left"/>
              <w:rPr/>
            </w:pPr>
            <w:r>
              <w:rPr/>
              <w:t>ARTICLE I DEFINITIONS</w:t>
            </w:r>
          </w:p>
        </w:tc>
        <w:tc>
          <w:tcPr>
            <w:tcW w:w="516" w:type="dxa"/>
            <w:tcBorders/>
            <w:shd w:fill="CCEEFF" w:val="clear"/>
            <w:vAlign w:val="center"/>
          </w:tcPr>
          <w:p>
            <w:pPr>
              <w:pStyle w:val="TableContents"/>
              <w:bidi w:val="0"/>
              <w:spacing w:before="0" w:after="0"/>
              <w:jc w:val="right"/>
              <w:rPr/>
            </w:pPr>
            <w:r>
              <w:rPr/>
              <w:t>2</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 </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1.1.</w:t>
            </w:r>
          </w:p>
        </w:tc>
        <w:tc>
          <w:tcPr>
            <w:tcW w:w="9063" w:type="dxa"/>
            <w:tcBorders/>
            <w:shd w:fill="CCEEFF" w:val="clear"/>
            <w:vAlign w:val="center"/>
          </w:tcPr>
          <w:p>
            <w:pPr>
              <w:pStyle w:val="TableContents"/>
              <w:bidi w:val="0"/>
              <w:spacing w:before="0" w:after="0"/>
              <w:jc w:val="left"/>
              <w:rPr>
                <w:color w:val="000000"/>
              </w:rPr>
            </w:pPr>
            <w:r>
              <w:rPr>
                <w:color w:val="000000"/>
              </w:rPr>
              <w:t>Definitions</w:t>
            </w:r>
          </w:p>
        </w:tc>
        <w:tc>
          <w:tcPr>
            <w:tcW w:w="516" w:type="dxa"/>
            <w:tcBorders/>
            <w:shd w:fill="CCEEFF" w:val="clear"/>
            <w:vAlign w:val="center"/>
          </w:tcPr>
          <w:p>
            <w:pPr>
              <w:pStyle w:val="TableContents"/>
              <w:bidi w:val="0"/>
              <w:spacing w:before="0" w:after="0"/>
              <w:jc w:val="right"/>
              <w:rPr>
                <w:color w:val="000000"/>
              </w:rPr>
            </w:pPr>
            <w:r>
              <w:rPr>
                <w:color w:val="000000"/>
              </w:rPr>
              <w:t>2</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 </w:t>
            </w:r>
          </w:p>
        </w:tc>
      </w:tr>
      <w:tr>
        <w:trPr/>
        <w:tc>
          <w:tcPr>
            <w:tcW w:w="9689" w:type="dxa"/>
            <w:gridSpan w:val="3"/>
            <w:tcBorders/>
            <w:shd w:fill="CCEEFF" w:val="clear"/>
            <w:vAlign w:val="center"/>
          </w:tcPr>
          <w:p>
            <w:pPr>
              <w:pStyle w:val="TableContents"/>
              <w:bidi w:val="0"/>
              <w:spacing w:before="0" w:after="0"/>
              <w:jc w:val="left"/>
              <w:rPr/>
            </w:pPr>
            <w:r>
              <w:rPr/>
              <w:t>ARTICLE II MERGERS</w:t>
            </w:r>
          </w:p>
        </w:tc>
        <w:tc>
          <w:tcPr>
            <w:tcW w:w="516" w:type="dxa"/>
            <w:tcBorders/>
            <w:shd w:fill="CCEEFF" w:val="clear"/>
            <w:vAlign w:val="center"/>
          </w:tcPr>
          <w:p>
            <w:pPr>
              <w:pStyle w:val="TableContents"/>
              <w:bidi w:val="0"/>
              <w:spacing w:before="0" w:after="0"/>
              <w:jc w:val="right"/>
              <w:rPr/>
            </w:pPr>
            <w:r>
              <w:rPr/>
              <w:t>21</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 </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2.1.</w:t>
            </w:r>
          </w:p>
        </w:tc>
        <w:tc>
          <w:tcPr>
            <w:tcW w:w="9063" w:type="dxa"/>
            <w:tcBorders/>
            <w:shd w:fill="CCEEFF" w:val="clear"/>
            <w:vAlign w:val="center"/>
          </w:tcPr>
          <w:p>
            <w:pPr>
              <w:pStyle w:val="TableContents"/>
              <w:bidi w:val="0"/>
              <w:spacing w:before="0" w:after="0"/>
              <w:jc w:val="left"/>
              <w:rPr>
                <w:color w:val="000000"/>
              </w:rPr>
            </w:pPr>
            <w:r>
              <w:rPr>
                <w:color w:val="000000"/>
              </w:rPr>
              <w:t>Mergers</w:t>
            </w:r>
          </w:p>
        </w:tc>
        <w:tc>
          <w:tcPr>
            <w:tcW w:w="516" w:type="dxa"/>
            <w:tcBorders/>
            <w:shd w:fill="CCEEFF" w:val="clear"/>
            <w:vAlign w:val="center"/>
          </w:tcPr>
          <w:p>
            <w:pPr>
              <w:pStyle w:val="TableContents"/>
              <w:bidi w:val="0"/>
              <w:spacing w:before="0" w:after="0"/>
              <w:jc w:val="right"/>
              <w:rPr>
                <w:color w:val="000000"/>
              </w:rPr>
            </w:pPr>
            <w:r>
              <w:rPr>
                <w:color w:val="000000"/>
              </w:rPr>
              <w:t>21</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2.2.</w:t>
            </w:r>
          </w:p>
        </w:tc>
        <w:tc>
          <w:tcPr>
            <w:tcW w:w="9063" w:type="dxa"/>
            <w:tcBorders/>
            <w:vAlign w:val="center"/>
          </w:tcPr>
          <w:p>
            <w:pPr>
              <w:pStyle w:val="TableContents"/>
              <w:bidi w:val="0"/>
              <w:spacing w:before="0" w:after="0"/>
              <w:jc w:val="left"/>
              <w:rPr>
                <w:color w:val="000000"/>
              </w:rPr>
            </w:pPr>
            <w:r>
              <w:rPr>
                <w:color w:val="000000"/>
              </w:rPr>
              <w:t>Closing</w:t>
            </w:r>
          </w:p>
        </w:tc>
        <w:tc>
          <w:tcPr>
            <w:tcW w:w="516" w:type="dxa"/>
            <w:tcBorders/>
            <w:vAlign w:val="center"/>
          </w:tcPr>
          <w:p>
            <w:pPr>
              <w:pStyle w:val="TableContents"/>
              <w:bidi w:val="0"/>
              <w:spacing w:before="0" w:after="0"/>
              <w:jc w:val="right"/>
              <w:rPr>
                <w:color w:val="000000"/>
              </w:rPr>
            </w:pPr>
            <w:r>
              <w:rPr>
                <w:color w:val="000000"/>
              </w:rPr>
              <w:t>21</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2.3.</w:t>
            </w:r>
          </w:p>
        </w:tc>
        <w:tc>
          <w:tcPr>
            <w:tcW w:w="9063" w:type="dxa"/>
            <w:tcBorders/>
            <w:shd w:fill="CCEEFF" w:val="clear"/>
            <w:vAlign w:val="center"/>
          </w:tcPr>
          <w:p>
            <w:pPr>
              <w:pStyle w:val="TableContents"/>
              <w:bidi w:val="0"/>
              <w:spacing w:before="0" w:after="0"/>
              <w:jc w:val="left"/>
              <w:rPr>
                <w:color w:val="000000"/>
              </w:rPr>
            </w:pPr>
            <w:r>
              <w:rPr>
                <w:color w:val="000000"/>
              </w:rPr>
              <w:t>Effective Times</w:t>
            </w:r>
          </w:p>
        </w:tc>
        <w:tc>
          <w:tcPr>
            <w:tcW w:w="516" w:type="dxa"/>
            <w:tcBorders/>
            <w:shd w:fill="CCEEFF" w:val="clear"/>
            <w:vAlign w:val="center"/>
          </w:tcPr>
          <w:p>
            <w:pPr>
              <w:pStyle w:val="TableContents"/>
              <w:bidi w:val="0"/>
              <w:spacing w:before="0" w:after="0"/>
              <w:jc w:val="right"/>
              <w:rPr>
                <w:color w:val="000000"/>
              </w:rPr>
            </w:pPr>
            <w:r>
              <w:rPr>
                <w:color w:val="000000"/>
              </w:rPr>
              <w:t>21</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2.4.</w:t>
            </w:r>
          </w:p>
        </w:tc>
        <w:tc>
          <w:tcPr>
            <w:tcW w:w="9063" w:type="dxa"/>
            <w:tcBorders/>
            <w:vAlign w:val="center"/>
          </w:tcPr>
          <w:p>
            <w:pPr>
              <w:pStyle w:val="TableContents"/>
              <w:bidi w:val="0"/>
              <w:spacing w:before="0" w:after="0"/>
              <w:jc w:val="left"/>
              <w:rPr>
                <w:color w:val="000000"/>
              </w:rPr>
            </w:pPr>
            <w:r>
              <w:rPr>
                <w:color w:val="000000"/>
              </w:rPr>
              <w:t>Effects of the Mergers</w:t>
            </w:r>
          </w:p>
        </w:tc>
        <w:tc>
          <w:tcPr>
            <w:tcW w:w="516" w:type="dxa"/>
            <w:tcBorders/>
            <w:vAlign w:val="center"/>
          </w:tcPr>
          <w:p>
            <w:pPr>
              <w:pStyle w:val="TableContents"/>
              <w:bidi w:val="0"/>
              <w:spacing w:before="0" w:after="0"/>
              <w:jc w:val="right"/>
              <w:rPr>
                <w:color w:val="000000"/>
              </w:rPr>
            </w:pPr>
            <w:r>
              <w:rPr>
                <w:color w:val="000000"/>
              </w:rPr>
              <w:t>22</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2.5.</w:t>
            </w:r>
          </w:p>
        </w:tc>
        <w:tc>
          <w:tcPr>
            <w:tcW w:w="9063" w:type="dxa"/>
            <w:tcBorders/>
            <w:shd w:fill="CCEEFF" w:val="clear"/>
            <w:vAlign w:val="center"/>
          </w:tcPr>
          <w:p>
            <w:pPr>
              <w:pStyle w:val="TableContents"/>
              <w:bidi w:val="0"/>
              <w:spacing w:before="0" w:after="0"/>
              <w:jc w:val="left"/>
              <w:rPr>
                <w:color w:val="000000"/>
              </w:rPr>
            </w:pPr>
            <w:r>
              <w:rPr>
                <w:color w:val="000000"/>
              </w:rPr>
              <w:t>Organizational Documents</w:t>
            </w:r>
          </w:p>
        </w:tc>
        <w:tc>
          <w:tcPr>
            <w:tcW w:w="516" w:type="dxa"/>
            <w:tcBorders/>
            <w:shd w:fill="CCEEFF" w:val="clear"/>
            <w:vAlign w:val="center"/>
          </w:tcPr>
          <w:p>
            <w:pPr>
              <w:pStyle w:val="TableContents"/>
              <w:bidi w:val="0"/>
              <w:spacing w:before="0" w:after="0"/>
              <w:jc w:val="right"/>
              <w:rPr>
                <w:color w:val="000000"/>
              </w:rPr>
            </w:pPr>
            <w:r>
              <w:rPr>
                <w:color w:val="000000"/>
              </w:rPr>
              <w:t>23</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2.6.</w:t>
            </w:r>
          </w:p>
        </w:tc>
        <w:tc>
          <w:tcPr>
            <w:tcW w:w="9063" w:type="dxa"/>
            <w:tcBorders/>
            <w:vAlign w:val="center"/>
          </w:tcPr>
          <w:p>
            <w:pPr>
              <w:pStyle w:val="TableContents"/>
              <w:bidi w:val="0"/>
              <w:spacing w:before="0" w:after="0"/>
              <w:jc w:val="left"/>
              <w:rPr>
                <w:color w:val="000000"/>
              </w:rPr>
            </w:pPr>
            <w:r>
              <w:rPr>
                <w:color w:val="000000"/>
              </w:rPr>
              <w:t>Directors and Officers</w:t>
            </w:r>
          </w:p>
        </w:tc>
        <w:tc>
          <w:tcPr>
            <w:tcW w:w="516" w:type="dxa"/>
            <w:tcBorders/>
            <w:vAlign w:val="center"/>
          </w:tcPr>
          <w:p>
            <w:pPr>
              <w:pStyle w:val="TableContents"/>
              <w:bidi w:val="0"/>
              <w:spacing w:before="0" w:after="0"/>
              <w:jc w:val="right"/>
              <w:rPr>
                <w:color w:val="000000"/>
              </w:rPr>
            </w:pPr>
            <w:r>
              <w:rPr>
                <w:color w:val="000000"/>
              </w:rPr>
              <w:t>23</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2.7.</w:t>
            </w:r>
          </w:p>
        </w:tc>
        <w:tc>
          <w:tcPr>
            <w:tcW w:w="9063" w:type="dxa"/>
            <w:tcBorders/>
            <w:shd w:fill="CCEEFF" w:val="clear"/>
            <w:vAlign w:val="center"/>
          </w:tcPr>
          <w:p>
            <w:pPr>
              <w:pStyle w:val="TableContents"/>
              <w:bidi w:val="0"/>
              <w:spacing w:before="0" w:after="0"/>
              <w:jc w:val="left"/>
              <w:rPr>
                <w:color w:val="000000"/>
              </w:rPr>
            </w:pPr>
            <w:r>
              <w:rPr>
                <w:color w:val="000000"/>
              </w:rPr>
              <w:t>Directors of Parent</w:t>
            </w:r>
          </w:p>
        </w:tc>
        <w:tc>
          <w:tcPr>
            <w:tcW w:w="516" w:type="dxa"/>
            <w:tcBorders/>
            <w:shd w:fill="CCEEFF" w:val="clear"/>
            <w:vAlign w:val="center"/>
          </w:tcPr>
          <w:p>
            <w:pPr>
              <w:pStyle w:val="TableContents"/>
              <w:bidi w:val="0"/>
              <w:spacing w:before="0" w:after="0"/>
              <w:jc w:val="right"/>
              <w:rPr>
                <w:color w:val="000000"/>
              </w:rPr>
            </w:pPr>
            <w:r>
              <w:rPr>
                <w:color w:val="000000"/>
              </w:rPr>
              <w:t>23</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2.8.</w:t>
            </w:r>
          </w:p>
        </w:tc>
        <w:tc>
          <w:tcPr>
            <w:tcW w:w="9063" w:type="dxa"/>
            <w:tcBorders/>
            <w:vAlign w:val="center"/>
          </w:tcPr>
          <w:p>
            <w:pPr>
              <w:pStyle w:val="TableContents"/>
              <w:bidi w:val="0"/>
              <w:spacing w:before="0" w:after="0"/>
              <w:jc w:val="left"/>
              <w:rPr>
                <w:color w:val="000000"/>
              </w:rPr>
            </w:pPr>
            <w:r>
              <w:rPr>
                <w:color w:val="000000"/>
              </w:rPr>
              <w:t>Tax Consequences</w:t>
            </w:r>
          </w:p>
        </w:tc>
        <w:tc>
          <w:tcPr>
            <w:tcW w:w="516" w:type="dxa"/>
            <w:tcBorders/>
            <w:vAlign w:val="center"/>
          </w:tcPr>
          <w:p>
            <w:pPr>
              <w:pStyle w:val="TableContents"/>
              <w:bidi w:val="0"/>
              <w:spacing w:before="0" w:after="0"/>
              <w:jc w:val="right"/>
              <w:rPr>
                <w:color w:val="000000"/>
              </w:rPr>
            </w:pPr>
            <w:r>
              <w:rPr>
                <w:color w:val="000000"/>
              </w:rPr>
              <w:t>24</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906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r>
      <w:tr>
        <w:trPr/>
        <w:tc>
          <w:tcPr>
            <w:tcW w:w="9689" w:type="dxa"/>
            <w:gridSpan w:val="3"/>
            <w:tcBorders/>
            <w:vAlign w:val="center"/>
          </w:tcPr>
          <w:p>
            <w:pPr>
              <w:pStyle w:val="TableContents"/>
              <w:bidi w:val="0"/>
              <w:spacing w:before="0" w:after="0"/>
              <w:jc w:val="left"/>
              <w:rPr/>
            </w:pPr>
            <w:r>
              <w:rPr/>
              <w:t>ARTICLE III CONVERSION OF SHARES, UNITS AND AWARDS; EXCHANGE</w:t>
            </w:r>
          </w:p>
        </w:tc>
        <w:tc>
          <w:tcPr>
            <w:tcW w:w="516" w:type="dxa"/>
            <w:tcBorders/>
            <w:vAlign w:val="center"/>
          </w:tcPr>
          <w:p>
            <w:pPr>
              <w:pStyle w:val="TableContents"/>
              <w:bidi w:val="0"/>
              <w:spacing w:before="0" w:after="0"/>
              <w:jc w:val="right"/>
              <w:rPr/>
            </w:pPr>
            <w:r>
              <w:rPr/>
              <w:t>24</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pPr>
            <w:r>
              <w:rPr/>
              <w:t> </w:t>
            </w:r>
          </w:p>
        </w:tc>
        <w:tc>
          <w:tcPr>
            <w:tcW w:w="906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3.1.</w:t>
            </w:r>
          </w:p>
        </w:tc>
        <w:tc>
          <w:tcPr>
            <w:tcW w:w="9063" w:type="dxa"/>
            <w:tcBorders/>
            <w:vAlign w:val="center"/>
          </w:tcPr>
          <w:p>
            <w:pPr>
              <w:pStyle w:val="TableContents"/>
              <w:bidi w:val="0"/>
              <w:spacing w:before="0" w:after="0"/>
              <w:jc w:val="left"/>
              <w:rPr>
                <w:color w:val="000000"/>
              </w:rPr>
            </w:pPr>
            <w:r>
              <w:rPr>
                <w:color w:val="000000"/>
              </w:rPr>
              <w:t>Treatment of Merger Sub Units, Company Common Stock, Company Preferred Stock and Company Equity Awards</w:t>
            </w:r>
          </w:p>
        </w:tc>
        <w:tc>
          <w:tcPr>
            <w:tcW w:w="516" w:type="dxa"/>
            <w:tcBorders/>
            <w:vAlign w:val="center"/>
          </w:tcPr>
          <w:p>
            <w:pPr>
              <w:pStyle w:val="TableContents"/>
              <w:bidi w:val="0"/>
              <w:spacing w:before="0" w:after="0"/>
              <w:jc w:val="right"/>
              <w:rPr>
                <w:color w:val="000000"/>
              </w:rPr>
            </w:pPr>
            <w:r>
              <w:rPr>
                <w:color w:val="000000"/>
              </w:rPr>
              <w:t>24</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3.2.</w:t>
            </w:r>
          </w:p>
        </w:tc>
        <w:tc>
          <w:tcPr>
            <w:tcW w:w="9063" w:type="dxa"/>
            <w:tcBorders/>
            <w:shd w:fill="CCEEFF" w:val="clear"/>
            <w:vAlign w:val="center"/>
          </w:tcPr>
          <w:p>
            <w:pPr>
              <w:pStyle w:val="TableContents"/>
              <w:bidi w:val="0"/>
              <w:spacing w:before="0" w:after="0"/>
              <w:jc w:val="left"/>
              <w:rPr>
                <w:color w:val="000000"/>
              </w:rPr>
            </w:pPr>
            <w:r>
              <w:rPr>
                <w:color w:val="000000"/>
              </w:rPr>
              <w:t>Treatment of Company Partnership Units</w:t>
            </w:r>
          </w:p>
        </w:tc>
        <w:tc>
          <w:tcPr>
            <w:tcW w:w="516" w:type="dxa"/>
            <w:tcBorders/>
            <w:shd w:fill="CCEEFF" w:val="clear"/>
            <w:vAlign w:val="center"/>
          </w:tcPr>
          <w:p>
            <w:pPr>
              <w:pStyle w:val="TableContents"/>
              <w:bidi w:val="0"/>
              <w:spacing w:before="0" w:after="0"/>
              <w:jc w:val="right"/>
              <w:rPr>
                <w:color w:val="000000"/>
              </w:rPr>
            </w:pPr>
            <w:r>
              <w:rPr>
                <w:color w:val="000000"/>
              </w:rPr>
              <w:t>28</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3.3.</w:t>
            </w:r>
          </w:p>
        </w:tc>
        <w:tc>
          <w:tcPr>
            <w:tcW w:w="9063" w:type="dxa"/>
            <w:tcBorders/>
            <w:vAlign w:val="center"/>
          </w:tcPr>
          <w:p>
            <w:pPr>
              <w:pStyle w:val="TableContents"/>
              <w:bidi w:val="0"/>
              <w:spacing w:before="0" w:after="0"/>
              <w:jc w:val="left"/>
              <w:rPr>
                <w:color w:val="000000"/>
              </w:rPr>
            </w:pPr>
            <w:r>
              <w:rPr>
                <w:color w:val="000000"/>
              </w:rPr>
              <w:t>Dissenters’ Rights</w:t>
            </w:r>
          </w:p>
        </w:tc>
        <w:tc>
          <w:tcPr>
            <w:tcW w:w="516" w:type="dxa"/>
            <w:tcBorders/>
            <w:vAlign w:val="center"/>
          </w:tcPr>
          <w:p>
            <w:pPr>
              <w:pStyle w:val="TableContents"/>
              <w:bidi w:val="0"/>
              <w:spacing w:before="0" w:after="0"/>
              <w:jc w:val="right"/>
              <w:rPr>
                <w:color w:val="000000"/>
              </w:rPr>
            </w:pPr>
            <w:r>
              <w:rPr>
                <w:color w:val="000000"/>
              </w:rPr>
              <w:t>29</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3.4.</w:t>
            </w:r>
          </w:p>
        </w:tc>
        <w:tc>
          <w:tcPr>
            <w:tcW w:w="9063" w:type="dxa"/>
            <w:tcBorders/>
            <w:shd w:fill="CCEEFF" w:val="clear"/>
            <w:vAlign w:val="center"/>
          </w:tcPr>
          <w:p>
            <w:pPr>
              <w:pStyle w:val="TableContents"/>
              <w:bidi w:val="0"/>
              <w:spacing w:before="0" w:after="0"/>
              <w:jc w:val="left"/>
              <w:rPr>
                <w:color w:val="000000"/>
              </w:rPr>
            </w:pPr>
            <w:r>
              <w:rPr>
                <w:color w:val="000000"/>
              </w:rPr>
              <w:t>Exchange of Company Common Stock and Company Preferred Stock</w:t>
            </w:r>
          </w:p>
        </w:tc>
        <w:tc>
          <w:tcPr>
            <w:tcW w:w="516" w:type="dxa"/>
            <w:tcBorders/>
            <w:shd w:fill="CCEEFF" w:val="clear"/>
            <w:vAlign w:val="center"/>
          </w:tcPr>
          <w:p>
            <w:pPr>
              <w:pStyle w:val="TableContents"/>
              <w:bidi w:val="0"/>
              <w:spacing w:before="0" w:after="0"/>
              <w:jc w:val="right"/>
              <w:rPr>
                <w:color w:val="000000"/>
              </w:rPr>
            </w:pPr>
            <w:r>
              <w:rPr>
                <w:color w:val="000000"/>
              </w:rPr>
              <w:t>29</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 </w:t>
            </w:r>
          </w:p>
        </w:tc>
      </w:tr>
      <w:tr>
        <w:trPr/>
        <w:tc>
          <w:tcPr>
            <w:tcW w:w="9689" w:type="dxa"/>
            <w:gridSpan w:val="3"/>
            <w:tcBorders/>
            <w:shd w:fill="CCEEFF" w:val="clear"/>
            <w:vAlign w:val="center"/>
          </w:tcPr>
          <w:p>
            <w:pPr>
              <w:pStyle w:val="TableContents"/>
              <w:bidi w:val="0"/>
              <w:spacing w:before="0" w:after="0"/>
              <w:jc w:val="left"/>
              <w:rPr/>
            </w:pPr>
            <w:r>
              <w:rPr/>
              <w:t>ARTICLE IV REPRESENTATIONS AND WARRANTIES OF THE COMPANY AND THE COMPANY OPERATING PARTNERSHIP</w:t>
            </w:r>
          </w:p>
        </w:tc>
        <w:tc>
          <w:tcPr>
            <w:tcW w:w="516" w:type="dxa"/>
            <w:tcBorders/>
            <w:shd w:fill="CCEEFF" w:val="clear"/>
            <w:vAlign w:val="center"/>
          </w:tcPr>
          <w:p>
            <w:pPr>
              <w:pStyle w:val="TableContents"/>
              <w:bidi w:val="0"/>
              <w:spacing w:before="0" w:after="0"/>
              <w:jc w:val="right"/>
              <w:rPr/>
            </w:pPr>
            <w:r>
              <w:rPr/>
              <w:t>33</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06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right"/>
              <w:rPr/>
            </w:pPr>
            <w:r>
              <w:rPr/>
              <w:t> </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4.1.</w:t>
            </w:r>
          </w:p>
        </w:tc>
        <w:tc>
          <w:tcPr>
            <w:tcW w:w="9063" w:type="dxa"/>
            <w:tcBorders/>
            <w:shd w:fill="CCEEFF" w:val="clear"/>
            <w:vAlign w:val="center"/>
          </w:tcPr>
          <w:p>
            <w:pPr>
              <w:pStyle w:val="TableContents"/>
              <w:bidi w:val="0"/>
              <w:spacing w:before="0" w:after="0"/>
              <w:jc w:val="left"/>
              <w:rPr>
                <w:color w:val="000000"/>
              </w:rPr>
            </w:pPr>
            <w:r>
              <w:rPr>
                <w:color w:val="000000"/>
              </w:rPr>
              <w:t>Due Incorporation; Capitalization; Indebtedness</w:t>
            </w:r>
          </w:p>
        </w:tc>
        <w:tc>
          <w:tcPr>
            <w:tcW w:w="516" w:type="dxa"/>
            <w:tcBorders/>
            <w:shd w:fill="CCEEFF" w:val="clear"/>
            <w:vAlign w:val="center"/>
          </w:tcPr>
          <w:p>
            <w:pPr>
              <w:pStyle w:val="TableContents"/>
              <w:bidi w:val="0"/>
              <w:spacing w:before="0" w:after="0"/>
              <w:jc w:val="right"/>
              <w:rPr>
                <w:color w:val="000000"/>
              </w:rPr>
            </w:pPr>
            <w:r>
              <w:rPr>
                <w:color w:val="000000"/>
              </w:rPr>
              <w:t>33</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4.2.</w:t>
            </w:r>
          </w:p>
        </w:tc>
        <w:tc>
          <w:tcPr>
            <w:tcW w:w="9063" w:type="dxa"/>
            <w:tcBorders/>
            <w:vAlign w:val="center"/>
          </w:tcPr>
          <w:p>
            <w:pPr>
              <w:pStyle w:val="TableContents"/>
              <w:bidi w:val="0"/>
              <w:spacing w:before="0" w:after="0"/>
              <w:jc w:val="left"/>
              <w:rPr>
                <w:color w:val="000000"/>
              </w:rPr>
            </w:pPr>
            <w:r>
              <w:rPr>
                <w:color w:val="000000"/>
              </w:rPr>
              <w:t>Due Authorization</w:t>
            </w:r>
          </w:p>
        </w:tc>
        <w:tc>
          <w:tcPr>
            <w:tcW w:w="516" w:type="dxa"/>
            <w:tcBorders/>
            <w:vAlign w:val="center"/>
          </w:tcPr>
          <w:p>
            <w:pPr>
              <w:pStyle w:val="TableContents"/>
              <w:bidi w:val="0"/>
              <w:spacing w:before="0" w:after="0"/>
              <w:jc w:val="right"/>
              <w:rPr>
                <w:color w:val="000000"/>
              </w:rPr>
            </w:pPr>
            <w:r>
              <w:rPr>
                <w:color w:val="000000"/>
              </w:rPr>
              <w:t>37</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4.3.</w:t>
            </w:r>
          </w:p>
        </w:tc>
        <w:tc>
          <w:tcPr>
            <w:tcW w:w="9063" w:type="dxa"/>
            <w:tcBorders/>
            <w:shd w:fill="CCEEFF" w:val="clear"/>
            <w:vAlign w:val="center"/>
          </w:tcPr>
          <w:p>
            <w:pPr>
              <w:pStyle w:val="TableContents"/>
              <w:bidi w:val="0"/>
              <w:spacing w:before="0" w:after="0"/>
              <w:jc w:val="left"/>
              <w:rPr>
                <w:color w:val="000000"/>
              </w:rPr>
            </w:pPr>
            <w:r>
              <w:rPr>
                <w:color w:val="000000"/>
              </w:rPr>
              <w:t>Consents and Approvals; No Violations</w:t>
            </w:r>
          </w:p>
        </w:tc>
        <w:tc>
          <w:tcPr>
            <w:tcW w:w="516" w:type="dxa"/>
            <w:tcBorders/>
            <w:shd w:fill="CCEEFF" w:val="clear"/>
            <w:vAlign w:val="center"/>
          </w:tcPr>
          <w:p>
            <w:pPr>
              <w:pStyle w:val="TableContents"/>
              <w:bidi w:val="0"/>
              <w:spacing w:before="0" w:after="0"/>
              <w:jc w:val="right"/>
              <w:rPr>
                <w:color w:val="000000"/>
              </w:rPr>
            </w:pPr>
            <w:r>
              <w:rPr>
                <w:color w:val="000000"/>
              </w:rPr>
              <w:t>38</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4.4.</w:t>
            </w:r>
          </w:p>
        </w:tc>
        <w:tc>
          <w:tcPr>
            <w:tcW w:w="9063" w:type="dxa"/>
            <w:tcBorders/>
            <w:vAlign w:val="center"/>
          </w:tcPr>
          <w:p>
            <w:pPr>
              <w:pStyle w:val="TableContents"/>
              <w:bidi w:val="0"/>
              <w:spacing w:before="0" w:after="0"/>
              <w:jc w:val="left"/>
              <w:rPr>
                <w:color w:val="000000"/>
              </w:rPr>
            </w:pPr>
            <w:r>
              <w:rPr>
                <w:color w:val="000000"/>
              </w:rPr>
              <w:t>Financial Statements; Internal Controls and Procedures; Investment Company Act</w:t>
            </w:r>
          </w:p>
        </w:tc>
        <w:tc>
          <w:tcPr>
            <w:tcW w:w="516" w:type="dxa"/>
            <w:tcBorders/>
            <w:vAlign w:val="center"/>
          </w:tcPr>
          <w:p>
            <w:pPr>
              <w:pStyle w:val="TableContents"/>
              <w:bidi w:val="0"/>
              <w:spacing w:before="0" w:after="0"/>
              <w:jc w:val="right"/>
              <w:rPr>
                <w:color w:val="000000"/>
              </w:rPr>
            </w:pPr>
            <w:r>
              <w:rPr>
                <w:color w:val="000000"/>
              </w:rPr>
              <w:t>39</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4.5.</w:t>
            </w:r>
          </w:p>
        </w:tc>
        <w:tc>
          <w:tcPr>
            <w:tcW w:w="9063" w:type="dxa"/>
            <w:tcBorders/>
            <w:shd w:fill="CCEEFF" w:val="clear"/>
            <w:vAlign w:val="center"/>
          </w:tcPr>
          <w:p>
            <w:pPr>
              <w:pStyle w:val="TableContents"/>
              <w:bidi w:val="0"/>
              <w:spacing w:before="0" w:after="0"/>
              <w:jc w:val="left"/>
              <w:rPr>
                <w:color w:val="000000"/>
              </w:rPr>
            </w:pPr>
            <w:r>
              <w:rPr>
                <w:color w:val="000000"/>
              </w:rPr>
              <w:t>Proxy Statement/Prospectus; Company Information</w:t>
            </w:r>
          </w:p>
        </w:tc>
        <w:tc>
          <w:tcPr>
            <w:tcW w:w="516" w:type="dxa"/>
            <w:tcBorders/>
            <w:shd w:fill="CCEEFF" w:val="clear"/>
            <w:vAlign w:val="center"/>
          </w:tcPr>
          <w:p>
            <w:pPr>
              <w:pStyle w:val="TableContents"/>
              <w:bidi w:val="0"/>
              <w:spacing w:before="0" w:after="0"/>
              <w:jc w:val="right"/>
              <w:rPr>
                <w:color w:val="000000"/>
              </w:rPr>
            </w:pPr>
            <w:r>
              <w:rPr>
                <w:color w:val="000000"/>
              </w:rPr>
              <w:t>40</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4.6.</w:t>
            </w:r>
          </w:p>
        </w:tc>
        <w:tc>
          <w:tcPr>
            <w:tcW w:w="9063" w:type="dxa"/>
            <w:tcBorders/>
            <w:vAlign w:val="center"/>
          </w:tcPr>
          <w:p>
            <w:pPr>
              <w:pStyle w:val="TableContents"/>
              <w:bidi w:val="0"/>
              <w:spacing w:before="0" w:after="0"/>
              <w:jc w:val="left"/>
              <w:rPr>
                <w:color w:val="000000"/>
              </w:rPr>
            </w:pPr>
            <w:r>
              <w:rPr>
                <w:color w:val="000000"/>
              </w:rPr>
              <w:t>No Undisclosed Liabilities</w:t>
            </w:r>
          </w:p>
        </w:tc>
        <w:tc>
          <w:tcPr>
            <w:tcW w:w="516" w:type="dxa"/>
            <w:tcBorders/>
            <w:vAlign w:val="center"/>
          </w:tcPr>
          <w:p>
            <w:pPr>
              <w:pStyle w:val="TableContents"/>
              <w:bidi w:val="0"/>
              <w:spacing w:before="0" w:after="0"/>
              <w:jc w:val="right"/>
              <w:rPr>
                <w:color w:val="000000"/>
              </w:rPr>
            </w:pPr>
            <w:r>
              <w:rPr>
                <w:color w:val="000000"/>
              </w:rPr>
              <w:t>40</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4.7.</w:t>
            </w:r>
          </w:p>
        </w:tc>
        <w:tc>
          <w:tcPr>
            <w:tcW w:w="9063" w:type="dxa"/>
            <w:tcBorders/>
            <w:shd w:fill="CCEEFF" w:val="clear"/>
            <w:vAlign w:val="center"/>
          </w:tcPr>
          <w:p>
            <w:pPr>
              <w:pStyle w:val="TableContents"/>
              <w:bidi w:val="0"/>
              <w:spacing w:before="0" w:after="0"/>
              <w:jc w:val="left"/>
              <w:rPr>
                <w:color w:val="000000"/>
              </w:rPr>
            </w:pPr>
            <w:r>
              <w:rPr>
                <w:color w:val="000000"/>
              </w:rPr>
              <w:t>Intellectual Property</w:t>
            </w:r>
          </w:p>
        </w:tc>
        <w:tc>
          <w:tcPr>
            <w:tcW w:w="516" w:type="dxa"/>
            <w:tcBorders/>
            <w:shd w:fill="CCEEFF" w:val="clear"/>
            <w:vAlign w:val="center"/>
          </w:tcPr>
          <w:p>
            <w:pPr>
              <w:pStyle w:val="TableContents"/>
              <w:bidi w:val="0"/>
              <w:spacing w:before="0" w:after="0"/>
              <w:jc w:val="right"/>
              <w:rPr>
                <w:color w:val="000000"/>
              </w:rPr>
            </w:pPr>
            <w:r>
              <w:rPr>
                <w:color w:val="000000"/>
              </w:rPr>
              <w:t>40</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4.8.</w:t>
            </w:r>
          </w:p>
        </w:tc>
        <w:tc>
          <w:tcPr>
            <w:tcW w:w="9063" w:type="dxa"/>
            <w:tcBorders/>
            <w:vAlign w:val="center"/>
          </w:tcPr>
          <w:p>
            <w:pPr>
              <w:pStyle w:val="TableContents"/>
              <w:bidi w:val="0"/>
              <w:spacing w:before="0" w:after="0"/>
              <w:jc w:val="left"/>
              <w:rPr>
                <w:color w:val="000000"/>
              </w:rPr>
            </w:pPr>
            <w:r>
              <w:rPr>
                <w:color w:val="000000"/>
              </w:rPr>
              <w:t>Contracts</w:t>
            </w:r>
          </w:p>
        </w:tc>
        <w:tc>
          <w:tcPr>
            <w:tcW w:w="516" w:type="dxa"/>
            <w:tcBorders/>
            <w:vAlign w:val="center"/>
          </w:tcPr>
          <w:p>
            <w:pPr>
              <w:pStyle w:val="TableContents"/>
              <w:bidi w:val="0"/>
              <w:spacing w:before="0" w:after="0"/>
              <w:jc w:val="right"/>
              <w:rPr>
                <w:color w:val="000000"/>
              </w:rPr>
            </w:pPr>
            <w:r>
              <w:rPr>
                <w:color w:val="000000"/>
              </w:rPr>
              <w:t>41</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4.9.</w:t>
            </w:r>
          </w:p>
        </w:tc>
        <w:tc>
          <w:tcPr>
            <w:tcW w:w="9063" w:type="dxa"/>
            <w:tcBorders/>
            <w:shd w:fill="CCEEFF" w:val="clear"/>
            <w:vAlign w:val="center"/>
          </w:tcPr>
          <w:p>
            <w:pPr>
              <w:pStyle w:val="TableContents"/>
              <w:bidi w:val="0"/>
              <w:spacing w:before="0" w:after="0"/>
              <w:jc w:val="left"/>
              <w:rPr>
                <w:color w:val="000000"/>
              </w:rPr>
            </w:pPr>
            <w:r>
              <w:rPr>
                <w:color w:val="000000"/>
              </w:rPr>
              <w:t>Insurance</w:t>
            </w:r>
          </w:p>
        </w:tc>
        <w:tc>
          <w:tcPr>
            <w:tcW w:w="516" w:type="dxa"/>
            <w:tcBorders/>
            <w:shd w:fill="CCEEFF" w:val="clear"/>
            <w:vAlign w:val="center"/>
          </w:tcPr>
          <w:p>
            <w:pPr>
              <w:pStyle w:val="TableContents"/>
              <w:bidi w:val="0"/>
              <w:spacing w:before="0" w:after="0"/>
              <w:jc w:val="right"/>
              <w:rPr>
                <w:color w:val="000000"/>
              </w:rPr>
            </w:pPr>
            <w:r>
              <w:rPr>
                <w:color w:val="000000"/>
              </w:rPr>
              <w:t>43</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4.10.</w:t>
            </w:r>
          </w:p>
        </w:tc>
        <w:tc>
          <w:tcPr>
            <w:tcW w:w="9063" w:type="dxa"/>
            <w:tcBorders/>
            <w:vAlign w:val="center"/>
          </w:tcPr>
          <w:p>
            <w:pPr>
              <w:pStyle w:val="TableContents"/>
              <w:bidi w:val="0"/>
              <w:spacing w:before="0" w:after="0"/>
              <w:jc w:val="left"/>
              <w:rPr>
                <w:color w:val="000000"/>
              </w:rPr>
            </w:pPr>
            <w:r>
              <w:rPr>
                <w:color w:val="000000"/>
              </w:rPr>
              <w:t>Employee Benefits</w:t>
            </w:r>
          </w:p>
        </w:tc>
        <w:tc>
          <w:tcPr>
            <w:tcW w:w="516" w:type="dxa"/>
            <w:tcBorders/>
            <w:vAlign w:val="center"/>
          </w:tcPr>
          <w:p>
            <w:pPr>
              <w:pStyle w:val="TableContents"/>
              <w:bidi w:val="0"/>
              <w:spacing w:before="0" w:after="0"/>
              <w:jc w:val="right"/>
              <w:rPr>
                <w:color w:val="000000"/>
              </w:rPr>
            </w:pPr>
            <w:r>
              <w:rPr>
                <w:color w:val="000000"/>
              </w:rPr>
              <w:t>43</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4.11.</w:t>
            </w:r>
          </w:p>
        </w:tc>
        <w:tc>
          <w:tcPr>
            <w:tcW w:w="9063" w:type="dxa"/>
            <w:tcBorders/>
            <w:shd w:fill="CCEEFF" w:val="clear"/>
            <w:vAlign w:val="center"/>
          </w:tcPr>
          <w:p>
            <w:pPr>
              <w:pStyle w:val="TableContents"/>
              <w:bidi w:val="0"/>
              <w:spacing w:before="0" w:after="0"/>
              <w:jc w:val="left"/>
              <w:rPr>
                <w:color w:val="000000"/>
              </w:rPr>
            </w:pPr>
            <w:r>
              <w:rPr>
                <w:color w:val="000000"/>
              </w:rPr>
              <w:t>Labor Matters</w:t>
            </w:r>
          </w:p>
        </w:tc>
        <w:tc>
          <w:tcPr>
            <w:tcW w:w="516" w:type="dxa"/>
            <w:tcBorders/>
            <w:shd w:fill="CCEEFF" w:val="clear"/>
            <w:vAlign w:val="center"/>
          </w:tcPr>
          <w:p>
            <w:pPr>
              <w:pStyle w:val="TableContents"/>
              <w:bidi w:val="0"/>
              <w:spacing w:before="0" w:after="0"/>
              <w:jc w:val="right"/>
              <w:rPr>
                <w:color w:val="000000"/>
              </w:rPr>
            </w:pPr>
            <w:r>
              <w:rPr>
                <w:color w:val="000000"/>
              </w:rPr>
              <w:t>46</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4.12.</w:t>
            </w:r>
          </w:p>
        </w:tc>
        <w:tc>
          <w:tcPr>
            <w:tcW w:w="9063" w:type="dxa"/>
            <w:tcBorders/>
            <w:vAlign w:val="center"/>
          </w:tcPr>
          <w:p>
            <w:pPr>
              <w:pStyle w:val="TableContents"/>
              <w:bidi w:val="0"/>
              <w:spacing w:before="0" w:after="0"/>
              <w:jc w:val="left"/>
              <w:rPr>
                <w:color w:val="000000"/>
              </w:rPr>
            </w:pPr>
            <w:r>
              <w:rPr>
                <w:color w:val="000000"/>
              </w:rPr>
              <w:t>Taxes</w:t>
            </w:r>
          </w:p>
        </w:tc>
        <w:tc>
          <w:tcPr>
            <w:tcW w:w="516" w:type="dxa"/>
            <w:tcBorders/>
            <w:vAlign w:val="center"/>
          </w:tcPr>
          <w:p>
            <w:pPr>
              <w:pStyle w:val="TableContents"/>
              <w:bidi w:val="0"/>
              <w:spacing w:before="0" w:after="0"/>
              <w:jc w:val="right"/>
              <w:rPr>
                <w:color w:val="000000"/>
              </w:rPr>
            </w:pPr>
            <w:r>
              <w:rPr>
                <w:color w:val="000000"/>
              </w:rPr>
              <w:t>46</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4.13.</w:t>
            </w:r>
          </w:p>
        </w:tc>
        <w:tc>
          <w:tcPr>
            <w:tcW w:w="9063" w:type="dxa"/>
            <w:tcBorders/>
            <w:shd w:fill="CCEEFF" w:val="clear"/>
            <w:vAlign w:val="center"/>
          </w:tcPr>
          <w:p>
            <w:pPr>
              <w:pStyle w:val="TableContents"/>
              <w:bidi w:val="0"/>
              <w:spacing w:before="0" w:after="0"/>
              <w:jc w:val="left"/>
              <w:rPr>
                <w:color w:val="000000"/>
              </w:rPr>
            </w:pPr>
            <w:r>
              <w:rPr>
                <w:color w:val="000000"/>
              </w:rPr>
              <w:t>Litigation</w:t>
            </w:r>
          </w:p>
        </w:tc>
        <w:tc>
          <w:tcPr>
            <w:tcW w:w="516" w:type="dxa"/>
            <w:tcBorders/>
            <w:shd w:fill="CCEEFF" w:val="clear"/>
            <w:vAlign w:val="center"/>
          </w:tcPr>
          <w:p>
            <w:pPr>
              <w:pStyle w:val="TableContents"/>
              <w:bidi w:val="0"/>
              <w:spacing w:before="0" w:after="0"/>
              <w:jc w:val="right"/>
              <w:rPr>
                <w:color w:val="000000"/>
              </w:rPr>
            </w:pPr>
            <w:r>
              <w:rPr>
                <w:color w:val="000000"/>
              </w:rPr>
              <w:t>50</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4.14.</w:t>
            </w:r>
          </w:p>
        </w:tc>
        <w:tc>
          <w:tcPr>
            <w:tcW w:w="9063" w:type="dxa"/>
            <w:tcBorders/>
            <w:vAlign w:val="center"/>
          </w:tcPr>
          <w:p>
            <w:pPr>
              <w:pStyle w:val="TableContents"/>
              <w:bidi w:val="0"/>
              <w:spacing w:before="0" w:after="0"/>
              <w:jc w:val="left"/>
              <w:rPr>
                <w:color w:val="000000"/>
              </w:rPr>
            </w:pPr>
            <w:r>
              <w:rPr>
                <w:color w:val="000000"/>
              </w:rPr>
              <w:t>Compliance with Laws; Permits</w:t>
            </w:r>
          </w:p>
        </w:tc>
        <w:tc>
          <w:tcPr>
            <w:tcW w:w="516" w:type="dxa"/>
            <w:tcBorders/>
            <w:vAlign w:val="center"/>
          </w:tcPr>
          <w:p>
            <w:pPr>
              <w:pStyle w:val="TableContents"/>
              <w:bidi w:val="0"/>
              <w:spacing w:before="0" w:after="0"/>
              <w:jc w:val="right"/>
              <w:rPr>
                <w:color w:val="000000"/>
              </w:rPr>
            </w:pPr>
            <w:r>
              <w:rPr>
                <w:color w:val="000000"/>
              </w:rPr>
              <w:t>50</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4.15.</w:t>
            </w:r>
          </w:p>
        </w:tc>
        <w:tc>
          <w:tcPr>
            <w:tcW w:w="9063" w:type="dxa"/>
            <w:tcBorders/>
            <w:shd w:fill="CCEEFF" w:val="clear"/>
            <w:vAlign w:val="center"/>
          </w:tcPr>
          <w:p>
            <w:pPr>
              <w:pStyle w:val="TableContents"/>
              <w:bidi w:val="0"/>
              <w:spacing w:before="0" w:after="0"/>
              <w:jc w:val="left"/>
              <w:rPr>
                <w:color w:val="000000"/>
              </w:rPr>
            </w:pPr>
            <w:r>
              <w:rPr>
                <w:color w:val="000000"/>
              </w:rPr>
              <w:t>Absence of Changes</w:t>
            </w:r>
          </w:p>
        </w:tc>
        <w:tc>
          <w:tcPr>
            <w:tcW w:w="516" w:type="dxa"/>
            <w:tcBorders/>
            <w:shd w:fill="CCEEFF" w:val="clear"/>
            <w:vAlign w:val="center"/>
          </w:tcPr>
          <w:p>
            <w:pPr>
              <w:pStyle w:val="TableContents"/>
              <w:bidi w:val="0"/>
              <w:spacing w:before="0" w:after="0"/>
              <w:jc w:val="right"/>
              <w:rPr>
                <w:color w:val="000000"/>
              </w:rPr>
            </w:pPr>
            <w:r>
              <w:rPr>
                <w:color w:val="000000"/>
              </w:rPr>
              <w:t>51</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4.16.</w:t>
            </w:r>
          </w:p>
        </w:tc>
        <w:tc>
          <w:tcPr>
            <w:tcW w:w="9063" w:type="dxa"/>
            <w:tcBorders/>
            <w:vAlign w:val="center"/>
          </w:tcPr>
          <w:p>
            <w:pPr>
              <w:pStyle w:val="TableContents"/>
              <w:bidi w:val="0"/>
              <w:spacing w:before="0" w:after="0"/>
              <w:jc w:val="left"/>
              <w:rPr>
                <w:color w:val="000000"/>
              </w:rPr>
            </w:pPr>
            <w:r>
              <w:rPr>
                <w:color w:val="000000"/>
              </w:rPr>
              <w:t>Real Property</w:t>
            </w:r>
          </w:p>
        </w:tc>
        <w:tc>
          <w:tcPr>
            <w:tcW w:w="516" w:type="dxa"/>
            <w:tcBorders/>
            <w:vAlign w:val="center"/>
          </w:tcPr>
          <w:p>
            <w:pPr>
              <w:pStyle w:val="TableContents"/>
              <w:bidi w:val="0"/>
              <w:spacing w:before="0" w:after="0"/>
              <w:jc w:val="right"/>
              <w:rPr>
                <w:color w:val="000000"/>
              </w:rPr>
            </w:pPr>
            <w:r>
              <w:rPr>
                <w:color w:val="000000"/>
              </w:rPr>
              <w:t>51</w:t>
            </w:r>
          </w:p>
        </w:tc>
      </w:tr>
      <w:tr>
        <w:trPr/>
        <w:tc>
          <w:tcPr>
            <w:tcW w:w="67"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0"/>
              <w:jc w:val="left"/>
              <w:rPr>
                <w:color w:val="000000"/>
              </w:rPr>
            </w:pPr>
            <w:r>
              <w:rPr>
                <w:color w:val="000000"/>
              </w:rPr>
              <w:t>4.17.</w:t>
            </w:r>
          </w:p>
        </w:tc>
        <w:tc>
          <w:tcPr>
            <w:tcW w:w="9063" w:type="dxa"/>
            <w:tcBorders/>
            <w:shd w:fill="CCEEFF" w:val="clear"/>
            <w:vAlign w:val="center"/>
          </w:tcPr>
          <w:p>
            <w:pPr>
              <w:pStyle w:val="TableContents"/>
              <w:bidi w:val="0"/>
              <w:spacing w:before="0" w:after="0"/>
              <w:jc w:val="left"/>
              <w:rPr>
                <w:color w:val="000000"/>
              </w:rPr>
            </w:pPr>
            <w:r>
              <w:rPr>
                <w:color w:val="000000"/>
              </w:rPr>
              <w:t>Related Party Transactions</w:t>
            </w:r>
          </w:p>
        </w:tc>
        <w:tc>
          <w:tcPr>
            <w:tcW w:w="516" w:type="dxa"/>
            <w:tcBorders/>
            <w:shd w:fill="CCEEFF" w:val="clear"/>
            <w:vAlign w:val="center"/>
          </w:tcPr>
          <w:p>
            <w:pPr>
              <w:pStyle w:val="TableContents"/>
              <w:bidi w:val="0"/>
              <w:spacing w:before="0" w:after="0"/>
              <w:jc w:val="right"/>
              <w:rPr>
                <w:color w:val="000000"/>
              </w:rPr>
            </w:pPr>
            <w:r>
              <w:rPr>
                <w:color w:val="000000"/>
              </w:rPr>
              <w:t>52</w:t>
            </w:r>
          </w:p>
        </w:tc>
      </w:tr>
      <w:tr>
        <w:trPr/>
        <w:tc>
          <w:tcPr>
            <w:tcW w:w="67"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0"/>
              <w:jc w:val="left"/>
              <w:rPr>
                <w:color w:val="000000"/>
              </w:rPr>
            </w:pPr>
            <w:r>
              <w:rPr>
                <w:color w:val="000000"/>
              </w:rPr>
              <w:t>4.18.</w:t>
            </w:r>
          </w:p>
        </w:tc>
        <w:tc>
          <w:tcPr>
            <w:tcW w:w="9063" w:type="dxa"/>
            <w:tcBorders/>
            <w:vAlign w:val="center"/>
          </w:tcPr>
          <w:p>
            <w:pPr>
              <w:pStyle w:val="TableContents"/>
              <w:bidi w:val="0"/>
              <w:spacing w:before="0" w:after="0"/>
              <w:jc w:val="left"/>
              <w:rPr>
                <w:color w:val="000000"/>
              </w:rPr>
            </w:pPr>
            <w:r>
              <w:rPr>
                <w:color w:val="000000"/>
              </w:rPr>
              <w:t>Brokers and Finders</w:t>
            </w:r>
          </w:p>
        </w:tc>
        <w:tc>
          <w:tcPr>
            <w:tcW w:w="516" w:type="dxa"/>
            <w:tcBorders/>
            <w:vAlign w:val="center"/>
          </w:tcPr>
          <w:p>
            <w:pPr>
              <w:pStyle w:val="TableContents"/>
              <w:bidi w:val="0"/>
              <w:spacing w:before="0" w:after="0"/>
              <w:jc w:val="right"/>
              <w:rPr>
                <w:color w:val="000000"/>
              </w:rPr>
            </w:pPr>
            <w:r>
              <w:rPr>
                <w:color w:val="000000"/>
              </w:rPr>
              <w:t>52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 w:name="z3663233c0d2b48c9980737466324d459"/>
      <w:bookmarkStart w:id="7" w:name="z3663233c0d2b48c9980737466324d459"/>
      <w:bookmarkEnd w:id="7"/>
    </w:p>
    <w:tbl>
      <w:tblPr>
        <w:tblW w:w="10205" w:type="dxa"/>
        <w:jc w:val="left"/>
        <w:tblInd w:w="0" w:type="dxa"/>
        <w:tblLayout w:type="fixed"/>
        <w:tblCellMar>
          <w:top w:w="0" w:type="dxa"/>
          <w:left w:w="0" w:type="dxa"/>
          <w:bottom w:w="0" w:type="dxa"/>
          <w:right w:w="0" w:type="dxa"/>
        </w:tblCellMar>
      </w:tblPr>
      <w:tblGrid>
        <w:gridCol w:w="86"/>
        <w:gridCol w:w="577"/>
        <w:gridCol w:w="9266"/>
        <w:gridCol w:w="276"/>
      </w:tblGrid>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4.19.</w:t>
            </w:r>
          </w:p>
        </w:tc>
        <w:tc>
          <w:tcPr>
            <w:tcW w:w="9266" w:type="dxa"/>
            <w:tcBorders/>
            <w:shd w:fill="CCEEFF" w:val="clear"/>
            <w:vAlign w:val="center"/>
          </w:tcPr>
          <w:p>
            <w:pPr>
              <w:pStyle w:val="TableContents"/>
              <w:bidi w:val="0"/>
              <w:spacing w:before="0" w:after="0"/>
              <w:jc w:val="left"/>
              <w:rPr>
                <w:color w:val="000000"/>
              </w:rPr>
            </w:pPr>
            <w:r>
              <w:rPr>
                <w:color w:val="000000"/>
              </w:rPr>
              <w:t>Opinion of Financial Advisor</w:t>
            </w:r>
          </w:p>
        </w:tc>
        <w:tc>
          <w:tcPr>
            <w:tcW w:w="276" w:type="dxa"/>
            <w:tcBorders/>
            <w:shd w:fill="CCEEFF" w:val="clear"/>
            <w:vAlign w:val="center"/>
          </w:tcPr>
          <w:p>
            <w:pPr>
              <w:pStyle w:val="TableContents"/>
              <w:bidi w:val="0"/>
              <w:spacing w:before="0" w:after="0"/>
              <w:jc w:val="right"/>
              <w:rPr>
                <w:color w:val="000000"/>
              </w:rPr>
            </w:pPr>
            <w:r>
              <w:rPr>
                <w:color w:val="000000"/>
              </w:rPr>
              <w:t>52</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4.20.</w:t>
            </w:r>
          </w:p>
        </w:tc>
        <w:tc>
          <w:tcPr>
            <w:tcW w:w="9266" w:type="dxa"/>
            <w:tcBorders/>
            <w:vAlign w:val="center"/>
          </w:tcPr>
          <w:p>
            <w:pPr>
              <w:pStyle w:val="TableContents"/>
              <w:bidi w:val="0"/>
              <w:spacing w:before="0" w:after="0"/>
              <w:jc w:val="left"/>
              <w:rPr>
                <w:color w:val="000000"/>
              </w:rPr>
            </w:pPr>
            <w:r>
              <w:rPr>
                <w:color w:val="000000"/>
              </w:rPr>
              <w:t>No Additional Representations</w:t>
            </w:r>
          </w:p>
        </w:tc>
        <w:tc>
          <w:tcPr>
            <w:tcW w:w="276" w:type="dxa"/>
            <w:tcBorders/>
            <w:vAlign w:val="center"/>
          </w:tcPr>
          <w:p>
            <w:pPr>
              <w:pStyle w:val="TableContents"/>
              <w:bidi w:val="0"/>
              <w:spacing w:before="0" w:after="0"/>
              <w:jc w:val="right"/>
              <w:rPr>
                <w:color w:val="000000"/>
              </w:rPr>
            </w:pPr>
            <w:r>
              <w:rPr>
                <w:color w:val="000000"/>
              </w:rPr>
              <w:t>53</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926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 </w:t>
            </w:r>
          </w:p>
        </w:tc>
      </w:tr>
      <w:tr>
        <w:trPr/>
        <w:tc>
          <w:tcPr>
            <w:tcW w:w="9929" w:type="dxa"/>
            <w:gridSpan w:val="3"/>
            <w:tcBorders/>
            <w:vAlign w:val="center"/>
          </w:tcPr>
          <w:p>
            <w:pPr>
              <w:pStyle w:val="TableContents"/>
              <w:bidi w:val="0"/>
              <w:spacing w:before="0" w:after="0"/>
              <w:jc w:val="left"/>
              <w:rPr/>
            </w:pPr>
            <w:r>
              <w:rPr/>
              <w:t>ARTICLE V REPRESENTATIONS AND WARRANTIES OF PARENT, MERGER SUB AND PARENT MANAGER</w:t>
            </w:r>
          </w:p>
        </w:tc>
        <w:tc>
          <w:tcPr>
            <w:tcW w:w="276" w:type="dxa"/>
            <w:tcBorders/>
            <w:vAlign w:val="center"/>
          </w:tcPr>
          <w:p>
            <w:pPr>
              <w:pStyle w:val="TableContents"/>
              <w:bidi w:val="0"/>
              <w:spacing w:before="0" w:after="0"/>
              <w:jc w:val="right"/>
              <w:rPr/>
            </w:pPr>
            <w:r>
              <w:rPr/>
              <w:t>53</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926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 </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5.1.</w:t>
            </w:r>
          </w:p>
        </w:tc>
        <w:tc>
          <w:tcPr>
            <w:tcW w:w="9266" w:type="dxa"/>
            <w:tcBorders/>
            <w:vAlign w:val="center"/>
          </w:tcPr>
          <w:p>
            <w:pPr>
              <w:pStyle w:val="TableContents"/>
              <w:bidi w:val="0"/>
              <w:spacing w:before="0" w:after="0"/>
              <w:jc w:val="left"/>
              <w:rPr>
                <w:color w:val="000000"/>
              </w:rPr>
            </w:pPr>
            <w:r>
              <w:rPr>
                <w:color w:val="000000"/>
              </w:rPr>
              <w:t>Due Incorporation; Capitalization</w:t>
            </w:r>
          </w:p>
        </w:tc>
        <w:tc>
          <w:tcPr>
            <w:tcW w:w="276" w:type="dxa"/>
            <w:tcBorders/>
            <w:vAlign w:val="center"/>
          </w:tcPr>
          <w:p>
            <w:pPr>
              <w:pStyle w:val="TableContents"/>
              <w:bidi w:val="0"/>
              <w:spacing w:before="0" w:after="0"/>
              <w:jc w:val="right"/>
              <w:rPr>
                <w:color w:val="000000"/>
              </w:rPr>
            </w:pPr>
            <w:r>
              <w:rPr>
                <w:color w:val="000000"/>
              </w:rPr>
              <w:t>54</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5.2.</w:t>
            </w:r>
          </w:p>
        </w:tc>
        <w:tc>
          <w:tcPr>
            <w:tcW w:w="9266" w:type="dxa"/>
            <w:tcBorders/>
            <w:shd w:fill="CCEEFF" w:val="clear"/>
            <w:vAlign w:val="center"/>
          </w:tcPr>
          <w:p>
            <w:pPr>
              <w:pStyle w:val="TableContents"/>
              <w:bidi w:val="0"/>
              <w:spacing w:before="0" w:after="0"/>
              <w:jc w:val="left"/>
              <w:rPr>
                <w:color w:val="000000"/>
              </w:rPr>
            </w:pPr>
            <w:r>
              <w:rPr>
                <w:color w:val="000000"/>
              </w:rPr>
              <w:t>Due Authorization</w:t>
            </w:r>
          </w:p>
        </w:tc>
        <w:tc>
          <w:tcPr>
            <w:tcW w:w="276" w:type="dxa"/>
            <w:tcBorders/>
            <w:shd w:fill="CCEEFF" w:val="clear"/>
            <w:vAlign w:val="center"/>
          </w:tcPr>
          <w:p>
            <w:pPr>
              <w:pStyle w:val="TableContents"/>
              <w:bidi w:val="0"/>
              <w:spacing w:before="0" w:after="0"/>
              <w:jc w:val="right"/>
              <w:rPr>
                <w:color w:val="000000"/>
              </w:rPr>
            </w:pPr>
            <w:r>
              <w:rPr>
                <w:color w:val="000000"/>
              </w:rPr>
              <w:t>55</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5.3.</w:t>
            </w:r>
          </w:p>
        </w:tc>
        <w:tc>
          <w:tcPr>
            <w:tcW w:w="9266" w:type="dxa"/>
            <w:tcBorders/>
            <w:vAlign w:val="center"/>
          </w:tcPr>
          <w:p>
            <w:pPr>
              <w:pStyle w:val="TableContents"/>
              <w:bidi w:val="0"/>
              <w:spacing w:before="0" w:after="0"/>
              <w:jc w:val="left"/>
              <w:rPr>
                <w:color w:val="000000"/>
              </w:rPr>
            </w:pPr>
            <w:r>
              <w:rPr>
                <w:color w:val="000000"/>
              </w:rPr>
              <w:t>Consents and Approvals; No Violations</w:t>
            </w:r>
          </w:p>
        </w:tc>
        <w:tc>
          <w:tcPr>
            <w:tcW w:w="276" w:type="dxa"/>
            <w:tcBorders/>
            <w:vAlign w:val="center"/>
          </w:tcPr>
          <w:p>
            <w:pPr>
              <w:pStyle w:val="TableContents"/>
              <w:bidi w:val="0"/>
              <w:spacing w:before="0" w:after="0"/>
              <w:jc w:val="right"/>
              <w:rPr>
                <w:color w:val="000000"/>
              </w:rPr>
            </w:pPr>
            <w:r>
              <w:rPr>
                <w:color w:val="000000"/>
              </w:rPr>
              <w:t>56</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5.4.</w:t>
            </w:r>
          </w:p>
        </w:tc>
        <w:tc>
          <w:tcPr>
            <w:tcW w:w="9266" w:type="dxa"/>
            <w:tcBorders/>
            <w:shd w:fill="CCEEFF" w:val="clear"/>
            <w:vAlign w:val="center"/>
          </w:tcPr>
          <w:p>
            <w:pPr>
              <w:pStyle w:val="TableContents"/>
              <w:bidi w:val="0"/>
              <w:spacing w:before="0" w:after="0"/>
              <w:jc w:val="left"/>
              <w:rPr>
                <w:color w:val="000000"/>
              </w:rPr>
            </w:pPr>
            <w:r>
              <w:rPr>
                <w:color w:val="000000"/>
              </w:rPr>
              <w:t>Financial Statements; Internal Controls and Procedures; Investment Company Act</w:t>
            </w:r>
          </w:p>
        </w:tc>
        <w:tc>
          <w:tcPr>
            <w:tcW w:w="276" w:type="dxa"/>
            <w:tcBorders/>
            <w:shd w:fill="CCEEFF" w:val="clear"/>
            <w:vAlign w:val="center"/>
          </w:tcPr>
          <w:p>
            <w:pPr>
              <w:pStyle w:val="TableContents"/>
              <w:bidi w:val="0"/>
              <w:spacing w:before="0" w:after="0"/>
              <w:jc w:val="right"/>
              <w:rPr>
                <w:color w:val="000000"/>
              </w:rPr>
            </w:pPr>
            <w:r>
              <w:rPr>
                <w:color w:val="000000"/>
              </w:rPr>
              <w:t>57</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5.5.</w:t>
            </w:r>
          </w:p>
        </w:tc>
        <w:tc>
          <w:tcPr>
            <w:tcW w:w="9266" w:type="dxa"/>
            <w:tcBorders/>
            <w:vAlign w:val="center"/>
          </w:tcPr>
          <w:p>
            <w:pPr>
              <w:pStyle w:val="TableContents"/>
              <w:bidi w:val="0"/>
              <w:spacing w:before="0" w:after="0"/>
              <w:jc w:val="left"/>
              <w:rPr>
                <w:color w:val="000000"/>
              </w:rPr>
            </w:pPr>
            <w:r>
              <w:rPr>
                <w:color w:val="000000"/>
              </w:rPr>
              <w:t>Proxy Statement/Prospectus; Parent, Merger Sub and Parent Manager Information</w:t>
            </w:r>
          </w:p>
        </w:tc>
        <w:tc>
          <w:tcPr>
            <w:tcW w:w="276" w:type="dxa"/>
            <w:tcBorders/>
            <w:vAlign w:val="center"/>
          </w:tcPr>
          <w:p>
            <w:pPr>
              <w:pStyle w:val="TableContents"/>
              <w:bidi w:val="0"/>
              <w:spacing w:before="0" w:after="0"/>
              <w:jc w:val="right"/>
              <w:rPr>
                <w:color w:val="000000"/>
              </w:rPr>
            </w:pPr>
            <w:r>
              <w:rPr>
                <w:color w:val="000000"/>
              </w:rPr>
              <w:t>58</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5.6.</w:t>
            </w:r>
          </w:p>
        </w:tc>
        <w:tc>
          <w:tcPr>
            <w:tcW w:w="9266" w:type="dxa"/>
            <w:tcBorders/>
            <w:shd w:fill="CCEEFF" w:val="clear"/>
            <w:vAlign w:val="center"/>
          </w:tcPr>
          <w:p>
            <w:pPr>
              <w:pStyle w:val="TableContents"/>
              <w:bidi w:val="0"/>
              <w:spacing w:before="0" w:after="0"/>
              <w:jc w:val="left"/>
              <w:rPr>
                <w:color w:val="000000"/>
              </w:rPr>
            </w:pPr>
            <w:r>
              <w:rPr>
                <w:color w:val="000000"/>
              </w:rPr>
              <w:t>No Undisclosed Liabilities</w:t>
            </w:r>
          </w:p>
        </w:tc>
        <w:tc>
          <w:tcPr>
            <w:tcW w:w="276" w:type="dxa"/>
            <w:tcBorders/>
            <w:shd w:fill="CCEEFF" w:val="clear"/>
            <w:vAlign w:val="center"/>
          </w:tcPr>
          <w:p>
            <w:pPr>
              <w:pStyle w:val="TableContents"/>
              <w:bidi w:val="0"/>
              <w:spacing w:before="0" w:after="0"/>
              <w:jc w:val="right"/>
              <w:rPr>
                <w:color w:val="000000"/>
              </w:rPr>
            </w:pPr>
            <w:r>
              <w:rPr>
                <w:color w:val="000000"/>
              </w:rPr>
              <w:t>59</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5.7.</w:t>
            </w:r>
          </w:p>
        </w:tc>
        <w:tc>
          <w:tcPr>
            <w:tcW w:w="9266" w:type="dxa"/>
            <w:tcBorders/>
            <w:vAlign w:val="center"/>
          </w:tcPr>
          <w:p>
            <w:pPr>
              <w:pStyle w:val="TableContents"/>
              <w:bidi w:val="0"/>
              <w:spacing w:before="0" w:after="0"/>
              <w:jc w:val="left"/>
              <w:rPr>
                <w:color w:val="000000"/>
              </w:rPr>
            </w:pPr>
            <w:r>
              <w:rPr>
                <w:color w:val="000000"/>
              </w:rPr>
              <w:t>Taxes</w:t>
            </w:r>
          </w:p>
        </w:tc>
        <w:tc>
          <w:tcPr>
            <w:tcW w:w="276" w:type="dxa"/>
            <w:tcBorders/>
            <w:vAlign w:val="center"/>
          </w:tcPr>
          <w:p>
            <w:pPr>
              <w:pStyle w:val="TableContents"/>
              <w:bidi w:val="0"/>
              <w:spacing w:before="0" w:after="0"/>
              <w:jc w:val="right"/>
              <w:rPr>
                <w:color w:val="000000"/>
              </w:rPr>
            </w:pPr>
            <w:r>
              <w:rPr>
                <w:color w:val="000000"/>
              </w:rPr>
              <w:t>59</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5.8.</w:t>
            </w:r>
          </w:p>
        </w:tc>
        <w:tc>
          <w:tcPr>
            <w:tcW w:w="9266" w:type="dxa"/>
            <w:tcBorders/>
            <w:shd w:fill="CCEEFF" w:val="clear"/>
            <w:vAlign w:val="center"/>
          </w:tcPr>
          <w:p>
            <w:pPr>
              <w:pStyle w:val="TableContents"/>
              <w:bidi w:val="0"/>
              <w:spacing w:before="0" w:after="0"/>
              <w:jc w:val="left"/>
              <w:rPr>
                <w:color w:val="000000"/>
              </w:rPr>
            </w:pPr>
            <w:r>
              <w:rPr>
                <w:color w:val="000000"/>
              </w:rPr>
              <w:t>Contracts</w:t>
            </w:r>
          </w:p>
        </w:tc>
        <w:tc>
          <w:tcPr>
            <w:tcW w:w="276" w:type="dxa"/>
            <w:tcBorders/>
            <w:shd w:fill="CCEEFF" w:val="clear"/>
            <w:vAlign w:val="center"/>
          </w:tcPr>
          <w:p>
            <w:pPr>
              <w:pStyle w:val="TableContents"/>
              <w:bidi w:val="0"/>
              <w:spacing w:before="0" w:after="0"/>
              <w:jc w:val="right"/>
              <w:rPr>
                <w:color w:val="000000"/>
              </w:rPr>
            </w:pPr>
            <w:r>
              <w:rPr>
                <w:color w:val="000000"/>
              </w:rPr>
              <w:t>62</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5.9.</w:t>
            </w:r>
          </w:p>
        </w:tc>
        <w:tc>
          <w:tcPr>
            <w:tcW w:w="9266" w:type="dxa"/>
            <w:tcBorders/>
            <w:vAlign w:val="center"/>
          </w:tcPr>
          <w:p>
            <w:pPr>
              <w:pStyle w:val="TableContents"/>
              <w:bidi w:val="0"/>
              <w:spacing w:before="0" w:after="0"/>
              <w:jc w:val="left"/>
              <w:rPr>
                <w:color w:val="000000"/>
              </w:rPr>
            </w:pPr>
            <w:r>
              <w:rPr>
                <w:color w:val="000000"/>
              </w:rPr>
              <w:t>Litigation</w:t>
            </w:r>
          </w:p>
        </w:tc>
        <w:tc>
          <w:tcPr>
            <w:tcW w:w="276" w:type="dxa"/>
            <w:tcBorders/>
            <w:vAlign w:val="center"/>
          </w:tcPr>
          <w:p>
            <w:pPr>
              <w:pStyle w:val="TableContents"/>
              <w:bidi w:val="0"/>
              <w:spacing w:before="0" w:after="0"/>
              <w:jc w:val="right"/>
              <w:rPr>
                <w:color w:val="000000"/>
              </w:rPr>
            </w:pPr>
            <w:r>
              <w:rPr>
                <w:color w:val="000000"/>
              </w:rPr>
              <w:t>63</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5.10.</w:t>
            </w:r>
          </w:p>
        </w:tc>
        <w:tc>
          <w:tcPr>
            <w:tcW w:w="9266" w:type="dxa"/>
            <w:tcBorders/>
            <w:shd w:fill="CCEEFF" w:val="clear"/>
            <w:vAlign w:val="center"/>
          </w:tcPr>
          <w:p>
            <w:pPr>
              <w:pStyle w:val="TableContents"/>
              <w:bidi w:val="0"/>
              <w:spacing w:before="0" w:after="0"/>
              <w:jc w:val="left"/>
              <w:rPr>
                <w:color w:val="000000"/>
              </w:rPr>
            </w:pPr>
            <w:r>
              <w:rPr>
                <w:color w:val="000000"/>
              </w:rPr>
              <w:t>Compliance with Laws; Permits</w:t>
            </w:r>
          </w:p>
        </w:tc>
        <w:tc>
          <w:tcPr>
            <w:tcW w:w="276" w:type="dxa"/>
            <w:tcBorders/>
            <w:shd w:fill="CCEEFF" w:val="clear"/>
            <w:vAlign w:val="center"/>
          </w:tcPr>
          <w:p>
            <w:pPr>
              <w:pStyle w:val="TableContents"/>
              <w:bidi w:val="0"/>
              <w:spacing w:before="0" w:after="0"/>
              <w:jc w:val="right"/>
              <w:rPr>
                <w:color w:val="000000"/>
              </w:rPr>
            </w:pPr>
            <w:r>
              <w:rPr>
                <w:color w:val="000000"/>
              </w:rPr>
              <w:t>63</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5.11.</w:t>
            </w:r>
          </w:p>
        </w:tc>
        <w:tc>
          <w:tcPr>
            <w:tcW w:w="9266" w:type="dxa"/>
            <w:tcBorders/>
            <w:vAlign w:val="center"/>
          </w:tcPr>
          <w:p>
            <w:pPr>
              <w:pStyle w:val="TableContents"/>
              <w:bidi w:val="0"/>
              <w:spacing w:before="0" w:after="0"/>
              <w:jc w:val="left"/>
              <w:rPr>
                <w:color w:val="000000"/>
              </w:rPr>
            </w:pPr>
            <w:r>
              <w:rPr>
                <w:color w:val="000000"/>
              </w:rPr>
              <w:t>Compensation; Benefits</w:t>
            </w:r>
          </w:p>
        </w:tc>
        <w:tc>
          <w:tcPr>
            <w:tcW w:w="276" w:type="dxa"/>
            <w:tcBorders/>
            <w:vAlign w:val="center"/>
          </w:tcPr>
          <w:p>
            <w:pPr>
              <w:pStyle w:val="TableContents"/>
              <w:bidi w:val="0"/>
              <w:spacing w:before="0" w:after="0"/>
              <w:jc w:val="right"/>
              <w:rPr>
                <w:color w:val="000000"/>
              </w:rPr>
            </w:pPr>
            <w:r>
              <w:rPr>
                <w:color w:val="000000"/>
              </w:rPr>
              <w:t>64</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5.12.</w:t>
            </w:r>
          </w:p>
        </w:tc>
        <w:tc>
          <w:tcPr>
            <w:tcW w:w="9266" w:type="dxa"/>
            <w:tcBorders/>
            <w:shd w:fill="CCEEFF" w:val="clear"/>
            <w:vAlign w:val="center"/>
          </w:tcPr>
          <w:p>
            <w:pPr>
              <w:pStyle w:val="TableContents"/>
              <w:bidi w:val="0"/>
              <w:spacing w:before="0" w:after="0"/>
              <w:jc w:val="left"/>
              <w:rPr>
                <w:color w:val="000000"/>
              </w:rPr>
            </w:pPr>
            <w:r>
              <w:rPr>
                <w:color w:val="000000"/>
              </w:rPr>
              <w:t>Absence of Changes</w:t>
            </w:r>
          </w:p>
        </w:tc>
        <w:tc>
          <w:tcPr>
            <w:tcW w:w="276" w:type="dxa"/>
            <w:tcBorders/>
            <w:shd w:fill="CCEEFF" w:val="clear"/>
            <w:vAlign w:val="center"/>
          </w:tcPr>
          <w:p>
            <w:pPr>
              <w:pStyle w:val="TableContents"/>
              <w:bidi w:val="0"/>
              <w:spacing w:before="0" w:after="0"/>
              <w:jc w:val="right"/>
              <w:rPr>
                <w:color w:val="000000"/>
              </w:rPr>
            </w:pPr>
            <w:r>
              <w:rPr>
                <w:color w:val="000000"/>
              </w:rPr>
              <w:t>64</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5.13.</w:t>
            </w:r>
          </w:p>
        </w:tc>
        <w:tc>
          <w:tcPr>
            <w:tcW w:w="9266" w:type="dxa"/>
            <w:tcBorders/>
            <w:vAlign w:val="center"/>
          </w:tcPr>
          <w:p>
            <w:pPr>
              <w:pStyle w:val="TableContents"/>
              <w:bidi w:val="0"/>
              <w:spacing w:before="0" w:after="0"/>
              <w:jc w:val="left"/>
              <w:rPr>
                <w:color w:val="000000"/>
              </w:rPr>
            </w:pPr>
            <w:r>
              <w:rPr>
                <w:color w:val="000000"/>
              </w:rPr>
              <w:t>Operations of Merger Sub</w:t>
            </w:r>
          </w:p>
        </w:tc>
        <w:tc>
          <w:tcPr>
            <w:tcW w:w="276" w:type="dxa"/>
            <w:tcBorders/>
            <w:vAlign w:val="center"/>
          </w:tcPr>
          <w:p>
            <w:pPr>
              <w:pStyle w:val="TableContents"/>
              <w:bidi w:val="0"/>
              <w:spacing w:before="0" w:after="0"/>
              <w:jc w:val="right"/>
              <w:rPr>
                <w:color w:val="000000"/>
              </w:rPr>
            </w:pPr>
            <w:r>
              <w:rPr>
                <w:color w:val="000000"/>
              </w:rPr>
              <w:t>64</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5.14.</w:t>
            </w:r>
          </w:p>
        </w:tc>
        <w:tc>
          <w:tcPr>
            <w:tcW w:w="9266" w:type="dxa"/>
            <w:tcBorders/>
            <w:shd w:fill="CCEEFF" w:val="clear"/>
            <w:vAlign w:val="center"/>
          </w:tcPr>
          <w:p>
            <w:pPr>
              <w:pStyle w:val="TableContents"/>
              <w:bidi w:val="0"/>
              <w:spacing w:before="0" w:after="0"/>
              <w:jc w:val="left"/>
              <w:rPr>
                <w:color w:val="000000"/>
              </w:rPr>
            </w:pPr>
            <w:r>
              <w:rPr>
                <w:color w:val="000000"/>
              </w:rPr>
              <w:t>Ownership of Company Common Stock, Company Preferred Stock or Company Partnership Units</w:t>
            </w:r>
          </w:p>
        </w:tc>
        <w:tc>
          <w:tcPr>
            <w:tcW w:w="276" w:type="dxa"/>
            <w:tcBorders/>
            <w:shd w:fill="CCEEFF" w:val="clear"/>
            <w:vAlign w:val="center"/>
          </w:tcPr>
          <w:p>
            <w:pPr>
              <w:pStyle w:val="TableContents"/>
              <w:bidi w:val="0"/>
              <w:spacing w:before="0" w:after="0"/>
              <w:jc w:val="right"/>
              <w:rPr>
                <w:color w:val="000000"/>
              </w:rPr>
            </w:pPr>
            <w:r>
              <w:rPr>
                <w:color w:val="000000"/>
              </w:rPr>
              <w:t>64</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5.15.</w:t>
            </w:r>
          </w:p>
        </w:tc>
        <w:tc>
          <w:tcPr>
            <w:tcW w:w="9266" w:type="dxa"/>
            <w:tcBorders/>
            <w:vAlign w:val="center"/>
          </w:tcPr>
          <w:p>
            <w:pPr>
              <w:pStyle w:val="TableContents"/>
              <w:bidi w:val="0"/>
              <w:spacing w:before="0" w:after="0"/>
              <w:jc w:val="left"/>
              <w:rPr>
                <w:color w:val="000000"/>
              </w:rPr>
            </w:pPr>
            <w:r>
              <w:rPr>
                <w:color w:val="000000"/>
              </w:rPr>
              <w:t>Available Funds</w:t>
            </w:r>
          </w:p>
        </w:tc>
        <w:tc>
          <w:tcPr>
            <w:tcW w:w="276" w:type="dxa"/>
            <w:tcBorders/>
            <w:vAlign w:val="center"/>
          </w:tcPr>
          <w:p>
            <w:pPr>
              <w:pStyle w:val="TableContents"/>
              <w:bidi w:val="0"/>
              <w:spacing w:before="0" w:after="0"/>
              <w:jc w:val="right"/>
              <w:rPr>
                <w:color w:val="000000"/>
              </w:rPr>
            </w:pPr>
            <w:r>
              <w:rPr>
                <w:color w:val="000000"/>
              </w:rPr>
              <w:t>65</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5.16.</w:t>
            </w:r>
          </w:p>
        </w:tc>
        <w:tc>
          <w:tcPr>
            <w:tcW w:w="9266" w:type="dxa"/>
            <w:tcBorders/>
            <w:shd w:fill="CCEEFF" w:val="clear"/>
            <w:vAlign w:val="center"/>
          </w:tcPr>
          <w:p>
            <w:pPr>
              <w:pStyle w:val="TableContents"/>
              <w:bidi w:val="0"/>
              <w:spacing w:before="0" w:after="0"/>
              <w:jc w:val="left"/>
              <w:rPr>
                <w:color w:val="000000"/>
              </w:rPr>
            </w:pPr>
            <w:r>
              <w:rPr>
                <w:color w:val="000000"/>
              </w:rPr>
              <w:t>Support Agreement</w:t>
            </w:r>
          </w:p>
        </w:tc>
        <w:tc>
          <w:tcPr>
            <w:tcW w:w="276" w:type="dxa"/>
            <w:tcBorders/>
            <w:shd w:fill="CCEEFF" w:val="clear"/>
            <w:vAlign w:val="center"/>
          </w:tcPr>
          <w:p>
            <w:pPr>
              <w:pStyle w:val="TableContents"/>
              <w:bidi w:val="0"/>
              <w:spacing w:before="0" w:after="0"/>
              <w:jc w:val="right"/>
              <w:rPr>
                <w:color w:val="000000"/>
              </w:rPr>
            </w:pPr>
            <w:r>
              <w:rPr>
                <w:color w:val="000000"/>
              </w:rPr>
              <w:t>65</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5.17.</w:t>
            </w:r>
          </w:p>
        </w:tc>
        <w:tc>
          <w:tcPr>
            <w:tcW w:w="9266" w:type="dxa"/>
            <w:tcBorders/>
            <w:vAlign w:val="center"/>
          </w:tcPr>
          <w:p>
            <w:pPr>
              <w:pStyle w:val="TableContents"/>
              <w:bidi w:val="0"/>
              <w:spacing w:before="0" w:after="0"/>
              <w:jc w:val="left"/>
              <w:rPr>
                <w:color w:val="000000"/>
              </w:rPr>
            </w:pPr>
            <w:r>
              <w:rPr>
                <w:color w:val="000000"/>
              </w:rPr>
              <w:t>Brokers and Finders</w:t>
            </w:r>
          </w:p>
        </w:tc>
        <w:tc>
          <w:tcPr>
            <w:tcW w:w="276" w:type="dxa"/>
            <w:tcBorders/>
            <w:vAlign w:val="center"/>
          </w:tcPr>
          <w:p>
            <w:pPr>
              <w:pStyle w:val="TableContents"/>
              <w:bidi w:val="0"/>
              <w:spacing w:before="0" w:after="0"/>
              <w:jc w:val="right"/>
              <w:rPr>
                <w:color w:val="000000"/>
              </w:rPr>
            </w:pPr>
            <w:r>
              <w:rPr>
                <w:color w:val="000000"/>
              </w:rPr>
              <w:t>65</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5.18.</w:t>
            </w:r>
          </w:p>
        </w:tc>
        <w:tc>
          <w:tcPr>
            <w:tcW w:w="9266" w:type="dxa"/>
            <w:tcBorders/>
            <w:shd w:fill="CCEEFF" w:val="clear"/>
            <w:vAlign w:val="center"/>
          </w:tcPr>
          <w:p>
            <w:pPr>
              <w:pStyle w:val="TableContents"/>
              <w:bidi w:val="0"/>
              <w:spacing w:before="0" w:after="0"/>
              <w:jc w:val="left"/>
              <w:rPr>
                <w:color w:val="000000"/>
              </w:rPr>
            </w:pPr>
            <w:r>
              <w:rPr>
                <w:color w:val="000000"/>
              </w:rPr>
              <w:t>Opinion of Financial Advisor</w:t>
            </w:r>
          </w:p>
        </w:tc>
        <w:tc>
          <w:tcPr>
            <w:tcW w:w="276" w:type="dxa"/>
            <w:tcBorders/>
            <w:shd w:fill="CCEEFF" w:val="clear"/>
            <w:vAlign w:val="center"/>
          </w:tcPr>
          <w:p>
            <w:pPr>
              <w:pStyle w:val="TableContents"/>
              <w:bidi w:val="0"/>
              <w:spacing w:before="0" w:after="0"/>
              <w:jc w:val="right"/>
              <w:rPr>
                <w:color w:val="000000"/>
              </w:rPr>
            </w:pPr>
            <w:r>
              <w:rPr>
                <w:color w:val="000000"/>
              </w:rPr>
              <w:t>65</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5.19.</w:t>
            </w:r>
          </w:p>
        </w:tc>
        <w:tc>
          <w:tcPr>
            <w:tcW w:w="9266" w:type="dxa"/>
            <w:tcBorders/>
            <w:vAlign w:val="center"/>
          </w:tcPr>
          <w:p>
            <w:pPr>
              <w:pStyle w:val="TableContents"/>
              <w:bidi w:val="0"/>
              <w:spacing w:before="0" w:after="0"/>
              <w:jc w:val="left"/>
              <w:rPr>
                <w:color w:val="000000"/>
              </w:rPr>
            </w:pPr>
            <w:r>
              <w:rPr>
                <w:color w:val="000000"/>
              </w:rPr>
              <w:t>Investigation; No Other Representations</w:t>
            </w:r>
          </w:p>
        </w:tc>
        <w:tc>
          <w:tcPr>
            <w:tcW w:w="276" w:type="dxa"/>
            <w:tcBorders/>
            <w:vAlign w:val="center"/>
          </w:tcPr>
          <w:p>
            <w:pPr>
              <w:pStyle w:val="TableContents"/>
              <w:bidi w:val="0"/>
              <w:spacing w:before="0" w:after="0"/>
              <w:jc w:val="right"/>
              <w:rPr>
                <w:color w:val="000000"/>
              </w:rPr>
            </w:pPr>
            <w:r>
              <w:rPr>
                <w:color w:val="000000"/>
              </w:rPr>
              <w:t>66</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926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 </w:t>
            </w:r>
          </w:p>
        </w:tc>
      </w:tr>
      <w:tr>
        <w:trPr/>
        <w:tc>
          <w:tcPr>
            <w:tcW w:w="9929" w:type="dxa"/>
            <w:gridSpan w:val="3"/>
            <w:tcBorders/>
            <w:vAlign w:val="center"/>
          </w:tcPr>
          <w:p>
            <w:pPr>
              <w:pStyle w:val="TableContents"/>
              <w:bidi w:val="0"/>
              <w:spacing w:before="0" w:after="0"/>
              <w:jc w:val="left"/>
              <w:rPr/>
            </w:pPr>
            <w:r>
              <w:rPr/>
              <w:t>ARTICLE VI COVENANTS AND AGREEMENTS</w:t>
            </w:r>
          </w:p>
        </w:tc>
        <w:tc>
          <w:tcPr>
            <w:tcW w:w="276" w:type="dxa"/>
            <w:tcBorders/>
            <w:vAlign w:val="center"/>
          </w:tcPr>
          <w:p>
            <w:pPr>
              <w:pStyle w:val="TableContents"/>
              <w:bidi w:val="0"/>
              <w:spacing w:before="0" w:after="0"/>
              <w:jc w:val="right"/>
              <w:rPr/>
            </w:pPr>
            <w:r>
              <w:rPr/>
              <w:t>66</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9266"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right"/>
              <w:rPr/>
            </w:pPr>
            <w:r>
              <w:rPr/>
              <w:t> </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6.1.</w:t>
            </w:r>
          </w:p>
        </w:tc>
        <w:tc>
          <w:tcPr>
            <w:tcW w:w="9266" w:type="dxa"/>
            <w:tcBorders/>
            <w:vAlign w:val="center"/>
          </w:tcPr>
          <w:p>
            <w:pPr>
              <w:pStyle w:val="TableContents"/>
              <w:bidi w:val="0"/>
              <w:spacing w:before="0" w:after="0"/>
              <w:jc w:val="left"/>
              <w:rPr>
                <w:color w:val="000000"/>
              </w:rPr>
            </w:pPr>
            <w:r>
              <w:rPr>
                <w:color w:val="000000"/>
              </w:rPr>
              <w:t>Access to Information, Personnel and Facilities</w:t>
            </w:r>
          </w:p>
        </w:tc>
        <w:tc>
          <w:tcPr>
            <w:tcW w:w="276" w:type="dxa"/>
            <w:tcBorders/>
            <w:vAlign w:val="center"/>
          </w:tcPr>
          <w:p>
            <w:pPr>
              <w:pStyle w:val="TableContents"/>
              <w:bidi w:val="0"/>
              <w:spacing w:before="0" w:after="0"/>
              <w:jc w:val="right"/>
              <w:rPr>
                <w:color w:val="000000"/>
              </w:rPr>
            </w:pPr>
            <w:r>
              <w:rPr>
                <w:color w:val="000000"/>
              </w:rPr>
              <w:t>66</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6.2.</w:t>
            </w:r>
          </w:p>
        </w:tc>
        <w:tc>
          <w:tcPr>
            <w:tcW w:w="9266" w:type="dxa"/>
            <w:tcBorders/>
            <w:shd w:fill="CCEEFF" w:val="clear"/>
            <w:vAlign w:val="center"/>
          </w:tcPr>
          <w:p>
            <w:pPr>
              <w:pStyle w:val="TableContents"/>
              <w:bidi w:val="0"/>
              <w:spacing w:before="0" w:after="0"/>
              <w:jc w:val="left"/>
              <w:rPr>
                <w:color w:val="000000"/>
              </w:rPr>
            </w:pPr>
            <w:r>
              <w:rPr>
                <w:color w:val="000000"/>
              </w:rPr>
              <w:t>Conduct of Company Business</w:t>
            </w:r>
          </w:p>
        </w:tc>
        <w:tc>
          <w:tcPr>
            <w:tcW w:w="276" w:type="dxa"/>
            <w:tcBorders/>
            <w:shd w:fill="CCEEFF" w:val="clear"/>
            <w:vAlign w:val="center"/>
          </w:tcPr>
          <w:p>
            <w:pPr>
              <w:pStyle w:val="TableContents"/>
              <w:bidi w:val="0"/>
              <w:spacing w:before="0" w:after="0"/>
              <w:jc w:val="right"/>
              <w:rPr>
                <w:color w:val="000000"/>
              </w:rPr>
            </w:pPr>
            <w:r>
              <w:rPr>
                <w:color w:val="000000"/>
              </w:rPr>
              <w:t>68</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6.3.</w:t>
            </w:r>
          </w:p>
        </w:tc>
        <w:tc>
          <w:tcPr>
            <w:tcW w:w="9266" w:type="dxa"/>
            <w:tcBorders/>
            <w:vAlign w:val="center"/>
          </w:tcPr>
          <w:p>
            <w:pPr>
              <w:pStyle w:val="TableContents"/>
              <w:bidi w:val="0"/>
              <w:spacing w:before="0" w:after="0"/>
              <w:jc w:val="left"/>
              <w:rPr>
                <w:color w:val="000000"/>
              </w:rPr>
            </w:pPr>
            <w:r>
              <w:rPr>
                <w:color w:val="000000"/>
              </w:rPr>
              <w:t>Conduct of Parent Business</w:t>
            </w:r>
          </w:p>
        </w:tc>
        <w:tc>
          <w:tcPr>
            <w:tcW w:w="276" w:type="dxa"/>
            <w:tcBorders/>
            <w:vAlign w:val="center"/>
          </w:tcPr>
          <w:p>
            <w:pPr>
              <w:pStyle w:val="TableContents"/>
              <w:bidi w:val="0"/>
              <w:spacing w:before="0" w:after="0"/>
              <w:jc w:val="right"/>
              <w:rPr>
                <w:color w:val="000000"/>
              </w:rPr>
            </w:pPr>
            <w:r>
              <w:rPr>
                <w:color w:val="000000"/>
              </w:rPr>
              <w:t>73</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6.4.</w:t>
            </w:r>
          </w:p>
        </w:tc>
        <w:tc>
          <w:tcPr>
            <w:tcW w:w="9266" w:type="dxa"/>
            <w:tcBorders/>
            <w:shd w:fill="CCEEFF" w:val="clear"/>
            <w:vAlign w:val="center"/>
          </w:tcPr>
          <w:p>
            <w:pPr>
              <w:pStyle w:val="TableContents"/>
              <w:bidi w:val="0"/>
              <w:spacing w:before="0" w:after="0"/>
              <w:jc w:val="left"/>
              <w:rPr>
                <w:color w:val="000000"/>
              </w:rPr>
            </w:pPr>
            <w:r>
              <w:rPr>
                <w:color w:val="000000"/>
              </w:rPr>
              <w:t>Obligations of Merger Sub</w:t>
            </w:r>
          </w:p>
        </w:tc>
        <w:tc>
          <w:tcPr>
            <w:tcW w:w="276" w:type="dxa"/>
            <w:tcBorders/>
            <w:shd w:fill="CCEEFF" w:val="clear"/>
            <w:vAlign w:val="center"/>
          </w:tcPr>
          <w:p>
            <w:pPr>
              <w:pStyle w:val="TableContents"/>
              <w:bidi w:val="0"/>
              <w:spacing w:before="0" w:after="0"/>
              <w:jc w:val="right"/>
              <w:rPr>
                <w:color w:val="000000"/>
              </w:rPr>
            </w:pPr>
            <w:r>
              <w:rPr>
                <w:color w:val="000000"/>
              </w:rPr>
              <w:t>76</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6.5.</w:t>
            </w:r>
          </w:p>
        </w:tc>
        <w:tc>
          <w:tcPr>
            <w:tcW w:w="9266" w:type="dxa"/>
            <w:tcBorders/>
            <w:vAlign w:val="center"/>
          </w:tcPr>
          <w:p>
            <w:pPr>
              <w:pStyle w:val="TableContents"/>
              <w:bidi w:val="0"/>
              <w:spacing w:before="0" w:after="0"/>
              <w:jc w:val="left"/>
              <w:rPr>
                <w:color w:val="000000"/>
              </w:rPr>
            </w:pPr>
            <w:r>
              <w:rPr>
                <w:color w:val="000000"/>
              </w:rPr>
              <w:t>Company No Solicitation</w:t>
            </w:r>
          </w:p>
        </w:tc>
        <w:tc>
          <w:tcPr>
            <w:tcW w:w="276" w:type="dxa"/>
            <w:tcBorders/>
            <w:vAlign w:val="center"/>
          </w:tcPr>
          <w:p>
            <w:pPr>
              <w:pStyle w:val="TableContents"/>
              <w:bidi w:val="0"/>
              <w:spacing w:before="0" w:after="0"/>
              <w:jc w:val="right"/>
              <w:rPr>
                <w:color w:val="000000"/>
              </w:rPr>
            </w:pPr>
            <w:r>
              <w:rPr>
                <w:color w:val="000000"/>
              </w:rPr>
              <w:t>76</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6.6.</w:t>
            </w:r>
          </w:p>
        </w:tc>
        <w:tc>
          <w:tcPr>
            <w:tcW w:w="9266" w:type="dxa"/>
            <w:tcBorders/>
            <w:shd w:fill="CCEEFF" w:val="clear"/>
            <w:vAlign w:val="center"/>
          </w:tcPr>
          <w:p>
            <w:pPr>
              <w:pStyle w:val="TableContents"/>
              <w:bidi w:val="0"/>
              <w:spacing w:before="0" w:after="0"/>
              <w:jc w:val="left"/>
              <w:rPr>
                <w:color w:val="000000"/>
              </w:rPr>
            </w:pPr>
            <w:r>
              <w:rPr>
                <w:color w:val="000000"/>
              </w:rPr>
              <w:t>Parent No-Solicitation</w:t>
            </w:r>
          </w:p>
        </w:tc>
        <w:tc>
          <w:tcPr>
            <w:tcW w:w="276" w:type="dxa"/>
            <w:tcBorders/>
            <w:shd w:fill="CCEEFF" w:val="clear"/>
            <w:vAlign w:val="center"/>
          </w:tcPr>
          <w:p>
            <w:pPr>
              <w:pStyle w:val="TableContents"/>
              <w:bidi w:val="0"/>
              <w:spacing w:before="0" w:after="0"/>
              <w:jc w:val="right"/>
              <w:rPr>
                <w:color w:val="000000"/>
              </w:rPr>
            </w:pPr>
            <w:r>
              <w:rPr>
                <w:color w:val="000000"/>
              </w:rPr>
              <w:t>80</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6.7.</w:t>
            </w:r>
          </w:p>
        </w:tc>
        <w:tc>
          <w:tcPr>
            <w:tcW w:w="9266" w:type="dxa"/>
            <w:tcBorders/>
            <w:vAlign w:val="center"/>
          </w:tcPr>
          <w:p>
            <w:pPr>
              <w:pStyle w:val="TableContents"/>
              <w:bidi w:val="0"/>
              <w:spacing w:before="0" w:after="0"/>
              <w:jc w:val="left"/>
              <w:rPr>
                <w:color w:val="000000"/>
              </w:rPr>
            </w:pPr>
            <w:r>
              <w:rPr>
                <w:color w:val="000000"/>
              </w:rPr>
              <w:t>Form S-4 and Joint Proxy Statement</w:t>
            </w:r>
          </w:p>
        </w:tc>
        <w:tc>
          <w:tcPr>
            <w:tcW w:w="276" w:type="dxa"/>
            <w:tcBorders/>
            <w:vAlign w:val="center"/>
          </w:tcPr>
          <w:p>
            <w:pPr>
              <w:pStyle w:val="TableContents"/>
              <w:bidi w:val="0"/>
              <w:spacing w:before="0" w:after="0"/>
              <w:jc w:val="right"/>
              <w:rPr>
                <w:color w:val="000000"/>
              </w:rPr>
            </w:pPr>
            <w:r>
              <w:rPr>
                <w:color w:val="000000"/>
              </w:rPr>
              <w:t>84</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6.8.</w:t>
            </w:r>
          </w:p>
        </w:tc>
        <w:tc>
          <w:tcPr>
            <w:tcW w:w="9266" w:type="dxa"/>
            <w:tcBorders/>
            <w:shd w:fill="CCEEFF" w:val="clear"/>
            <w:vAlign w:val="center"/>
          </w:tcPr>
          <w:p>
            <w:pPr>
              <w:pStyle w:val="TableContents"/>
              <w:bidi w:val="0"/>
              <w:spacing w:before="0" w:after="0"/>
              <w:jc w:val="left"/>
              <w:rPr>
                <w:color w:val="000000"/>
              </w:rPr>
            </w:pPr>
            <w:r>
              <w:rPr>
                <w:color w:val="000000"/>
              </w:rPr>
              <w:t>Stockholders Meetings.</w:t>
            </w:r>
          </w:p>
        </w:tc>
        <w:tc>
          <w:tcPr>
            <w:tcW w:w="276" w:type="dxa"/>
            <w:tcBorders/>
            <w:shd w:fill="CCEEFF" w:val="clear"/>
            <w:vAlign w:val="center"/>
          </w:tcPr>
          <w:p>
            <w:pPr>
              <w:pStyle w:val="TableContents"/>
              <w:bidi w:val="0"/>
              <w:spacing w:before="0" w:after="0"/>
              <w:jc w:val="right"/>
              <w:rPr>
                <w:color w:val="000000"/>
              </w:rPr>
            </w:pPr>
            <w:r>
              <w:rPr>
                <w:color w:val="000000"/>
              </w:rPr>
              <w:t>85</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6.9.</w:t>
            </w:r>
          </w:p>
        </w:tc>
        <w:tc>
          <w:tcPr>
            <w:tcW w:w="9266" w:type="dxa"/>
            <w:tcBorders/>
            <w:vAlign w:val="center"/>
          </w:tcPr>
          <w:p>
            <w:pPr>
              <w:pStyle w:val="TableContents"/>
              <w:bidi w:val="0"/>
              <w:spacing w:before="0" w:after="0"/>
              <w:jc w:val="left"/>
              <w:rPr>
                <w:color w:val="000000"/>
              </w:rPr>
            </w:pPr>
            <w:r>
              <w:rPr>
                <w:color w:val="000000"/>
              </w:rPr>
              <w:t>Efforts</w:t>
            </w:r>
          </w:p>
        </w:tc>
        <w:tc>
          <w:tcPr>
            <w:tcW w:w="276" w:type="dxa"/>
            <w:tcBorders/>
            <w:vAlign w:val="center"/>
          </w:tcPr>
          <w:p>
            <w:pPr>
              <w:pStyle w:val="TableContents"/>
              <w:bidi w:val="0"/>
              <w:spacing w:before="0" w:after="0"/>
              <w:jc w:val="right"/>
              <w:rPr>
                <w:color w:val="000000"/>
              </w:rPr>
            </w:pPr>
            <w:r>
              <w:rPr>
                <w:color w:val="000000"/>
              </w:rPr>
              <w:t>86</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6.10.</w:t>
            </w:r>
          </w:p>
        </w:tc>
        <w:tc>
          <w:tcPr>
            <w:tcW w:w="9266" w:type="dxa"/>
            <w:tcBorders/>
            <w:shd w:fill="CCEEFF" w:val="clear"/>
            <w:vAlign w:val="center"/>
          </w:tcPr>
          <w:p>
            <w:pPr>
              <w:pStyle w:val="TableContents"/>
              <w:bidi w:val="0"/>
              <w:spacing w:before="0" w:after="0"/>
              <w:jc w:val="left"/>
              <w:rPr>
                <w:color w:val="000000"/>
              </w:rPr>
            </w:pPr>
            <w:r>
              <w:rPr>
                <w:color w:val="000000"/>
              </w:rPr>
              <w:t>Public Announcements</w:t>
            </w:r>
          </w:p>
        </w:tc>
        <w:tc>
          <w:tcPr>
            <w:tcW w:w="276" w:type="dxa"/>
            <w:tcBorders/>
            <w:shd w:fill="CCEEFF" w:val="clear"/>
            <w:vAlign w:val="center"/>
          </w:tcPr>
          <w:p>
            <w:pPr>
              <w:pStyle w:val="TableContents"/>
              <w:bidi w:val="0"/>
              <w:spacing w:before="0" w:after="0"/>
              <w:jc w:val="right"/>
              <w:rPr>
                <w:color w:val="000000"/>
              </w:rPr>
            </w:pPr>
            <w:r>
              <w:rPr>
                <w:color w:val="000000"/>
              </w:rPr>
              <w:t>88</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6.11.</w:t>
            </w:r>
          </w:p>
        </w:tc>
        <w:tc>
          <w:tcPr>
            <w:tcW w:w="9266" w:type="dxa"/>
            <w:tcBorders/>
            <w:vAlign w:val="center"/>
          </w:tcPr>
          <w:p>
            <w:pPr>
              <w:pStyle w:val="TableContents"/>
              <w:bidi w:val="0"/>
              <w:spacing w:before="0" w:after="0"/>
              <w:jc w:val="left"/>
              <w:rPr>
                <w:color w:val="000000"/>
              </w:rPr>
            </w:pPr>
            <w:r>
              <w:rPr>
                <w:color w:val="000000"/>
              </w:rPr>
              <w:t>Indemnification and Insurance</w:t>
            </w:r>
          </w:p>
        </w:tc>
        <w:tc>
          <w:tcPr>
            <w:tcW w:w="276" w:type="dxa"/>
            <w:tcBorders/>
            <w:vAlign w:val="center"/>
          </w:tcPr>
          <w:p>
            <w:pPr>
              <w:pStyle w:val="TableContents"/>
              <w:bidi w:val="0"/>
              <w:spacing w:before="0" w:after="0"/>
              <w:jc w:val="right"/>
              <w:rPr>
                <w:color w:val="000000"/>
              </w:rPr>
            </w:pPr>
            <w:r>
              <w:rPr>
                <w:color w:val="000000"/>
              </w:rPr>
              <w:t>89</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6.12.</w:t>
            </w:r>
          </w:p>
        </w:tc>
        <w:tc>
          <w:tcPr>
            <w:tcW w:w="9266" w:type="dxa"/>
            <w:tcBorders/>
            <w:shd w:fill="CCEEFF" w:val="clear"/>
            <w:vAlign w:val="center"/>
          </w:tcPr>
          <w:p>
            <w:pPr>
              <w:pStyle w:val="TableContents"/>
              <w:bidi w:val="0"/>
              <w:spacing w:before="0" w:after="0"/>
              <w:jc w:val="left"/>
              <w:rPr>
                <w:color w:val="000000"/>
              </w:rPr>
            </w:pPr>
            <w:r>
              <w:rPr>
                <w:color w:val="000000"/>
              </w:rPr>
              <w:t>Exchange Delisting</w:t>
            </w:r>
          </w:p>
        </w:tc>
        <w:tc>
          <w:tcPr>
            <w:tcW w:w="276" w:type="dxa"/>
            <w:tcBorders/>
            <w:shd w:fill="CCEEFF" w:val="clear"/>
            <w:vAlign w:val="center"/>
          </w:tcPr>
          <w:p>
            <w:pPr>
              <w:pStyle w:val="TableContents"/>
              <w:bidi w:val="0"/>
              <w:spacing w:before="0" w:after="0"/>
              <w:jc w:val="right"/>
              <w:rPr>
                <w:color w:val="000000"/>
              </w:rPr>
            </w:pPr>
            <w:r>
              <w:rPr>
                <w:color w:val="000000"/>
              </w:rPr>
              <w:t>90</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6.13.</w:t>
            </w:r>
          </w:p>
        </w:tc>
        <w:tc>
          <w:tcPr>
            <w:tcW w:w="9266" w:type="dxa"/>
            <w:tcBorders/>
            <w:vAlign w:val="center"/>
          </w:tcPr>
          <w:p>
            <w:pPr>
              <w:pStyle w:val="TableContents"/>
              <w:bidi w:val="0"/>
              <w:spacing w:before="0" w:after="0"/>
              <w:jc w:val="left"/>
              <w:rPr>
                <w:color w:val="000000"/>
              </w:rPr>
            </w:pPr>
            <w:r>
              <w:rPr>
                <w:color w:val="000000"/>
              </w:rPr>
              <w:t>Listing</w:t>
            </w:r>
          </w:p>
        </w:tc>
        <w:tc>
          <w:tcPr>
            <w:tcW w:w="276" w:type="dxa"/>
            <w:tcBorders/>
            <w:vAlign w:val="center"/>
          </w:tcPr>
          <w:p>
            <w:pPr>
              <w:pStyle w:val="TableContents"/>
              <w:bidi w:val="0"/>
              <w:spacing w:before="0" w:after="0"/>
              <w:jc w:val="right"/>
              <w:rPr>
                <w:color w:val="000000"/>
              </w:rPr>
            </w:pPr>
            <w:r>
              <w:rPr>
                <w:color w:val="000000"/>
              </w:rPr>
              <w:t>91</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6.14.</w:t>
            </w:r>
          </w:p>
        </w:tc>
        <w:tc>
          <w:tcPr>
            <w:tcW w:w="9266" w:type="dxa"/>
            <w:tcBorders/>
            <w:shd w:fill="CCEEFF" w:val="clear"/>
            <w:vAlign w:val="center"/>
          </w:tcPr>
          <w:p>
            <w:pPr>
              <w:pStyle w:val="TableContents"/>
              <w:bidi w:val="0"/>
              <w:spacing w:before="0" w:after="0"/>
              <w:jc w:val="left"/>
              <w:rPr>
                <w:color w:val="000000"/>
              </w:rPr>
            </w:pPr>
            <w:r>
              <w:rPr>
                <w:color w:val="000000"/>
              </w:rPr>
              <w:t>Transaction Litigation</w:t>
            </w:r>
          </w:p>
        </w:tc>
        <w:tc>
          <w:tcPr>
            <w:tcW w:w="276" w:type="dxa"/>
            <w:tcBorders/>
            <w:shd w:fill="CCEEFF" w:val="clear"/>
            <w:vAlign w:val="center"/>
          </w:tcPr>
          <w:p>
            <w:pPr>
              <w:pStyle w:val="TableContents"/>
              <w:bidi w:val="0"/>
              <w:spacing w:before="0" w:after="0"/>
              <w:jc w:val="right"/>
              <w:rPr>
                <w:color w:val="000000"/>
              </w:rPr>
            </w:pPr>
            <w:r>
              <w:rPr>
                <w:color w:val="000000"/>
              </w:rPr>
              <w:t>91</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6.15.</w:t>
            </w:r>
          </w:p>
        </w:tc>
        <w:tc>
          <w:tcPr>
            <w:tcW w:w="9266" w:type="dxa"/>
            <w:tcBorders/>
            <w:vAlign w:val="center"/>
          </w:tcPr>
          <w:p>
            <w:pPr>
              <w:pStyle w:val="TableContents"/>
              <w:bidi w:val="0"/>
              <w:spacing w:before="0" w:after="0"/>
              <w:jc w:val="left"/>
              <w:rPr>
                <w:color w:val="000000"/>
              </w:rPr>
            </w:pPr>
            <w:r>
              <w:rPr>
                <w:color w:val="000000"/>
              </w:rPr>
              <w:t>Rule 16b-3</w:t>
            </w:r>
          </w:p>
        </w:tc>
        <w:tc>
          <w:tcPr>
            <w:tcW w:w="276" w:type="dxa"/>
            <w:tcBorders/>
            <w:vAlign w:val="center"/>
          </w:tcPr>
          <w:p>
            <w:pPr>
              <w:pStyle w:val="TableContents"/>
              <w:bidi w:val="0"/>
              <w:spacing w:before="0" w:after="0"/>
              <w:jc w:val="right"/>
              <w:rPr>
                <w:color w:val="000000"/>
              </w:rPr>
            </w:pPr>
            <w:r>
              <w:rPr>
                <w:color w:val="000000"/>
              </w:rPr>
              <w:t>91</w:t>
            </w:r>
          </w:p>
        </w:tc>
      </w:tr>
      <w:tr>
        <w:trPr/>
        <w:tc>
          <w:tcPr>
            <w:tcW w:w="86"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0"/>
              <w:jc w:val="left"/>
              <w:rPr>
                <w:color w:val="000000"/>
              </w:rPr>
            </w:pPr>
            <w:r>
              <w:rPr>
                <w:color w:val="000000"/>
              </w:rPr>
              <w:t>6.16.</w:t>
            </w:r>
          </w:p>
        </w:tc>
        <w:tc>
          <w:tcPr>
            <w:tcW w:w="9266" w:type="dxa"/>
            <w:tcBorders/>
            <w:shd w:fill="CCEEFF" w:val="clear"/>
            <w:vAlign w:val="center"/>
          </w:tcPr>
          <w:p>
            <w:pPr>
              <w:pStyle w:val="TableContents"/>
              <w:bidi w:val="0"/>
              <w:spacing w:before="0" w:after="0"/>
              <w:jc w:val="left"/>
              <w:rPr>
                <w:color w:val="000000"/>
              </w:rPr>
            </w:pPr>
            <w:r>
              <w:rPr>
                <w:color w:val="000000"/>
              </w:rPr>
              <w:t>Takeover Law</w:t>
            </w:r>
          </w:p>
        </w:tc>
        <w:tc>
          <w:tcPr>
            <w:tcW w:w="276" w:type="dxa"/>
            <w:tcBorders/>
            <w:shd w:fill="CCEEFF" w:val="clear"/>
            <w:vAlign w:val="center"/>
          </w:tcPr>
          <w:p>
            <w:pPr>
              <w:pStyle w:val="TableContents"/>
              <w:bidi w:val="0"/>
              <w:spacing w:before="0" w:after="0"/>
              <w:jc w:val="right"/>
              <w:rPr>
                <w:color w:val="000000"/>
              </w:rPr>
            </w:pPr>
            <w:r>
              <w:rPr>
                <w:color w:val="000000"/>
              </w:rPr>
              <w:t>91</w:t>
            </w:r>
          </w:p>
        </w:tc>
      </w:tr>
      <w:tr>
        <w:trPr/>
        <w:tc>
          <w:tcPr>
            <w:tcW w:w="86"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0"/>
              <w:jc w:val="left"/>
              <w:rPr>
                <w:color w:val="000000"/>
              </w:rPr>
            </w:pPr>
            <w:r>
              <w:rPr>
                <w:color w:val="000000"/>
              </w:rPr>
              <w:t>6.17.</w:t>
            </w:r>
          </w:p>
        </w:tc>
        <w:tc>
          <w:tcPr>
            <w:tcW w:w="9266" w:type="dxa"/>
            <w:tcBorders/>
            <w:vAlign w:val="center"/>
          </w:tcPr>
          <w:p>
            <w:pPr>
              <w:pStyle w:val="TableContents"/>
              <w:bidi w:val="0"/>
              <w:spacing w:before="0" w:after="0"/>
              <w:jc w:val="left"/>
              <w:rPr>
                <w:color w:val="000000"/>
              </w:rPr>
            </w:pPr>
            <w:r>
              <w:rPr>
                <w:color w:val="000000"/>
              </w:rPr>
              <w:t>Resignations</w:t>
            </w:r>
          </w:p>
        </w:tc>
        <w:tc>
          <w:tcPr>
            <w:tcW w:w="276" w:type="dxa"/>
            <w:tcBorders/>
            <w:vAlign w:val="center"/>
          </w:tcPr>
          <w:p>
            <w:pPr>
              <w:pStyle w:val="TableContents"/>
              <w:bidi w:val="0"/>
              <w:spacing w:before="0" w:after="0"/>
              <w:jc w:val="right"/>
              <w:rPr>
                <w:color w:val="000000"/>
              </w:rPr>
            </w:pPr>
            <w:r>
              <w:rPr>
                <w:color w:val="000000"/>
              </w:rPr>
              <w:t>91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 w:name="z34d8f376f0ba497ca587028091c4bf3f"/>
      <w:bookmarkStart w:id="9" w:name="z34d8f376f0ba497ca587028091c4bf3f"/>
      <w:bookmarkEnd w:id="9"/>
    </w:p>
    <w:tbl>
      <w:tblPr>
        <w:tblW w:w="10205" w:type="dxa"/>
        <w:jc w:val="left"/>
        <w:tblInd w:w="0" w:type="dxa"/>
        <w:tblLayout w:type="fixed"/>
        <w:tblCellMar>
          <w:top w:w="0" w:type="dxa"/>
          <w:left w:w="0" w:type="dxa"/>
          <w:bottom w:w="0" w:type="dxa"/>
          <w:right w:w="0" w:type="dxa"/>
        </w:tblCellMar>
      </w:tblPr>
      <w:tblGrid>
        <w:gridCol w:w="75"/>
        <w:gridCol w:w="499"/>
        <w:gridCol w:w="9235"/>
        <w:gridCol w:w="396"/>
      </w:tblGrid>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6.18.</w:t>
            </w:r>
          </w:p>
        </w:tc>
        <w:tc>
          <w:tcPr>
            <w:tcW w:w="9235" w:type="dxa"/>
            <w:tcBorders/>
            <w:shd w:fill="CCEEFF" w:val="clear"/>
            <w:vAlign w:val="center"/>
          </w:tcPr>
          <w:p>
            <w:pPr>
              <w:pStyle w:val="TableContents"/>
              <w:bidi w:val="0"/>
              <w:spacing w:before="0" w:after="0"/>
              <w:jc w:val="left"/>
              <w:rPr>
                <w:color w:val="000000"/>
              </w:rPr>
            </w:pPr>
            <w:r>
              <w:rPr>
                <w:color w:val="000000"/>
              </w:rPr>
              <w:t>Control of Operations</w:t>
            </w:r>
          </w:p>
        </w:tc>
        <w:tc>
          <w:tcPr>
            <w:tcW w:w="396" w:type="dxa"/>
            <w:tcBorders/>
            <w:shd w:fill="CCEEFF" w:val="clear"/>
            <w:vAlign w:val="center"/>
          </w:tcPr>
          <w:p>
            <w:pPr>
              <w:pStyle w:val="TableContents"/>
              <w:bidi w:val="0"/>
              <w:spacing w:before="0" w:after="0"/>
              <w:jc w:val="right"/>
              <w:rPr>
                <w:color w:val="000000"/>
              </w:rPr>
            </w:pPr>
            <w:r>
              <w:rPr>
                <w:color w:val="000000"/>
              </w:rPr>
              <w:t>91</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6.19.</w:t>
            </w:r>
          </w:p>
        </w:tc>
        <w:tc>
          <w:tcPr>
            <w:tcW w:w="9235" w:type="dxa"/>
            <w:tcBorders/>
            <w:vAlign w:val="center"/>
          </w:tcPr>
          <w:p>
            <w:pPr>
              <w:pStyle w:val="TableContents"/>
              <w:bidi w:val="0"/>
              <w:spacing w:before="0" w:after="0"/>
              <w:jc w:val="left"/>
              <w:rPr>
                <w:color w:val="000000"/>
              </w:rPr>
            </w:pPr>
            <w:r>
              <w:rPr>
                <w:color w:val="000000"/>
              </w:rPr>
              <w:t>Additional Dividends.</w:t>
            </w:r>
          </w:p>
        </w:tc>
        <w:tc>
          <w:tcPr>
            <w:tcW w:w="396" w:type="dxa"/>
            <w:tcBorders/>
            <w:vAlign w:val="center"/>
          </w:tcPr>
          <w:p>
            <w:pPr>
              <w:pStyle w:val="TableContents"/>
              <w:bidi w:val="0"/>
              <w:spacing w:before="0" w:after="0"/>
              <w:jc w:val="right"/>
              <w:rPr>
                <w:color w:val="000000"/>
              </w:rPr>
            </w:pPr>
            <w:r>
              <w:rPr>
                <w:color w:val="000000"/>
              </w:rPr>
              <w:t>92</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6.20.</w:t>
            </w:r>
          </w:p>
        </w:tc>
        <w:tc>
          <w:tcPr>
            <w:tcW w:w="9235" w:type="dxa"/>
            <w:tcBorders/>
            <w:shd w:fill="CCEEFF" w:val="clear"/>
            <w:vAlign w:val="center"/>
          </w:tcPr>
          <w:p>
            <w:pPr>
              <w:pStyle w:val="TableContents"/>
              <w:bidi w:val="0"/>
              <w:spacing w:before="0" w:after="0"/>
              <w:jc w:val="left"/>
              <w:rPr>
                <w:color w:val="000000"/>
              </w:rPr>
            </w:pPr>
            <w:r>
              <w:rPr>
                <w:color w:val="000000"/>
              </w:rPr>
              <w:t>Tax Matters</w:t>
            </w:r>
          </w:p>
        </w:tc>
        <w:tc>
          <w:tcPr>
            <w:tcW w:w="396" w:type="dxa"/>
            <w:tcBorders/>
            <w:shd w:fill="CCEEFF" w:val="clear"/>
            <w:vAlign w:val="center"/>
          </w:tcPr>
          <w:p>
            <w:pPr>
              <w:pStyle w:val="TableContents"/>
              <w:bidi w:val="0"/>
              <w:spacing w:before="0" w:after="0"/>
              <w:jc w:val="right"/>
              <w:rPr>
                <w:color w:val="000000"/>
              </w:rPr>
            </w:pPr>
            <w:r>
              <w:rPr>
                <w:color w:val="000000"/>
              </w:rPr>
              <w:t>92</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6.21.</w:t>
            </w:r>
          </w:p>
        </w:tc>
        <w:tc>
          <w:tcPr>
            <w:tcW w:w="9235" w:type="dxa"/>
            <w:tcBorders/>
            <w:vAlign w:val="center"/>
          </w:tcPr>
          <w:p>
            <w:pPr>
              <w:pStyle w:val="TableContents"/>
              <w:bidi w:val="0"/>
              <w:spacing w:before="0" w:after="0"/>
              <w:jc w:val="left"/>
              <w:rPr>
                <w:color w:val="000000"/>
              </w:rPr>
            </w:pPr>
            <w:r>
              <w:rPr>
                <w:color w:val="000000"/>
              </w:rPr>
              <w:t>Employee Matters</w:t>
            </w:r>
          </w:p>
        </w:tc>
        <w:tc>
          <w:tcPr>
            <w:tcW w:w="396" w:type="dxa"/>
            <w:tcBorders/>
            <w:vAlign w:val="center"/>
          </w:tcPr>
          <w:p>
            <w:pPr>
              <w:pStyle w:val="TableContents"/>
              <w:bidi w:val="0"/>
              <w:spacing w:before="0" w:after="0"/>
              <w:jc w:val="right"/>
              <w:rPr>
                <w:color w:val="000000"/>
              </w:rPr>
            </w:pPr>
            <w:r>
              <w:rPr>
                <w:color w:val="000000"/>
              </w:rPr>
              <w:t>93</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235"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 </w:t>
            </w:r>
          </w:p>
        </w:tc>
      </w:tr>
      <w:tr>
        <w:trPr/>
        <w:tc>
          <w:tcPr>
            <w:tcW w:w="9809" w:type="dxa"/>
            <w:gridSpan w:val="3"/>
            <w:tcBorders/>
            <w:vAlign w:val="center"/>
          </w:tcPr>
          <w:p>
            <w:pPr>
              <w:pStyle w:val="TableContents"/>
              <w:bidi w:val="0"/>
              <w:spacing w:before="0" w:after="0"/>
              <w:jc w:val="left"/>
              <w:rPr/>
            </w:pPr>
            <w:r>
              <w:rPr/>
              <w:t>ARTICLE VII CONDITIONS PRECEDENT TO THE MERGERS</w:t>
            </w:r>
          </w:p>
        </w:tc>
        <w:tc>
          <w:tcPr>
            <w:tcW w:w="396" w:type="dxa"/>
            <w:tcBorders/>
            <w:vAlign w:val="center"/>
          </w:tcPr>
          <w:p>
            <w:pPr>
              <w:pStyle w:val="TableContents"/>
              <w:bidi w:val="0"/>
              <w:spacing w:before="0" w:after="0"/>
              <w:jc w:val="right"/>
              <w:rPr/>
            </w:pPr>
            <w:r>
              <w:rPr/>
              <w:t>96</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235"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7.1.</w:t>
            </w:r>
          </w:p>
        </w:tc>
        <w:tc>
          <w:tcPr>
            <w:tcW w:w="9235" w:type="dxa"/>
            <w:tcBorders/>
            <w:vAlign w:val="center"/>
          </w:tcPr>
          <w:p>
            <w:pPr>
              <w:pStyle w:val="TableContents"/>
              <w:bidi w:val="0"/>
              <w:spacing w:before="0" w:after="0"/>
              <w:jc w:val="left"/>
              <w:rPr>
                <w:color w:val="000000"/>
              </w:rPr>
            </w:pPr>
            <w:r>
              <w:rPr>
                <w:color w:val="000000"/>
              </w:rPr>
              <w:t>Conditions to Each Party’s Obligations</w:t>
            </w:r>
          </w:p>
        </w:tc>
        <w:tc>
          <w:tcPr>
            <w:tcW w:w="396" w:type="dxa"/>
            <w:tcBorders/>
            <w:vAlign w:val="center"/>
          </w:tcPr>
          <w:p>
            <w:pPr>
              <w:pStyle w:val="TableContents"/>
              <w:bidi w:val="0"/>
              <w:spacing w:before="0" w:after="0"/>
              <w:jc w:val="right"/>
              <w:rPr>
                <w:color w:val="000000"/>
              </w:rPr>
            </w:pPr>
            <w:r>
              <w:rPr>
                <w:color w:val="000000"/>
              </w:rPr>
              <w:t>96</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7.2.</w:t>
            </w:r>
          </w:p>
        </w:tc>
        <w:tc>
          <w:tcPr>
            <w:tcW w:w="9235" w:type="dxa"/>
            <w:tcBorders/>
            <w:shd w:fill="CCEEFF" w:val="clear"/>
            <w:vAlign w:val="center"/>
          </w:tcPr>
          <w:p>
            <w:pPr>
              <w:pStyle w:val="TableContents"/>
              <w:bidi w:val="0"/>
              <w:spacing w:before="0" w:after="0"/>
              <w:jc w:val="left"/>
              <w:rPr>
                <w:color w:val="000000"/>
              </w:rPr>
            </w:pPr>
            <w:r>
              <w:rPr>
                <w:color w:val="000000"/>
              </w:rPr>
              <w:t>Conditions to Obligations of Parent, Merger Sub and Parent Manager</w:t>
            </w:r>
          </w:p>
        </w:tc>
        <w:tc>
          <w:tcPr>
            <w:tcW w:w="396" w:type="dxa"/>
            <w:tcBorders/>
            <w:shd w:fill="CCEEFF" w:val="clear"/>
            <w:vAlign w:val="center"/>
          </w:tcPr>
          <w:p>
            <w:pPr>
              <w:pStyle w:val="TableContents"/>
              <w:bidi w:val="0"/>
              <w:spacing w:before="0" w:after="0"/>
              <w:jc w:val="right"/>
              <w:rPr>
                <w:color w:val="000000"/>
              </w:rPr>
            </w:pPr>
            <w:r>
              <w:rPr>
                <w:color w:val="000000"/>
              </w:rPr>
              <w:t>97</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7.3.</w:t>
            </w:r>
          </w:p>
        </w:tc>
        <w:tc>
          <w:tcPr>
            <w:tcW w:w="9235" w:type="dxa"/>
            <w:tcBorders/>
            <w:vAlign w:val="center"/>
          </w:tcPr>
          <w:p>
            <w:pPr>
              <w:pStyle w:val="TableContents"/>
              <w:bidi w:val="0"/>
              <w:spacing w:before="0" w:after="0"/>
              <w:jc w:val="left"/>
              <w:rPr>
                <w:color w:val="000000"/>
              </w:rPr>
            </w:pPr>
            <w:r>
              <w:rPr>
                <w:color w:val="000000"/>
              </w:rPr>
              <w:t>Conditions to Obligations of the Company and the Company Operating Partnership</w:t>
            </w:r>
          </w:p>
        </w:tc>
        <w:tc>
          <w:tcPr>
            <w:tcW w:w="396" w:type="dxa"/>
            <w:tcBorders/>
            <w:vAlign w:val="center"/>
          </w:tcPr>
          <w:p>
            <w:pPr>
              <w:pStyle w:val="TableContents"/>
              <w:bidi w:val="0"/>
              <w:spacing w:before="0" w:after="0"/>
              <w:jc w:val="right"/>
              <w:rPr>
                <w:color w:val="000000"/>
              </w:rPr>
            </w:pPr>
            <w:r>
              <w:rPr>
                <w:color w:val="000000"/>
              </w:rPr>
              <w:t>98</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235"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 </w:t>
            </w:r>
          </w:p>
        </w:tc>
      </w:tr>
      <w:tr>
        <w:trPr/>
        <w:tc>
          <w:tcPr>
            <w:tcW w:w="9809" w:type="dxa"/>
            <w:gridSpan w:val="3"/>
            <w:tcBorders/>
            <w:vAlign w:val="center"/>
          </w:tcPr>
          <w:p>
            <w:pPr>
              <w:pStyle w:val="TableContents"/>
              <w:bidi w:val="0"/>
              <w:spacing w:before="0" w:after="0"/>
              <w:jc w:val="left"/>
              <w:rPr/>
            </w:pPr>
            <w:r>
              <w:rPr/>
              <w:t>ARTICLE VIII TERMINATION</w:t>
            </w:r>
          </w:p>
        </w:tc>
        <w:tc>
          <w:tcPr>
            <w:tcW w:w="396" w:type="dxa"/>
            <w:tcBorders/>
            <w:vAlign w:val="center"/>
          </w:tcPr>
          <w:p>
            <w:pPr>
              <w:pStyle w:val="TableContents"/>
              <w:bidi w:val="0"/>
              <w:spacing w:before="0" w:after="0"/>
              <w:jc w:val="right"/>
              <w:rPr/>
            </w:pPr>
            <w:r>
              <w:rPr/>
              <w:t>99</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235"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8.1.</w:t>
            </w:r>
          </w:p>
        </w:tc>
        <w:tc>
          <w:tcPr>
            <w:tcW w:w="9235" w:type="dxa"/>
            <w:tcBorders/>
            <w:vAlign w:val="center"/>
          </w:tcPr>
          <w:p>
            <w:pPr>
              <w:pStyle w:val="TableContents"/>
              <w:bidi w:val="0"/>
              <w:spacing w:before="0" w:after="0"/>
              <w:jc w:val="left"/>
              <w:rPr>
                <w:color w:val="000000"/>
              </w:rPr>
            </w:pPr>
            <w:r>
              <w:rPr>
                <w:color w:val="000000"/>
              </w:rPr>
              <w:t>Termination</w:t>
            </w:r>
          </w:p>
        </w:tc>
        <w:tc>
          <w:tcPr>
            <w:tcW w:w="396" w:type="dxa"/>
            <w:tcBorders/>
            <w:vAlign w:val="center"/>
          </w:tcPr>
          <w:p>
            <w:pPr>
              <w:pStyle w:val="TableContents"/>
              <w:bidi w:val="0"/>
              <w:spacing w:before="0" w:after="0"/>
              <w:jc w:val="right"/>
              <w:rPr>
                <w:color w:val="000000"/>
              </w:rPr>
            </w:pPr>
            <w:r>
              <w:rPr>
                <w:color w:val="000000"/>
              </w:rPr>
              <w:t>99</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8.2.</w:t>
            </w:r>
          </w:p>
        </w:tc>
        <w:tc>
          <w:tcPr>
            <w:tcW w:w="9235" w:type="dxa"/>
            <w:tcBorders/>
            <w:shd w:fill="CCEEFF" w:val="clear"/>
            <w:vAlign w:val="center"/>
          </w:tcPr>
          <w:p>
            <w:pPr>
              <w:pStyle w:val="TableContents"/>
              <w:bidi w:val="0"/>
              <w:spacing w:before="0" w:after="0"/>
              <w:jc w:val="left"/>
              <w:rPr>
                <w:color w:val="000000"/>
              </w:rPr>
            </w:pPr>
            <w:r>
              <w:rPr>
                <w:color w:val="000000"/>
              </w:rPr>
              <w:t>Expenses; Transfer Taxes</w:t>
            </w:r>
          </w:p>
        </w:tc>
        <w:tc>
          <w:tcPr>
            <w:tcW w:w="396" w:type="dxa"/>
            <w:tcBorders/>
            <w:shd w:fill="CCEEFF" w:val="clear"/>
            <w:vAlign w:val="center"/>
          </w:tcPr>
          <w:p>
            <w:pPr>
              <w:pStyle w:val="TableContents"/>
              <w:bidi w:val="0"/>
              <w:spacing w:before="0" w:after="0"/>
              <w:jc w:val="right"/>
              <w:rPr>
                <w:color w:val="000000"/>
              </w:rPr>
            </w:pPr>
            <w:r>
              <w:rPr>
                <w:color w:val="000000"/>
              </w:rPr>
              <w:t>102</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8.3.</w:t>
            </w:r>
          </w:p>
        </w:tc>
        <w:tc>
          <w:tcPr>
            <w:tcW w:w="9235" w:type="dxa"/>
            <w:tcBorders/>
            <w:vAlign w:val="center"/>
          </w:tcPr>
          <w:p>
            <w:pPr>
              <w:pStyle w:val="TableContents"/>
              <w:bidi w:val="0"/>
              <w:spacing w:before="0" w:after="0"/>
              <w:jc w:val="left"/>
              <w:rPr>
                <w:color w:val="000000"/>
              </w:rPr>
            </w:pPr>
            <w:r>
              <w:rPr>
                <w:color w:val="000000"/>
              </w:rPr>
              <w:t>Effect of Termination</w:t>
            </w:r>
          </w:p>
        </w:tc>
        <w:tc>
          <w:tcPr>
            <w:tcW w:w="396" w:type="dxa"/>
            <w:tcBorders/>
            <w:vAlign w:val="center"/>
          </w:tcPr>
          <w:p>
            <w:pPr>
              <w:pStyle w:val="TableContents"/>
              <w:bidi w:val="0"/>
              <w:spacing w:before="0" w:after="0"/>
              <w:jc w:val="right"/>
              <w:rPr>
                <w:color w:val="000000"/>
              </w:rPr>
            </w:pPr>
            <w:r>
              <w:rPr>
                <w:color w:val="000000"/>
              </w:rPr>
              <w:t>102</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235"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 </w:t>
            </w:r>
          </w:p>
        </w:tc>
      </w:tr>
      <w:tr>
        <w:trPr/>
        <w:tc>
          <w:tcPr>
            <w:tcW w:w="9809" w:type="dxa"/>
            <w:gridSpan w:val="3"/>
            <w:tcBorders/>
            <w:vAlign w:val="center"/>
          </w:tcPr>
          <w:p>
            <w:pPr>
              <w:pStyle w:val="TableContents"/>
              <w:bidi w:val="0"/>
              <w:spacing w:before="0" w:after="0"/>
              <w:jc w:val="left"/>
              <w:rPr/>
            </w:pPr>
            <w:r>
              <w:rPr/>
              <w:t>ARTICLE IX MISCELLANEOUS</w:t>
            </w:r>
          </w:p>
        </w:tc>
        <w:tc>
          <w:tcPr>
            <w:tcW w:w="396" w:type="dxa"/>
            <w:tcBorders/>
            <w:vAlign w:val="center"/>
          </w:tcPr>
          <w:p>
            <w:pPr>
              <w:pStyle w:val="TableContents"/>
              <w:bidi w:val="0"/>
              <w:spacing w:before="0" w:after="0"/>
              <w:jc w:val="right"/>
              <w:rPr/>
            </w:pPr>
            <w:r>
              <w:rPr/>
              <w:t>107</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9235"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9.1.</w:t>
            </w:r>
          </w:p>
        </w:tc>
        <w:tc>
          <w:tcPr>
            <w:tcW w:w="9235" w:type="dxa"/>
            <w:tcBorders/>
            <w:vAlign w:val="center"/>
          </w:tcPr>
          <w:p>
            <w:pPr>
              <w:pStyle w:val="TableContents"/>
              <w:bidi w:val="0"/>
              <w:spacing w:before="0" w:after="0"/>
              <w:jc w:val="left"/>
              <w:rPr>
                <w:color w:val="000000"/>
              </w:rPr>
            </w:pPr>
            <w:r>
              <w:rPr>
                <w:color w:val="000000"/>
              </w:rPr>
              <w:t>Nonsurvival of Representations and Warranties</w:t>
            </w:r>
          </w:p>
        </w:tc>
        <w:tc>
          <w:tcPr>
            <w:tcW w:w="396" w:type="dxa"/>
            <w:tcBorders/>
            <w:vAlign w:val="center"/>
          </w:tcPr>
          <w:p>
            <w:pPr>
              <w:pStyle w:val="TableContents"/>
              <w:bidi w:val="0"/>
              <w:spacing w:before="0" w:after="0"/>
              <w:jc w:val="right"/>
              <w:rPr>
                <w:color w:val="000000"/>
              </w:rPr>
            </w:pPr>
            <w:r>
              <w:rPr>
                <w:color w:val="000000"/>
              </w:rPr>
              <w:t>107</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9.2.</w:t>
            </w:r>
          </w:p>
        </w:tc>
        <w:tc>
          <w:tcPr>
            <w:tcW w:w="9235" w:type="dxa"/>
            <w:tcBorders/>
            <w:shd w:fill="CCEEFF" w:val="clear"/>
            <w:vAlign w:val="center"/>
          </w:tcPr>
          <w:p>
            <w:pPr>
              <w:pStyle w:val="TableContents"/>
              <w:bidi w:val="0"/>
              <w:spacing w:before="0" w:after="0"/>
              <w:jc w:val="left"/>
              <w:rPr>
                <w:color w:val="000000"/>
              </w:rPr>
            </w:pPr>
            <w:r>
              <w:rPr>
                <w:color w:val="000000"/>
              </w:rPr>
              <w:t>Amendment; Waiver</w:t>
            </w:r>
          </w:p>
        </w:tc>
        <w:tc>
          <w:tcPr>
            <w:tcW w:w="396" w:type="dxa"/>
            <w:tcBorders/>
            <w:shd w:fill="CCEEFF" w:val="clear"/>
            <w:vAlign w:val="center"/>
          </w:tcPr>
          <w:p>
            <w:pPr>
              <w:pStyle w:val="TableContents"/>
              <w:bidi w:val="0"/>
              <w:spacing w:before="0" w:after="0"/>
              <w:jc w:val="right"/>
              <w:rPr>
                <w:color w:val="000000"/>
              </w:rPr>
            </w:pPr>
            <w:r>
              <w:rPr>
                <w:color w:val="000000"/>
              </w:rPr>
              <w:t>107</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9.3.</w:t>
            </w:r>
          </w:p>
        </w:tc>
        <w:tc>
          <w:tcPr>
            <w:tcW w:w="9235" w:type="dxa"/>
            <w:tcBorders/>
            <w:vAlign w:val="center"/>
          </w:tcPr>
          <w:p>
            <w:pPr>
              <w:pStyle w:val="TableContents"/>
              <w:bidi w:val="0"/>
              <w:spacing w:before="0" w:after="0"/>
              <w:jc w:val="left"/>
              <w:rPr>
                <w:color w:val="000000"/>
              </w:rPr>
            </w:pPr>
            <w:r>
              <w:rPr>
                <w:color w:val="000000"/>
              </w:rPr>
              <w:t>Notice</w:t>
            </w:r>
          </w:p>
        </w:tc>
        <w:tc>
          <w:tcPr>
            <w:tcW w:w="396" w:type="dxa"/>
            <w:tcBorders/>
            <w:vAlign w:val="center"/>
          </w:tcPr>
          <w:p>
            <w:pPr>
              <w:pStyle w:val="TableContents"/>
              <w:bidi w:val="0"/>
              <w:spacing w:before="0" w:after="0"/>
              <w:jc w:val="right"/>
              <w:rPr>
                <w:color w:val="000000"/>
              </w:rPr>
            </w:pPr>
            <w:r>
              <w:rPr>
                <w:color w:val="000000"/>
              </w:rPr>
              <w:t>107</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9.4.</w:t>
            </w:r>
          </w:p>
        </w:tc>
        <w:tc>
          <w:tcPr>
            <w:tcW w:w="9235" w:type="dxa"/>
            <w:tcBorders/>
            <w:shd w:fill="CCEEFF" w:val="clear"/>
            <w:vAlign w:val="center"/>
          </w:tcPr>
          <w:p>
            <w:pPr>
              <w:pStyle w:val="TableContents"/>
              <w:bidi w:val="0"/>
              <w:spacing w:before="0" w:after="0"/>
              <w:jc w:val="left"/>
              <w:rPr>
                <w:color w:val="000000"/>
              </w:rPr>
            </w:pPr>
            <w:r>
              <w:rPr>
                <w:color w:val="000000"/>
              </w:rPr>
              <w:t>Counterparts</w:t>
            </w:r>
          </w:p>
        </w:tc>
        <w:tc>
          <w:tcPr>
            <w:tcW w:w="396" w:type="dxa"/>
            <w:tcBorders/>
            <w:shd w:fill="CCEEFF" w:val="clear"/>
            <w:vAlign w:val="center"/>
          </w:tcPr>
          <w:p>
            <w:pPr>
              <w:pStyle w:val="TableContents"/>
              <w:bidi w:val="0"/>
              <w:spacing w:before="0" w:after="0"/>
              <w:jc w:val="right"/>
              <w:rPr>
                <w:color w:val="000000"/>
              </w:rPr>
            </w:pPr>
            <w:r>
              <w:rPr>
                <w:color w:val="000000"/>
              </w:rPr>
              <w:t>108</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9.5.</w:t>
            </w:r>
          </w:p>
        </w:tc>
        <w:tc>
          <w:tcPr>
            <w:tcW w:w="9235" w:type="dxa"/>
            <w:tcBorders/>
            <w:vAlign w:val="center"/>
          </w:tcPr>
          <w:p>
            <w:pPr>
              <w:pStyle w:val="TableContents"/>
              <w:bidi w:val="0"/>
              <w:spacing w:before="0" w:after="0"/>
              <w:jc w:val="left"/>
              <w:rPr>
                <w:color w:val="000000"/>
              </w:rPr>
            </w:pPr>
            <w:r>
              <w:rPr>
                <w:color w:val="000000"/>
              </w:rPr>
              <w:t>Interpretation</w:t>
            </w:r>
          </w:p>
        </w:tc>
        <w:tc>
          <w:tcPr>
            <w:tcW w:w="396" w:type="dxa"/>
            <w:tcBorders/>
            <w:vAlign w:val="center"/>
          </w:tcPr>
          <w:p>
            <w:pPr>
              <w:pStyle w:val="TableContents"/>
              <w:bidi w:val="0"/>
              <w:spacing w:before="0" w:after="0"/>
              <w:jc w:val="right"/>
              <w:rPr>
                <w:color w:val="000000"/>
              </w:rPr>
            </w:pPr>
            <w:r>
              <w:rPr>
                <w:color w:val="000000"/>
              </w:rPr>
              <w:t>109</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9.6.</w:t>
            </w:r>
          </w:p>
        </w:tc>
        <w:tc>
          <w:tcPr>
            <w:tcW w:w="9235" w:type="dxa"/>
            <w:tcBorders/>
            <w:shd w:fill="CCEEFF" w:val="clear"/>
            <w:vAlign w:val="center"/>
          </w:tcPr>
          <w:p>
            <w:pPr>
              <w:pStyle w:val="TableContents"/>
              <w:bidi w:val="0"/>
              <w:spacing w:before="0" w:after="0"/>
              <w:jc w:val="left"/>
              <w:rPr>
                <w:color w:val="000000"/>
              </w:rPr>
            </w:pPr>
            <w:r>
              <w:rPr>
                <w:color w:val="000000"/>
              </w:rPr>
              <w:t>Specific Performance</w:t>
            </w:r>
          </w:p>
        </w:tc>
        <w:tc>
          <w:tcPr>
            <w:tcW w:w="396" w:type="dxa"/>
            <w:tcBorders/>
            <w:shd w:fill="CCEEFF" w:val="clear"/>
            <w:vAlign w:val="center"/>
          </w:tcPr>
          <w:p>
            <w:pPr>
              <w:pStyle w:val="TableContents"/>
              <w:bidi w:val="0"/>
              <w:spacing w:before="0" w:after="0"/>
              <w:jc w:val="right"/>
              <w:rPr>
                <w:color w:val="000000"/>
              </w:rPr>
            </w:pPr>
            <w:r>
              <w:rPr>
                <w:color w:val="000000"/>
              </w:rPr>
              <w:t>109</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9.7.</w:t>
            </w:r>
          </w:p>
        </w:tc>
        <w:tc>
          <w:tcPr>
            <w:tcW w:w="9235" w:type="dxa"/>
            <w:tcBorders/>
            <w:vAlign w:val="center"/>
          </w:tcPr>
          <w:p>
            <w:pPr>
              <w:pStyle w:val="TableContents"/>
              <w:bidi w:val="0"/>
              <w:spacing w:before="0" w:after="0"/>
              <w:jc w:val="left"/>
              <w:rPr>
                <w:color w:val="000000"/>
              </w:rPr>
            </w:pPr>
            <w:r>
              <w:rPr>
                <w:color w:val="000000"/>
              </w:rPr>
              <w:t>Governing Law and Venue; Submission to Jurisdiction; Selection of Forum; Waiver of Trial by Jury</w:t>
            </w:r>
          </w:p>
        </w:tc>
        <w:tc>
          <w:tcPr>
            <w:tcW w:w="396" w:type="dxa"/>
            <w:tcBorders/>
            <w:vAlign w:val="center"/>
          </w:tcPr>
          <w:p>
            <w:pPr>
              <w:pStyle w:val="TableContents"/>
              <w:bidi w:val="0"/>
              <w:spacing w:before="0" w:after="0"/>
              <w:jc w:val="right"/>
              <w:rPr>
                <w:color w:val="000000"/>
              </w:rPr>
            </w:pPr>
            <w:r>
              <w:rPr>
                <w:color w:val="000000"/>
              </w:rPr>
              <w:t>110</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9.8.</w:t>
            </w:r>
          </w:p>
        </w:tc>
        <w:tc>
          <w:tcPr>
            <w:tcW w:w="9235" w:type="dxa"/>
            <w:tcBorders/>
            <w:shd w:fill="CCEEFF" w:val="clear"/>
            <w:vAlign w:val="center"/>
          </w:tcPr>
          <w:p>
            <w:pPr>
              <w:pStyle w:val="TableContents"/>
              <w:bidi w:val="0"/>
              <w:spacing w:before="0" w:after="0"/>
              <w:jc w:val="left"/>
              <w:rPr>
                <w:color w:val="000000"/>
              </w:rPr>
            </w:pPr>
            <w:r>
              <w:rPr>
                <w:color w:val="000000"/>
              </w:rPr>
              <w:t>Binding Agreement</w:t>
            </w:r>
          </w:p>
        </w:tc>
        <w:tc>
          <w:tcPr>
            <w:tcW w:w="396" w:type="dxa"/>
            <w:tcBorders/>
            <w:shd w:fill="CCEEFF" w:val="clear"/>
            <w:vAlign w:val="center"/>
          </w:tcPr>
          <w:p>
            <w:pPr>
              <w:pStyle w:val="TableContents"/>
              <w:bidi w:val="0"/>
              <w:spacing w:before="0" w:after="0"/>
              <w:jc w:val="right"/>
              <w:rPr>
                <w:color w:val="000000"/>
              </w:rPr>
            </w:pPr>
            <w:r>
              <w:rPr>
                <w:color w:val="000000"/>
              </w:rPr>
              <w:t>111</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9.9.</w:t>
            </w:r>
          </w:p>
        </w:tc>
        <w:tc>
          <w:tcPr>
            <w:tcW w:w="9235" w:type="dxa"/>
            <w:tcBorders/>
            <w:vAlign w:val="center"/>
          </w:tcPr>
          <w:p>
            <w:pPr>
              <w:pStyle w:val="TableContents"/>
              <w:bidi w:val="0"/>
              <w:spacing w:before="0" w:after="0"/>
              <w:jc w:val="left"/>
              <w:rPr>
                <w:color w:val="000000"/>
              </w:rPr>
            </w:pPr>
            <w:r>
              <w:rPr>
                <w:color w:val="000000"/>
              </w:rPr>
              <w:t>Entire Understanding</w:t>
            </w:r>
          </w:p>
        </w:tc>
        <w:tc>
          <w:tcPr>
            <w:tcW w:w="396" w:type="dxa"/>
            <w:tcBorders/>
            <w:vAlign w:val="center"/>
          </w:tcPr>
          <w:p>
            <w:pPr>
              <w:pStyle w:val="TableContents"/>
              <w:bidi w:val="0"/>
              <w:spacing w:before="0" w:after="0"/>
              <w:jc w:val="right"/>
              <w:rPr>
                <w:color w:val="000000"/>
              </w:rPr>
            </w:pPr>
            <w:r>
              <w:rPr>
                <w:color w:val="000000"/>
              </w:rPr>
              <w:t>111</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9.10.</w:t>
            </w:r>
          </w:p>
        </w:tc>
        <w:tc>
          <w:tcPr>
            <w:tcW w:w="9235" w:type="dxa"/>
            <w:tcBorders/>
            <w:shd w:fill="CCEEFF" w:val="clear"/>
            <w:vAlign w:val="center"/>
          </w:tcPr>
          <w:p>
            <w:pPr>
              <w:pStyle w:val="TableContents"/>
              <w:bidi w:val="0"/>
              <w:spacing w:before="0" w:after="0"/>
              <w:jc w:val="left"/>
              <w:rPr>
                <w:color w:val="000000"/>
              </w:rPr>
            </w:pPr>
            <w:r>
              <w:rPr>
                <w:color w:val="000000"/>
              </w:rPr>
              <w:t>Assignment</w:t>
            </w:r>
          </w:p>
        </w:tc>
        <w:tc>
          <w:tcPr>
            <w:tcW w:w="396" w:type="dxa"/>
            <w:tcBorders/>
            <w:shd w:fill="CCEEFF" w:val="clear"/>
            <w:vAlign w:val="center"/>
          </w:tcPr>
          <w:p>
            <w:pPr>
              <w:pStyle w:val="TableContents"/>
              <w:bidi w:val="0"/>
              <w:spacing w:before="0" w:after="0"/>
              <w:jc w:val="right"/>
              <w:rPr>
                <w:color w:val="000000"/>
              </w:rPr>
            </w:pPr>
            <w:r>
              <w:rPr>
                <w:color w:val="000000"/>
              </w:rPr>
              <w:t>111</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9.11.</w:t>
            </w:r>
          </w:p>
        </w:tc>
        <w:tc>
          <w:tcPr>
            <w:tcW w:w="9235" w:type="dxa"/>
            <w:tcBorders/>
            <w:vAlign w:val="center"/>
          </w:tcPr>
          <w:p>
            <w:pPr>
              <w:pStyle w:val="TableContents"/>
              <w:bidi w:val="0"/>
              <w:spacing w:before="0" w:after="0"/>
              <w:jc w:val="left"/>
              <w:rPr>
                <w:color w:val="000000"/>
              </w:rPr>
            </w:pPr>
            <w:r>
              <w:rPr>
                <w:color w:val="000000"/>
              </w:rPr>
              <w:t>Third-Party Beneficiaries</w:t>
            </w:r>
          </w:p>
        </w:tc>
        <w:tc>
          <w:tcPr>
            <w:tcW w:w="396" w:type="dxa"/>
            <w:tcBorders/>
            <w:vAlign w:val="center"/>
          </w:tcPr>
          <w:p>
            <w:pPr>
              <w:pStyle w:val="TableContents"/>
              <w:bidi w:val="0"/>
              <w:spacing w:before="0" w:after="0"/>
              <w:jc w:val="right"/>
              <w:rPr>
                <w:color w:val="000000"/>
              </w:rPr>
            </w:pPr>
            <w:r>
              <w:rPr>
                <w:color w:val="000000"/>
              </w:rPr>
              <w:t>111</w:t>
            </w:r>
          </w:p>
        </w:tc>
      </w:tr>
      <w:tr>
        <w:trPr/>
        <w:tc>
          <w:tcPr>
            <w:tcW w:w="75"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0"/>
              <w:jc w:val="left"/>
              <w:rPr>
                <w:color w:val="000000"/>
              </w:rPr>
            </w:pPr>
            <w:r>
              <w:rPr>
                <w:color w:val="000000"/>
              </w:rPr>
              <w:t>9.12.</w:t>
            </w:r>
          </w:p>
        </w:tc>
        <w:tc>
          <w:tcPr>
            <w:tcW w:w="9235" w:type="dxa"/>
            <w:tcBorders/>
            <w:shd w:fill="CCEEFF" w:val="clear"/>
            <w:vAlign w:val="center"/>
          </w:tcPr>
          <w:p>
            <w:pPr>
              <w:pStyle w:val="TableContents"/>
              <w:bidi w:val="0"/>
              <w:spacing w:before="0" w:after="0"/>
              <w:jc w:val="left"/>
              <w:rPr>
                <w:color w:val="000000"/>
              </w:rPr>
            </w:pPr>
            <w:r>
              <w:rPr>
                <w:color w:val="000000"/>
              </w:rPr>
              <w:t>Severability</w:t>
            </w:r>
          </w:p>
        </w:tc>
        <w:tc>
          <w:tcPr>
            <w:tcW w:w="396" w:type="dxa"/>
            <w:tcBorders/>
            <w:shd w:fill="CCEEFF" w:val="clear"/>
            <w:vAlign w:val="center"/>
          </w:tcPr>
          <w:p>
            <w:pPr>
              <w:pStyle w:val="TableContents"/>
              <w:bidi w:val="0"/>
              <w:spacing w:before="0" w:after="0"/>
              <w:jc w:val="right"/>
              <w:rPr>
                <w:color w:val="000000"/>
              </w:rPr>
            </w:pPr>
            <w:r>
              <w:rPr>
                <w:color w:val="000000"/>
              </w:rPr>
              <w:t>111</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jc w:val="left"/>
              <w:rPr>
                <w:color w:val="000000"/>
              </w:rPr>
            </w:pPr>
            <w:r>
              <w:rPr>
                <w:color w:val="000000"/>
              </w:rPr>
              <w:t>9.13.</w:t>
            </w:r>
          </w:p>
        </w:tc>
        <w:tc>
          <w:tcPr>
            <w:tcW w:w="9235" w:type="dxa"/>
            <w:tcBorders/>
            <w:vAlign w:val="center"/>
          </w:tcPr>
          <w:p>
            <w:pPr>
              <w:pStyle w:val="TableContents"/>
              <w:bidi w:val="0"/>
              <w:spacing w:before="0" w:after="0"/>
              <w:jc w:val="left"/>
              <w:rPr>
                <w:color w:val="000000"/>
              </w:rPr>
            </w:pPr>
            <w:r>
              <w:rPr>
                <w:color w:val="000000"/>
              </w:rPr>
              <w:t>Construction</w:t>
            </w:r>
          </w:p>
        </w:tc>
        <w:tc>
          <w:tcPr>
            <w:tcW w:w="396" w:type="dxa"/>
            <w:tcBorders/>
            <w:vAlign w:val="center"/>
          </w:tcPr>
          <w:p>
            <w:pPr>
              <w:pStyle w:val="TableContents"/>
              <w:bidi w:val="0"/>
              <w:spacing w:before="0" w:after="0"/>
              <w:jc w:val="right"/>
              <w:rPr>
                <w:color w:val="000000"/>
              </w:rPr>
            </w:pPr>
            <w:r>
              <w:rPr>
                <w:color w:val="000000"/>
              </w:rPr>
              <w:t>111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55bb9ec3c3184616a63a98a189be1507"/>
      <w:bookmarkStart w:id="11" w:name="z55bb9ec3c3184616a63a98a189be1507"/>
      <w:bookmarkEnd w:id="11"/>
    </w:p>
    <w:tbl>
      <w:tblPr>
        <w:tblW w:w="10205" w:type="dxa"/>
        <w:jc w:val="left"/>
        <w:tblInd w:w="0" w:type="dxa"/>
        <w:tblLayout w:type="fixed"/>
        <w:tblCellMar>
          <w:top w:w="0" w:type="dxa"/>
          <w:left w:w="0" w:type="dxa"/>
          <w:bottom w:w="0" w:type="dxa"/>
          <w:right w:w="0" w:type="dxa"/>
        </w:tblCellMar>
      </w:tblPr>
      <w:tblGrid>
        <w:gridCol w:w="895"/>
        <w:gridCol w:w="9310"/>
      </w:tblGrid>
      <w:tr>
        <w:trPr/>
        <w:tc>
          <w:tcPr>
            <w:tcW w:w="10205" w:type="dxa"/>
            <w:gridSpan w:val="2"/>
            <w:tcBorders/>
            <w:vAlign w:val="center"/>
          </w:tcPr>
          <w:p>
            <w:pPr>
              <w:pStyle w:val="TableContents"/>
              <w:bidi w:val="0"/>
              <w:spacing w:before="0" w:after="0"/>
              <w:jc w:val="left"/>
              <w:rPr/>
            </w:pPr>
            <w:r>
              <w:rPr/>
              <w:t>ANNEXES</w:t>
            </w:r>
          </w:p>
        </w:tc>
      </w:tr>
      <w:tr>
        <w:trPr/>
        <w:tc>
          <w:tcPr>
            <w:tcW w:w="895" w:type="dxa"/>
            <w:tcBorders/>
            <w:shd w:fill="CCEEFF" w:val="clear"/>
            <w:vAlign w:val="center"/>
          </w:tcPr>
          <w:p>
            <w:pPr>
              <w:pStyle w:val="TableContents"/>
              <w:bidi w:val="0"/>
              <w:spacing w:before="0" w:after="0"/>
              <w:jc w:val="left"/>
              <w:rPr/>
            </w:pPr>
            <w:r>
              <w:rPr/>
              <w:t>Annex A</w:t>
            </w:r>
          </w:p>
        </w:tc>
        <w:tc>
          <w:tcPr>
            <w:tcW w:w="9310" w:type="dxa"/>
            <w:tcBorders/>
            <w:shd w:fill="CCEEFF" w:val="clear"/>
            <w:vAlign w:val="center"/>
          </w:tcPr>
          <w:p>
            <w:pPr>
              <w:pStyle w:val="TableContents"/>
              <w:bidi w:val="0"/>
              <w:spacing w:before="0" w:after="0"/>
              <w:jc w:val="left"/>
              <w:rPr/>
            </w:pPr>
            <w:r>
              <w:rPr/>
              <w:t>Form of Articles Supplementary Classifying Parent Series D Cumulative Redeemable Preferred Stock</w:t>
            </w:r>
          </w:p>
        </w:tc>
      </w:tr>
      <w:tr>
        <w:trPr/>
        <w:tc>
          <w:tcPr>
            <w:tcW w:w="895" w:type="dxa"/>
            <w:tcBorders/>
            <w:vAlign w:val="center"/>
          </w:tcPr>
          <w:p>
            <w:pPr>
              <w:pStyle w:val="TableContents"/>
              <w:bidi w:val="0"/>
              <w:spacing w:before="0" w:after="0"/>
              <w:jc w:val="left"/>
              <w:rPr/>
            </w:pPr>
            <w:r>
              <w:rPr/>
              <w:t>Annex B</w:t>
            </w:r>
          </w:p>
        </w:tc>
        <w:tc>
          <w:tcPr>
            <w:tcW w:w="9310" w:type="dxa"/>
            <w:tcBorders/>
            <w:vAlign w:val="center"/>
          </w:tcPr>
          <w:p>
            <w:pPr>
              <w:pStyle w:val="TableContents"/>
              <w:bidi w:val="0"/>
              <w:spacing w:before="0" w:after="0"/>
              <w:jc w:val="left"/>
              <w:rPr/>
            </w:pPr>
            <w:r>
              <w:rPr/>
              <w:t>Form of Articles Supplementary Classifying Parent Series E Cumulative Redeemable Preferred Stock</w:t>
            </w:r>
          </w:p>
        </w:tc>
      </w:tr>
      <w:tr>
        <w:trPr/>
        <w:tc>
          <w:tcPr>
            <w:tcW w:w="895" w:type="dxa"/>
            <w:tcBorders/>
            <w:shd w:fill="CCEEFF" w:val="clear"/>
            <w:vAlign w:val="center"/>
          </w:tcPr>
          <w:p>
            <w:pPr>
              <w:pStyle w:val="TableContents"/>
              <w:bidi w:val="0"/>
              <w:spacing w:before="0" w:after="0"/>
              <w:jc w:val="left"/>
              <w:rPr/>
            </w:pPr>
            <w:r>
              <w:rPr/>
              <w:t>Annex C</w:t>
            </w:r>
          </w:p>
        </w:tc>
        <w:tc>
          <w:tcPr>
            <w:tcW w:w="9310" w:type="dxa"/>
            <w:tcBorders/>
            <w:shd w:fill="CCEEFF" w:val="clear"/>
            <w:vAlign w:val="center"/>
          </w:tcPr>
          <w:p>
            <w:pPr>
              <w:pStyle w:val="TableContents"/>
              <w:bidi w:val="0"/>
              <w:spacing w:before="0" w:after="0"/>
              <w:jc w:val="left"/>
              <w:rPr/>
            </w:pPr>
            <w:r>
              <w:rPr/>
              <w:t>Form of Mayer Brown LLP Opinion to Parent</w:t>
            </w:r>
          </w:p>
        </w:tc>
      </w:tr>
      <w:tr>
        <w:trPr/>
        <w:tc>
          <w:tcPr>
            <w:tcW w:w="895" w:type="dxa"/>
            <w:tcBorders/>
            <w:vAlign w:val="center"/>
          </w:tcPr>
          <w:p>
            <w:pPr>
              <w:pStyle w:val="TableContents"/>
              <w:bidi w:val="0"/>
              <w:spacing w:before="0" w:after="0"/>
              <w:jc w:val="left"/>
              <w:rPr/>
            </w:pPr>
            <w:r>
              <w:rPr/>
              <w:t>Annex D</w:t>
            </w:r>
          </w:p>
        </w:tc>
        <w:tc>
          <w:tcPr>
            <w:tcW w:w="9310" w:type="dxa"/>
            <w:tcBorders/>
            <w:vAlign w:val="center"/>
          </w:tcPr>
          <w:p>
            <w:pPr>
              <w:pStyle w:val="TableContents"/>
              <w:bidi w:val="0"/>
              <w:spacing w:before="0" w:after="0"/>
              <w:jc w:val="left"/>
              <w:rPr/>
            </w:pPr>
            <w:r>
              <w:rPr/>
              <w:t>Form of Hunton Andrews Kurth LLP Opinion to Parent</w:t>
            </w:r>
          </w:p>
        </w:tc>
      </w:tr>
      <w:tr>
        <w:trPr/>
        <w:tc>
          <w:tcPr>
            <w:tcW w:w="895" w:type="dxa"/>
            <w:tcBorders/>
            <w:shd w:fill="CCEEFF" w:val="clear"/>
            <w:vAlign w:val="center"/>
          </w:tcPr>
          <w:p>
            <w:pPr>
              <w:pStyle w:val="TableContents"/>
              <w:bidi w:val="0"/>
              <w:spacing w:before="0" w:after="0"/>
              <w:jc w:val="left"/>
              <w:rPr/>
            </w:pPr>
            <w:r>
              <w:rPr/>
              <w:t>Annex E</w:t>
            </w:r>
          </w:p>
        </w:tc>
        <w:tc>
          <w:tcPr>
            <w:tcW w:w="9310" w:type="dxa"/>
            <w:tcBorders/>
            <w:shd w:fill="CCEEFF" w:val="clear"/>
            <w:vAlign w:val="center"/>
          </w:tcPr>
          <w:p>
            <w:pPr>
              <w:pStyle w:val="TableContents"/>
              <w:bidi w:val="0"/>
              <w:spacing w:before="0" w:after="0"/>
              <w:jc w:val="left"/>
              <w:rPr/>
            </w:pPr>
            <w:r>
              <w:rPr/>
              <w:t>Form of Hunton Andrews Kurth LLP Opinion to the Company</w:t>
            </w:r>
          </w:p>
        </w:tc>
      </w:tr>
      <w:tr>
        <w:trPr/>
        <w:tc>
          <w:tcPr>
            <w:tcW w:w="895" w:type="dxa"/>
            <w:tcBorders/>
            <w:vAlign w:val="center"/>
          </w:tcPr>
          <w:p>
            <w:pPr>
              <w:pStyle w:val="TableContents"/>
              <w:bidi w:val="0"/>
              <w:spacing w:before="0" w:after="0"/>
              <w:jc w:val="left"/>
              <w:rPr/>
            </w:pPr>
            <w:r>
              <w:rPr/>
              <w:t>Annex F</w:t>
            </w:r>
          </w:p>
        </w:tc>
        <w:tc>
          <w:tcPr>
            <w:tcW w:w="9310" w:type="dxa"/>
            <w:tcBorders/>
            <w:vAlign w:val="center"/>
          </w:tcPr>
          <w:p>
            <w:pPr>
              <w:pStyle w:val="TableContents"/>
              <w:bidi w:val="0"/>
              <w:spacing w:before="0" w:after="0"/>
              <w:jc w:val="left"/>
              <w:rPr/>
            </w:pPr>
            <w:r>
              <w:rPr/>
              <w:t>Form of Mayer Brown LLP Opinion to the Company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val="false"/>
          <w:color w:val="000000"/>
          <w:sz w:val="20"/>
          <w:u w:val="single"/>
        </w:rPr>
      </w:pPr>
      <w:r>
        <w:rPr>
          <w:rFonts w:ascii="Times New Roman" w:hAnsi="Times New Roman"/>
          <w:b w:val="false"/>
          <w:color w:val="000000"/>
          <w:sz w:val="20"/>
          <w:u w:val="single"/>
        </w:rPr>
        <w:t>AGREEMENT AND PLAN OF MERGER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THIS AGREEMENT AND PLAN OF MERGER is made as of August 9, 2026 (this “</w:t>
      </w:r>
      <w:r>
        <w:rPr>
          <w:rFonts w:ascii="Times New Roman" w:hAnsi="Times New Roman"/>
          <w:b w:val="false"/>
          <w:color w:val="000000"/>
          <w:sz w:val="20"/>
          <w:u w:val="single"/>
        </w:rPr>
        <w:t>Agreement</w:t>
      </w:r>
      <w:r>
        <w:rPr>
          <w:rFonts w:ascii="Times New Roman" w:hAnsi="Times New Roman"/>
          <w:b w:val="false"/>
          <w:color w:val="000000"/>
          <w:sz w:val="20"/>
        </w:rPr>
        <w:t>”) by and among TPG Mortgage Investment Trust, Inc., a Maryland corporation (“</w:t>
      </w:r>
      <w:r>
        <w:rPr>
          <w:rFonts w:ascii="Times New Roman" w:hAnsi="Times New Roman"/>
          <w:b w:val="false"/>
          <w:color w:val="000000"/>
          <w:sz w:val="20"/>
          <w:u w:val="single"/>
        </w:rPr>
        <w:t>Parent</w:t>
      </w:r>
      <w:r>
        <w:rPr>
          <w:rFonts w:ascii="Times New Roman" w:hAnsi="Times New Roman"/>
          <w:b w:val="false"/>
          <w:color w:val="000000"/>
          <w:sz w:val="20"/>
        </w:rPr>
        <w:t>”), MIT Merger Sub II, LLC, a Delaware limited liability company and a Subsidiary of Parent (“</w:t>
      </w:r>
      <w:r>
        <w:rPr>
          <w:rFonts w:ascii="Times New Roman" w:hAnsi="Times New Roman"/>
          <w:b w:val="false"/>
          <w:color w:val="000000"/>
          <w:sz w:val="20"/>
          <w:u w:val="single"/>
        </w:rPr>
        <w:t>Merger Sub</w:t>
      </w:r>
      <w:r>
        <w:rPr>
          <w:rFonts w:ascii="Times New Roman" w:hAnsi="Times New Roman"/>
          <w:b w:val="false"/>
          <w:color w:val="000000"/>
          <w:sz w:val="20"/>
        </w:rPr>
        <w:t>”), Cherry Hill Mortgage Investment Corporation, a Maryland corporation (the “</w:t>
      </w:r>
      <w:r>
        <w:rPr>
          <w:rFonts w:ascii="Times New Roman" w:hAnsi="Times New Roman"/>
          <w:b w:val="false"/>
          <w:color w:val="000000"/>
          <w:sz w:val="20"/>
          <w:u w:val="single"/>
        </w:rPr>
        <w:t>Company</w:t>
      </w:r>
      <w:r>
        <w:rPr>
          <w:rFonts w:ascii="Times New Roman" w:hAnsi="Times New Roman"/>
          <w:b w:val="false"/>
          <w:color w:val="000000"/>
          <w:sz w:val="20"/>
        </w:rPr>
        <w:t>”), and Cherry Hill Operating Partnership, LP, a Delaware limited partnership (the “</w:t>
      </w:r>
      <w:r>
        <w:rPr>
          <w:rFonts w:ascii="Times New Roman" w:hAnsi="Times New Roman"/>
          <w:b w:val="false"/>
          <w:color w:val="000000"/>
          <w:sz w:val="20"/>
          <w:u w:val="single"/>
        </w:rPr>
        <w:t>Company Operating Partnership</w:t>
      </w:r>
      <w:r>
        <w:rPr>
          <w:rFonts w:ascii="Times New Roman" w:hAnsi="Times New Roman"/>
          <w:b w:val="false"/>
          <w:color w:val="000000"/>
          <w:sz w:val="20"/>
        </w:rPr>
        <w:t xml:space="preserve">”), and, solely for purposes of </w:t>
      </w:r>
      <w:r>
        <w:rPr>
          <w:rFonts w:ascii="Times New Roman" w:hAnsi="Times New Roman"/>
          <w:b w:val="false"/>
          <w:color w:val="000000"/>
          <w:sz w:val="20"/>
          <w:u w:val="single"/>
        </w:rPr>
        <w:t>Section 3.1(b)(i)</w:t>
      </w:r>
      <w:r>
        <w:rPr>
          <w:rFonts w:ascii="Times New Roman" w:hAnsi="Times New Roman"/>
          <w:b w:val="false"/>
          <w:color w:val="000000"/>
          <w:sz w:val="20"/>
        </w:rPr>
        <w:t xml:space="preserve">, </w:t>
      </w:r>
      <w:r>
        <w:rPr>
          <w:rFonts w:ascii="Times New Roman" w:hAnsi="Times New Roman"/>
          <w:b w:val="false"/>
          <w:color w:val="000000"/>
          <w:sz w:val="20"/>
          <w:u w:val="single"/>
        </w:rPr>
        <w:t>Section 3.4(a)</w:t>
      </w:r>
      <w:r>
        <w:rPr>
          <w:rFonts w:ascii="Times New Roman" w:hAnsi="Times New Roman"/>
          <w:b w:val="false"/>
          <w:color w:val="000000"/>
          <w:sz w:val="20"/>
        </w:rPr>
        <w:t xml:space="preserve">, </w:t>
      </w:r>
      <w:r>
        <w:rPr>
          <w:rFonts w:ascii="Times New Roman" w:hAnsi="Times New Roman"/>
          <w:b w:val="false"/>
          <w:color w:val="000000"/>
          <w:sz w:val="20"/>
          <w:u w:val="single"/>
        </w:rPr>
        <w:t>Section 3.4(i)</w:t>
      </w:r>
      <w:r>
        <w:rPr>
          <w:rFonts w:ascii="Times New Roman" w:hAnsi="Times New Roman"/>
          <w:b w:val="false"/>
          <w:color w:val="000000"/>
          <w:sz w:val="20"/>
        </w:rPr>
        <w:t xml:space="preserve">, the applicable sections of </w:t>
      </w:r>
      <w:r>
        <w:rPr>
          <w:rFonts w:ascii="Times New Roman" w:hAnsi="Times New Roman"/>
          <w:b w:val="false"/>
          <w:color w:val="000000"/>
          <w:sz w:val="20"/>
          <w:u w:val="single"/>
        </w:rPr>
        <w:t>Article V</w:t>
      </w:r>
      <w:r>
        <w:rPr>
          <w:rFonts w:ascii="Times New Roman" w:hAnsi="Times New Roman"/>
          <w:b w:val="false"/>
          <w:color w:val="000000"/>
          <w:sz w:val="20"/>
        </w:rPr>
        <w:t xml:space="preserve">, </w:t>
      </w:r>
      <w:r>
        <w:rPr>
          <w:rFonts w:ascii="Times New Roman" w:hAnsi="Times New Roman"/>
          <w:b w:val="false"/>
          <w:color w:val="000000"/>
          <w:sz w:val="20"/>
          <w:u w:val="single"/>
        </w:rPr>
        <w:t>Section 6.10</w:t>
      </w:r>
      <w:r>
        <w:rPr>
          <w:rFonts w:ascii="Times New Roman" w:hAnsi="Times New Roman"/>
          <w:b w:val="false"/>
          <w:color w:val="000000"/>
          <w:sz w:val="20"/>
        </w:rPr>
        <w:t xml:space="preserve">, </w:t>
      </w:r>
      <w:r>
        <w:rPr>
          <w:rFonts w:ascii="Times New Roman" w:hAnsi="Times New Roman"/>
          <w:b w:val="false"/>
          <w:color w:val="000000"/>
          <w:sz w:val="20"/>
          <w:u w:val="single"/>
        </w:rPr>
        <w:t>Section 7.1</w:t>
      </w:r>
      <w:r>
        <w:rPr>
          <w:rFonts w:ascii="Times New Roman" w:hAnsi="Times New Roman"/>
          <w:b w:val="false"/>
          <w:color w:val="000000"/>
          <w:sz w:val="20"/>
        </w:rPr>
        <w:t xml:space="preserve">, </w:t>
      </w:r>
      <w:r>
        <w:rPr>
          <w:rFonts w:ascii="Times New Roman" w:hAnsi="Times New Roman"/>
          <w:b w:val="false"/>
          <w:color w:val="000000"/>
          <w:sz w:val="20"/>
          <w:u w:val="single"/>
        </w:rPr>
        <w:t>Section 7.2</w:t>
      </w:r>
      <w:r>
        <w:rPr>
          <w:rFonts w:ascii="Times New Roman" w:hAnsi="Times New Roman"/>
          <w:b w:val="false"/>
          <w:color w:val="000000"/>
          <w:sz w:val="20"/>
        </w:rPr>
        <w:t xml:space="preserve"> and </w:t>
      </w:r>
      <w:r>
        <w:rPr>
          <w:rFonts w:ascii="Times New Roman" w:hAnsi="Times New Roman"/>
          <w:b w:val="false"/>
          <w:color w:val="000000"/>
          <w:sz w:val="20"/>
          <w:u w:val="single"/>
        </w:rPr>
        <w:t>Article IX</w:t>
      </w:r>
      <w:r>
        <w:rPr>
          <w:rFonts w:ascii="Times New Roman" w:hAnsi="Times New Roman"/>
          <w:b w:val="false"/>
          <w:color w:val="000000"/>
          <w:sz w:val="20"/>
        </w:rPr>
        <w:t>, AG REIT Management, LLC, a Delaware limited liability company (“</w:t>
      </w:r>
      <w:r>
        <w:rPr>
          <w:rFonts w:ascii="Times New Roman" w:hAnsi="Times New Roman"/>
          <w:b w:val="false"/>
          <w:color w:val="000000"/>
          <w:sz w:val="20"/>
          <w:u w:val="single"/>
        </w:rPr>
        <w:t>Parent Manager</w:t>
      </w:r>
      <w:r>
        <w:rPr>
          <w:rFonts w:ascii="Times New Roman" w:hAnsi="Times New Roman"/>
          <w:b w:val="false"/>
          <w:color w:val="000000"/>
          <w:sz w:val="20"/>
        </w:rPr>
        <w:t xml:space="preserve">”). Certain capitalized terms used herein are defined in </w:t>
      </w:r>
      <w:r>
        <w:rPr>
          <w:rFonts w:ascii="Times New Roman" w:hAnsi="Times New Roman"/>
          <w:b w:val="false"/>
          <w:color w:val="000000"/>
          <w:sz w:val="20"/>
          <w:u w:val="single"/>
        </w:rPr>
        <w:t>Article 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the Company and Parent are each operating as a real estate investment trust within the meaning, and under the provisions, of Sections 856 through 860 of the Internal Revenue Code of 1986, as amended (the “</w:t>
      </w:r>
      <w:r>
        <w:rPr>
          <w:rFonts w:ascii="Times New Roman" w:hAnsi="Times New Roman"/>
          <w:b w:val="false"/>
          <w:color w:val="000000"/>
          <w:sz w:val="20"/>
          <w:u w:val="single"/>
        </w:rPr>
        <w:t>Code</w:t>
      </w:r>
      <w:r>
        <w:rPr>
          <w:rFonts w:ascii="Times New Roman" w:hAnsi="Times New Roman"/>
          <w:b w:val="false"/>
          <w:color w:val="000000"/>
          <w:sz w:val="20"/>
        </w:rPr>
        <w:t>”), for U.S. federal income tax purposes (“</w:t>
      </w:r>
      <w:r>
        <w:rPr>
          <w:rFonts w:ascii="Times New Roman" w:hAnsi="Times New Roman"/>
          <w:b w:val="false"/>
          <w:color w:val="000000"/>
          <w:sz w:val="20"/>
          <w:u w:val="single"/>
        </w:rPr>
        <w:t>REIT</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the Company, the Company Operating Partnership, Parent and Merger Sub wish to effect a business combination through (a) a merger of the Company Operating Partnership with and into the Company, with the Company being the surviving entity in such merger (the “</w:t>
      </w:r>
      <w:r>
        <w:rPr>
          <w:rFonts w:ascii="Times New Roman" w:hAnsi="Times New Roman"/>
          <w:b w:val="false"/>
          <w:color w:val="000000"/>
          <w:sz w:val="20"/>
          <w:u w:val="single"/>
        </w:rPr>
        <w:t>Partnership Merger</w:t>
      </w:r>
      <w:r>
        <w:rPr>
          <w:rFonts w:ascii="Times New Roman" w:hAnsi="Times New Roman"/>
          <w:b w:val="false"/>
          <w:color w:val="000000"/>
          <w:sz w:val="20"/>
        </w:rPr>
        <w:t>”), upon the terms and conditions set forth in this Agreement and in accordance with the Delaware Revised Uniform Limited Partnership Act (the “</w:t>
      </w:r>
      <w:r>
        <w:rPr>
          <w:rFonts w:ascii="Times New Roman" w:hAnsi="Times New Roman"/>
          <w:b w:val="false"/>
          <w:color w:val="000000"/>
          <w:sz w:val="20"/>
          <w:u w:val="single"/>
        </w:rPr>
        <w:t>DRULPA</w:t>
      </w:r>
      <w:r>
        <w:rPr>
          <w:rFonts w:ascii="Times New Roman" w:hAnsi="Times New Roman"/>
          <w:b w:val="false"/>
          <w:color w:val="000000"/>
          <w:sz w:val="20"/>
        </w:rPr>
        <w:t>”) and the Maryland General Corporation Law (the “</w:t>
      </w:r>
      <w:r>
        <w:rPr>
          <w:rFonts w:ascii="Times New Roman" w:hAnsi="Times New Roman"/>
          <w:b w:val="false"/>
          <w:color w:val="000000"/>
          <w:sz w:val="20"/>
          <w:u w:val="single"/>
        </w:rPr>
        <w:t>MGCL</w:t>
      </w:r>
      <w:r>
        <w:rPr>
          <w:rFonts w:ascii="Times New Roman" w:hAnsi="Times New Roman"/>
          <w:b w:val="false"/>
          <w:color w:val="000000"/>
          <w:sz w:val="20"/>
        </w:rPr>
        <w:t>”) and then (b) a merger of the Company with and into Merger Sub, with Merger Sub being the Surviving Entity (the “</w:t>
      </w:r>
      <w:r>
        <w:rPr>
          <w:rFonts w:ascii="Times New Roman" w:hAnsi="Times New Roman"/>
          <w:b w:val="false"/>
          <w:color w:val="000000"/>
          <w:sz w:val="20"/>
          <w:u w:val="single"/>
        </w:rPr>
        <w:t>Company Merger</w:t>
      </w:r>
      <w:r>
        <w:rPr>
          <w:rFonts w:ascii="Times New Roman" w:hAnsi="Times New Roman"/>
          <w:b w:val="false"/>
          <w:color w:val="000000"/>
          <w:sz w:val="20"/>
        </w:rPr>
        <w:t>” and together with the Partnership Merger, the “</w:t>
      </w:r>
      <w:r>
        <w:rPr>
          <w:rFonts w:ascii="Times New Roman" w:hAnsi="Times New Roman"/>
          <w:b w:val="false"/>
          <w:color w:val="000000"/>
          <w:sz w:val="20"/>
          <w:u w:val="single"/>
        </w:rPr>
        <w:t>Mergers</w:t>
      </w:r>
      <w:r>
        <w:rPr>
          <w:rFonts w:ascii="Times New Roman" w:hAnsi="Times New Roman"/>
          <w:b w:val="false"/>
          <w:color w:val="000000"/>
          <w:sz w:val="20"/>
        </w:rPr>
        <w:t>”), upon the terms and conditions set forth in this Agreement and in accordance with the Delaware Limited Liability Company Act (the “</w:t>
      </w:r>
      <w:r>
        <w:rPr>
          <w:rFonts w:ascii="Times New Roman" w:hAnsi="Times New Roman"/>
          <w:b w:val="false"/>
          <w:color w:val="000000"/>
          <w:sz w:val="20"/>
          <w:u w:val="single"/>
        </w:rPr>
        <w:t>DLLCA</w:t>
      </w:r>
      <w:r>
        <w:rPr>
          <w:rFonts w:ascii="Times New Roman" w:hAnsi="Times New Roman"/>
          <w:b w:val="false"/>
          <w:color w:val="000000"/>
          <w:sz w:val="20"/>
        </w:rPr>
        <w:t>”) and the MGCL;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the board of directors of the Company (the “</w:t>
      </w:r>
      <w:r>
        <w:rPr>
          <w:rFonts w:ascii="Times New Roman" w:hAnsi="Times New Roman"/>
          <w:b w:val="false"/>
          <w:color w:val="000000"/>
          <w:sz w:val="20"/>
          <w:u w:val="single"/>
        </w:rPr>
        <w:t>Company Board</w:t>
      </w:r>
      <w:r>
        <w:rPr>
          <w:rFonts w:ascii="Times New Roman" w:hAnsi="Times New Roman"/>
          <w:b w:val="false"/>
          <w:color w:val="000000"/>
          <w:sz w:val="20"/>
        </w:rPr>
        <w:t>”) has unanimously: (a) determined that this Agreement and the transactions contemplated herein, including the Mergers (collectively, the “</w:t>
      </w:r>
      <w:r>
        <w:rPr>
          <w:rFonts w:ascii="Times New Roman" w:hAnsi="Times New Roman"/>
          <w:b w:val="false"/>
          <w:color w:val="000000"/>
          <w:sz w:val="20"/>
          <w:u w:val="single"/>
        </w:rPr>
        <w:t>Transactions</w:t>
      </w:r>
      <w:r>
        <w:rPr>
          <w:rFonts w:ascii="Times New Roman" w:hAnsi="Times New Roman"/>
          <w:b w:val="false"/>
          <w:color w:val="000000"/>
          <w:sz w:val="20"/>
        </w:rPr>
        <w:t xml:space="preserve">”), are advisable, fair to and in the best interests of the Company and the Company’s stockholders; (b) adopted this Agreement and approved the Transactions, including the Mergers; (c) directed that this Agreement and the Company Merger be submitted for consideration at the Company Stockholders Meeting; and (d) resolved, subject to </w:t>
      </w:r>
      <w:r>
        <w:rPr>
          <w:rFonts w:ascii="Times New Roman" w:hAnsi="Times New Roman"/>
          <w:b w:val="false"/>
          <w:color w:val="000000"/>
          <w:sz w:val="20"/>
          <w:u w:val="single"/>
        </w:rPr>
        <w:t>Section 6.5</w:t>
      </w:r>
      <w:r>
        <w:rPr>
          <w:rFonts w:ascii="Times New Roman" w:hAnsi="Times New Roman"/>
          <w:b w:val="false"/>
          <w:color w:val="000000"/>
          <w:sz w:val="20"/>
        </w:rPr>
        <w:t>, to recommend that the Company’s stockholders approve this Agreement and the Company Merger on the terms and subject to the conditions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the board of directors of Parent (the “</w:t>
      </w:r>
      <w:r>
        <w:rPr>
          <w:rFonts w:ascii="Times New Roman" w:hAnsi="Times New Roman"/>
          <w:b w:val="false"/>
          <w:color w:val="000000"/>
          <w:sz w:val="20"/>
          <w:u w:val="single"/>
        </w:rPr>
        <w:t>Parent Board</w:t>
      </w:r>
      <w:r>
        <w:rPr>
          <w:rFonts w:ascii="Times New Roman" w:hAnsi="Times New Roman"/>
          <w:b w:val="false"/>
          <w:color w:val="000000"/>
          <w:sz w:val="20"/>
        </w:rPr>
        <w:t>”) has unanimously: (a) determined that this Agreement and the Transactions, including the Company Merger and the issuance of shares of Parent Common Stock in connection therewith (the “</w:t>
      </w:r>
      <w:r>
        <w:rPr>
          <w:rFonts w:ascii="Times New Roman" w:hAnsi="Times New Roman"/>
          <w:b w:val="false"/>
          <w:color w:val="000000"/>
          <w:sz w:val="20"/>
          <w:u w:val="single"/>
        </w:rPr>
        <w:t>Parent Common Stock Issuance</w:t>
      </w:r>
      <w:r>
        <w:rPr>
          <w:rFonts w:ascii="Times New Roman" w:hAnsi="Times New Roman"/>
          <w:b w:val="false"/>
          <w:color w:val="000000"/>
          <w:sz w:val="20"/>
        </w:rPr>
        <w:t xml:space="preserve">”), are advisable, fair to and in the best interests of Parent; (b) approved this Agreement and the Transactions, including the Company Merger and the Parent Common Stock Issuance; (c) directed that the Parent Common Stock Issuance be submitted for consideration at the Parent Stockholders Meeting; and (d) resolved, subject to </w:t>
      </w:r>
      <w:r>
        <w:rPr>
          <w:rFonts w:ascii="Times New Roman" w:hAnsi="Times New Roman"/>
          <w:b w:val="false"/>
          <w:color w:val="000000"/>
          <w:sz w:val="20"/>
          <w:u w:val="single"/>
        </w:rPr>
        <w:t>Section 6.6</w:t>
      </w:r>
      <w:r>
        <w:rPr>
          <w:rFonts w:ascii="Times New Roman" w:hAnsi="Times New Roman"/>
          <w:b w:val="false"/>
          <w:color w:val="000000"/>
          <w:sz w:val="20"/>
        </w:rPr>
        <w:t>, to recommend that Parent’s stockholders approve the Parent Common Stock Issuance on the terms and subject to the conditions of this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the sole member of Merger Sub has: (a) determined that this Agreement and the Transactions, including the Company Merger, are advisable, fair to and in the best interests of Merger Sub and Parent, as the sole member of Merger Sub (the “</w:t>
      </w:r>
      <w:r>
        <w:rPr>
          <w:rFonts w:ascii="Times New Roman" w:hAnsi="Times New Roman"/>
          <w:b w:val="false"/>
          <w:color w:val="000000"/>
          <w:sz w:val="20"/>
          <w:u w:val="single"/>
        </w:rPr>
        <w:t>Merger Sub Sole Member</w:t>
      </w:r>
      <w:r>
        <w:rPr>
          <w:rFonts w:ascii="Times New Roman" w:hAnsi="Times New Roman"/>
          <w:b w:val="false"/>
          <w:color w:val="000000"/>
          <w:sz w:val="20"/>
        </w:rPr>
        <w:t>”); and (b) approved this Agreement and the Transactions, including the Mergers;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the Company, as the sole general partner of the Company Operating Partnership and the holder of a majority of the issued and outstanding Company Partnership Units, has by written consent: (a) determined that this Agreement and the Transactions, including the Partnership Merger, are advisable, fair to and in the best interests of Company Operating Partnership; and (b) approved this Agreement and the Transactions, including the Partnership Merger;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concurrently with the execution and delivery of this Agreement, the Company and AG MIT, LLC have entered into and delivered a voting and support agreement (the “</w:t>
      </w:r>
      <w:r>
        <w:rPr>
          <w:rFonts w:ascii="Times New Roman" w:hAnsi="Times New Roman"/>
          <w:b w:val="false"/>
          <w:color w:val="000000"/>
          <w:sz w:val="20"/>
          <w:u w:val="single"/>
        </w:rPr>
        <w:t>Support Agreement</w:t>
      </w:r>
      <w:r>
        <w:rPr>
          <w:rFonts w:ascii="Times New Roman" w:hAnsi="Times New Roman"/>
          <w:b w:val="false"/>
          <w:color w:val="000000"/>
          <w:sz w:val="20"/>
        </w:rPr>
        <w:t>”) in connection with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4"/>
        </w:rPr>
      </w:pPr>
      <w:r>
        <w:rPr>
          <w:rFonts w:ascii="Times New Roman" w:hAnsi="Times New Roman"/>
          <w:b w:val="false"/>
          <w:color w:val="000000"/>
          <w:sz w:val="20"/>
        </w:rPr>
        <w:t>WHEREAS,</w:t>
      </w:r>
      <w:r>
        <w:rPr>
          <w:rFonts w:ascii="Times New Roman" w:hAnsi="Times New Roman"/>
          <w:b w:val="false"/>
          <w:color w:val="000000"/>
          <w:sz w:val="24"/>
        </w:rPr>
        <w:t> </w:t>
      </w:r>
      <w:r>
        <w:rPr>
          <w:rFonts w:ascii="Times New Roman" w:hAnsi="Times New Roman"/>
          <w:b w:val="false"/>
          <w:color w:val="000000"/>
          <w:sz w:val="20"/>
        </w:rPr>
        <w:t>for U.S. federal income tax purposes, it is intended that the Company Merger shall qualify as a “reorganization” under, and within the meaning of, Section 368(a) of the Code, and this Agreement is intended to be and is adopted as a “plan of reorganization” for the Mergers for purposes of Sections 354 and 361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immediately prior to the Partnership Merger Effective Time (as defined below), all outstanding Company LTIP Units shall be converted into Company Common Stock pursuant to, and in accordance with, the terms of the Company Operating Partnership Agreement;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WHEREAS, the parties hereto desire to make certain representations, warranties, covenants and agreements in connection with the Mergers and to prescribe various terms of and conditions to the Mergers.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NOW, THEREFORE, in consideration of the foregoing and the representations, warranties, covenants and agreements contained in this Agreement, and for other valuable consideration, the receipt and sufficiency of which are hereby acknowledged, Parent, Merger Sub, Parent Manager, the Company and the Company Operating Partnership hereby agree as follows:</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I</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DEFINITIONS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1.1.         </w:t>
      </w:r>
      <w:r>
        <w:rPr>
          <w:rFonts w:ascii="Times New Roman" w:hAnsi="Times New Roman"/>
          <w:b w:val="false"/>
          <w:color w:val="000000"/>
          <w:sz w:val="20"/>
          <w:u w:val="single"/>
        </w:rPr>
        <w:t>Definitions</w:t>
      </w:r>
      <w:r>
        <w:rPr>
          <w:rFonts w:ascii="Times New Roman" w:hAnsi="Times New Roman"/>
          <w:b w:val="false"/>
          <w:color w:val="000000"/>
          <w:sz w:val="20"/>
        </w:rPr>
        <w:t>. The following terms shall have the following meanings for purposes of this Agreement: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Acceptable Confidentiality Agreement</w:t>
      </w:r>
      <w:r>
        <w:rPr>
          <w:rFonts w:ascii="Times New Roman" w:hAnsi="Times New Roman"/>
          <w:b w:val="false"/>
          <w:color w:val="000000"/>
          <w:sz w:val="20"/>
        </w:rPr>
        <w:t>” means a confidentiality agreement on terms that, with respect to confidentiality and use, are no less restrictive to the counterparty thereto than those applicable to a “Receiving Party” under the Confidentiality Agreement, except for such changes to permit the Company or Parent, as applicable, to comply with its obligations under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Affiliate</w:t>
      </w:r>
      <w:r>
        <w:rPr>
          <w:rFonts w:ascii="Times New Roman" w:hAnsi="Times New Roman"/>
          <w:b w:val="false"/>
          <w:color w:val="000000"/>
          <w:sz w:val="20"/>
        </w:rPr>
        <w:t>” means, with respect to any specified Person, any other Person that directly or indirectly, through one or more intermediaries, Controls, is Controlled by, or is under common Control with, such first Person. For purposes of this Agreement, “</w:t>
      </w:r>
      <w:r>
        <w:rPr>
          <w:rFonts w:ascii="Times New Roman" w:hAnsi="Times New Roman"/>
          <w:b w:val="false"/>
          <w:color w:val="000000"/>
          <w:sz w:val="20"/>
          <w:u w:val="single"/>
        </w:rPr>
        <w:t>Control</w:t>
      </w:r>
      <w:r>
        <w:rPr>
          <w:rFonts w:ascii="Times New Roman" w:hAnsi="Times New Roman"/>
          <w:b w:val="false"/>
          <w:color w:val="000000"/>
          <w:sz w:val="20"/>
        </w:rPr>
        <w:t>” means the possession, directly or indirectly, of the power to direct or cause the direction of the management and policies of a Person, whether through the ownership of securities, by contract, management control, or otherwise. “</w:t>
      </w:r>
      <w:r>
        <w:rPr>
          <w:rFonts w:ascii="Times New Roman" w:hAnsi="Times New Roman"/>
          <w:b w:val="false"/>
          <w:color w:val="000000"/>
          <w:sz w:val="20"/>
          <w:u w:val="single"/>
        </w:rPr>
        <w:t>Controlled</w:t>
      </w:r>
      <w:r>
        <w:rPr>
          <w:rFonts w:ascii="Times New Roman" w:hAnsi="Times New Roman"/>
          <w:b w:val="false"/>
          <w:color w:val="000000"/>
          <w:sz w:val="20"/>
        </w:rPr>
        <w:t>” and “</w:t>
      </w:r>
      <w:r>
        <w:rPr>
          <w:rFonts w:ascii="Times New Roman" w:hAnsi="Times New Roman"/>
          <w:b w:val="false"/>
          <w:color w:val="000000"/>
          <w:sz w:val="20"/>
          <w:u w:val="single"/>
        </w:rPr>
        <w:t>Controlling</w:t>
      </w:r>
      <w:r>
        <w:rPr>
          <w:rFonts w:ascii="Times New Roman" w:hAnsi="Times New Roman"/>
          <w:b w:val="false"/>
          <w:color w:val="000000"/>
          <w:sz w:val="20"/>
        </w:rPr>
        <w:t>” shall be construed accordingly.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Agreement</w:t>
      </w:r>
      <w:r>
        <w:rPr>
          <w:rFonts w:ascii="Times New Roman" w:hAnsi="Times New Roman"/>
          <w:b w:val="false"/>
          <w:color w:val="000000"/>
          <w:sz w:val="20"/>
        </w:rPr>
        <w:t>” has the meaning set forth in the Preamble.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Articles of Incorporation</w:t>
      </w:r>
      <w:r>
        <w:rPr>
          <w:rFonts w:ascii="Times New Roman" w:hAnsi="Times New Roman"/>
          <w:b w:val="false"/>
          <w:color w:val="000000"/>
          <w:sz w:val="20"/>
        </w:rPr>
        <w:t>” means the Articles of Amendment and Restatement of the Company, as amended.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Articles of Merger</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Aurora</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4.14(d)</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Benefit Plan</w:t>
      </w:r>
      <w:r>
        <w:rPr>
          <w:rFonts w:ascii="Times New Roman" w:hAnsi="Times New Roman"/>
          <w:b w:val="false"/>
          <w:color w:val="000000"/>
          <w:sz w:val="20"/>
        </w:rPr>
        <w:t>” means each Company Benefit Plan and each PEO Benefit Plan.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Book-Entry Shares</w:t>
      </w:r>
      <w:r>
        <w:rPr>
          <w:rFonts w:ascii="Times New Roman" w:hAnsi="Times New Roman"/>
          <w:b w:val="false"/>
          <w:color w:val="000000"/>
          <w:sz w:val="20"/>
        </w:rPr>
        <w:t>” means, with respect to any shares of Company Common Stock, Company Preferred Stock or Company Partnership Units, which, immediately prior to the Partnership Merger Effective Time or Company Merger Effective Time, as applicable, are not represented by certificates, but are represented in book-entry form.</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Business Day</w:t>
      </w:r>
      <w:r>
        <w:rPr>
          <w:rFonts w:ascii="Times New Roman" w:hAnsi="Times New Roman"/>
          <w:b w:val="false"/>
          <w:color w:val="000000"/>
          <w:sz w:val="20"/>
        </w:rPr>
        <w:t>” means any day other than a Saturday, Sunday or other day on which banking institutions in the State of Maryland are authorized or required by Law or other action of a Governmental Authority to close.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Business Permits</w:t>
      </w:r>
      <w:r>
        <w:rPr>
          <w:rFonts w:ascii="Times New Roman" w:hAnsi="Times New Roman"/>
          <w:b w:val="false"/>
          <w:color w:val="000000"/>
          <w:sz w:val="20"/>
        </w:rPr>
        <w:t xml:space="preserve">” means the Permits of the Company and its Subsidiaries, which are set forth on </w:t>
      </w:r>
      <w:r>
        <w:rPr>
          <w:rFonts w:ascii="Times New Roman" w:hAnsi="Times New Roman"/>
          <w:b w:val="false"/>
          <w:color w:val="000000"/>
          <w:sz w:val="20"/>
          <w:u w:val="single"/>
        </w:rPr>
        <w:t>Section 1.1(a)</w:t>
      </w:r>
      <w:r>
        <w:rPr>
          <w:rFonts w:ascii="Times New Roman" w:hAnsi="Times New Roman"/>
          <w:b w:val="false"/>
          <w:color w:val="000000"/>
          <w:sz w:val="20"/>
        </w:rPr>
        <w:t xml:space="preserve"> of the Company Disclosure Letter in a chart indicating whether such Business Permit requires  (a) prior approval, consent or authorization of a Governmental Authority or (b) the submission of a new application that must be approved by a Governmental Authority, or (c) pre-Closing notification of a Governmental Authority, or (d) post-Closing notification of a Governmental Authority, in each case in connection with the Transactions.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Bylaws</w:t>
      </w:r>
      <w:r>
        <w:rPr>
          <w:rFonts w:ascii="Times New Roman" w:hAnsi="Times New Roman"/>
          <w:b w:val="false"/>
          <w:color w:val="000000"/>
          <w:sz w:val="20"/>
        </w:rPr>
        <w:t>” means the Amended and Restated Bylaws of the Company, as amended.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Canceled Shares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3.1(b)(ii)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Canceled Units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3.2(c)</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Capitalization Date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4.1(d)(ii)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Certificate of Merger</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Claim Expenses</w:t>
      </w:r>
      <w:r>
        <w:rPr>
          <w:rFonts w:ascii="Times New Roman" w:hAnsi="Times New Roman"/>
          <w:b w:val="false"/>
          <w:color w:val="000000"/>
          <w:sz w:val="20"/>
        </w:rPr>
        <w:t xml:space="preserve">” 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w:t>
      </w:r>
      <w:r>
        <w:rPr>
          <w:rFonts w:ascii="Times New Roman" w:hAnsi="Times New Roman"/>
          <w:b w:val="false"/>
          <w:color w:val="000000"/>
          <w:sz w:val="20"/>
          <w:u w:val="single"/>
        </w:rPr>
        <w:t>Section 6.11</w:t>
      </w:r>
      <w:r>
        <w:rPr>
          <w:rFonts w:ascii="Times New Roman" w:hAnsi="Times New Roman"/>
          <w:b w:val="false"/>
          <w:color w:val="000000"/>
          <w:sz w:val="20"/>
        </w:rPr>
        <w:t>, including any action relating to a claim for indemnification or advancement brought by a Covered Person.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Closing</w:t>
      </w:r>
      <w:r>
        <w:rPr>
          <w:rFonts w:ascii="Times New Roman" w:hAnsi="Times New Roman"/>
          <w:b w:val="false"/>
          <w:color w:val="000000"/>
          <w:sz w:val="20"/>
        </w:rPr>
        <w:t>” means the consummation of the Transactions.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Closing Date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2.2</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Closing Volume-Weighted Average Price</w:t>
      </w:r>
      <w:r>
        <w:rPr>
          <w:rFonts w:ascii="Times New Roman" w:hAnsi="Times New Roman"/>
          <w:b w:val="false"/>
          <w:color w:val="000000"/>
          <w:sz w:val="20"/>
        </w:rPr>
        <w:t>” means the volume-weighted average price, rounded to four decimal places, of shares of Parent Common Stock on the NYSE for the period of the ten (10) consecutive trading days ending on the second full trading day prior to the Company Merger Effective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COBRA</w:t>
      </w:r>
      <w:r>
        <w:rPr>
          <w:rFonts w:ascii="Times New Roman" w:hAnsi="Times New Roman"/>
          <w:b w:val="false"/>
          <w:color w:val="000000"/>
          <w:sz w:val="20"/>
        </w:rPr>
        <w:t>” means Section 4980B of the Internal Revenue Code of 1986, as amended, Part 6 of Subtitle B of Title I of ERISA, and any similar state or local law requiring continuation of group health plan coverage.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Code</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Common Stock Merger Consideration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3.1(b)(i)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w:t>
      </w:r>
      <w:r>
        <w:rPr>
          <w:rFonts w:ascii="Times New Roman" w:hAnsi="Times New Roman"/>
          <w:b w:val="false"/>
          <w:color w:val="000000"/>
          <w:sz w:val="20"/>
        </w:rPr>
        <w:t>” has the meaning set forth in the Preamble.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Additional Dividend Amount</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6.19</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Applicable Requirements</w:t>
      </w:r>
      <w:r>
        <w:rPr>
          <w:rFonts w:ascii="Times New Roman" w:hAnsi="Times New Roman"/>
          <w:b w:val="false"/>
          <w:color w:val="000000"/>
          <w:sz w:val="20"/>
        </w:rPr>
        <w:t>” means, as of the time of reference, (a) all of the terms of the mortgage note, security instrument and any other material loan documents relating to each Mortgage Loan owned or serviced by the Company or any of its Subsidiaries, (b) all requirements set forth in the Company Servicing Agreements,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Company Serviced Mortgage Loan or Company Subserviced Mortgage Loan.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Benefit Plan</w:t>
      </w:r>
      <w:r>
        <w:rPr>
          <w:rFonts w:ascii="Times New Roman" w:hAnsi="Times New Roman"/>
          <w:b w:val="false"/>
          <w:color w:val="000000"/>
          <w:sz w:val="20"/>
        </w:rPr>
        <w:t>” 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(a) entered into, contributed to (or required to be contributed to), sponsored by or maintained by the Company or (b) for which the Company has any Liability (contingent or otherwise, including by way of an ERISA Affiliate), in each case, other than any PEO Benefit Plan or any plan, program or arrangement required to be contributed to by any Governmental Authority.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Board</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Change of Recommendation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6.5(d)</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Common Stock</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4.1(d)(i)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Common Unit</w:t>
      </w:r>
      <w:r>
        <w:rPr>
          <w:rFonts w:ascii="Times New Roman" w:hAnsi="Times New Roman"/>
          <w:b w:val="false"/>
          <w:color w:val="000000"/>
          <w:sz w:val="20"/>
        </w:rPr>
        <w:t>” means a Common Unit as defined in the Company Operating Partnership Agreement.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Director Designee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2.7</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Disclosure Letter</w:t>
      </w:r>
      <w:r>
        <w:rPr>
          <w:rFonts w:ascii="Times New Roman" w:hAnsi="Times New Roman"/>
          <w:b w:val="false"/>
          <w:color w:val="000000"/>
          <w:sz w:val="20"/>
        </w:rPr>
        <w:t xml:space="preserve">” has the meaning set forth in the introductory language to </w:t>
      </w:r>
      <w:r>
        <w:rPr>
          <w:rFonts w:ascii="Times New Roman" w:hAnsi="Times New Roman"/>
          <w:b w:val="false"/>
          <w:color w:val="000000"/>
          <w:sz w:val="20"/>
          <w:u w:val="single"/>
        </w:rPr>
        <w:t>Article IV</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Equity Awards</w:t>
      </w:r>
      <w:r>
        <w:rPr>
          <w:rFonts w:ascii="Times New Roman" w:hAnsi="Times New Roman"/>
          <w:b w:val="false"/>
          <w:color w:val="000000"/>
          <w:sz w:val="20"/>
        </w:rPr>
        <w:t>” means, collectively, the Company Restricted Stock Awards, the Company PSU Awards, the Company RSU Awards and the Company LTIP Units.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Equity Plans</w:t>
      </w:r>
      <w:r>
        <w:rPr>
          <w:rFonts w:ascii="Times New Roman" w:hAnsi="Times New Roman"/>
          <w:b w:val="false"/>
          <w:color w:val="000000"/>
          <w:sz w:val="20"/>
        </w:rPr>
        <w:t>” means any of the Company’s 2023 Equity Incentive Plan and 2013 Equity Incentive Plan.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Executive Severance Plan</w:t>
      </w:r>
      <w:r>
        <w:rPr>
          <w:rFonts w:ascii="Times New Roman" w:hAnsi="Times New Roman"/>
          <w:b w:val="false"/>
          <w:color w:val="000000"/>
          <w:sz w:val="20"/>
        </w:rPr>
        <w:t>” means the Cherry Hill Mortgage Investment Corporation Executive Severance Plan, as such plan may be amended from time to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Facilities</w:t>
      </w:r>
      <w:r>
        <w:rPr>
          <w:rFonts w:ascii="Times New Roman" w:hAnsi="Times New Roman"/>
          <w:b w:val="false"/>
          <w:color w:val="000000"/>
          <w:sz w:val="20"/>
        </w:rPr>
        <w:t>” means, collectively (a) that certain Credit and Security Agreement, dated as of July 31, 2018 (as amended, modified, supplemented, restated or amended and restated from time to time in accordance with its terms), by and among Aurora, the Company and Cherry Hill QRS V, LLC, as borrowers, and NEXBANK, as lender, and (b)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Intellectual Property</w:t>
      </w:r>
      <w:r>
        <w:rPr>
          <w:rFonts w:ascii="Times New Roman" w:hAnsi="Times New Roman"/>
          <w:b w:val="false"/>
          <w:color w:val="000000"/>
          <w:sz w:val="20"/>
        </w:rPr>
        <w:t>” means all Intellectual Property used in the operation of the business of the Company and its Subsidiaries as presently conducted.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Intervening Event</w:t>
      </w:r>
      <w:r>
        <w:rPr>
          <w:rFonts w:ascii="Times New Roman" w:hAnsi="Times New Roman"/>
          <w:b w:val="false"/>
          <w:color w:val="000000"/>
          <w:sz w:val="20"/>
        </w:rPr>
        <w:t xml:space="preserve">” means an Effect that (a) is material to the Company and its Subsidiaries, taken as a whole, that is not actually known to the Company Board as of the date of this Agreement (or if actually known, the material consequences of which were not actually known by the Company Board at such time) and (b) does not relate to or arise from (i) the receipt, existence or terms of any Company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 w:hAnsi="Times New Roman"/>
          <w:b w:val="false"/>
          <w:color w:val="000000"/>
          <w:sz w:val="20"/>
          <w:u w:val="single"/>
        </w:rPr>
        <w:t>provided</w:t>
      </w:r>
      <w:r>
        <w:rPr>
          <w:rFonts w:ascii="Times New Roman" w:hAnsi="Times New Roman"/>
          <w:b w:val="false"/>
          <w:color w:val="000000"/>
          <w:sz w:val="20"/>
        </w:rPr>
        <w:t xml:space="preserve"> that, with respect to the foregoing </w:t>
      </w:r>
      <w:r>
        <w:rPr>
          <w:rFonts w:ascii="Times New Roman" w:hAnsi="Times New Roman"/>
          <w:b w:val="false"/>
          <w:color w:val="000000"/>
          <w:sz w:val="20"/>
          <w:u w:val="single"/>
        </w:rPr>
        <w:t>clauses (ii)</w:t>
      </w:r>
      <w:r>
        <w:rPr>
          <w:rFonts w:ascii="Times New Roman" w:hAnsi="Times New Roman"/>
          <w:b w:val="false"/>
          <w:color w:val="000000"/>
          <w:sz w:val="20"/>
        </w:rPr>
        <w:t xml:space="preserve"> and </w:t>
      </w:r>
      <w:r>
        <w:rPr>
          <w:rFonts w:ascii="Times New Roman" w:hAnsi="Times New Roman"/>
          <w:b w:val="false"/>
          <w:color w:val="000000"/>
          <w:sz w:val="20"/>
          <w:u w:val="single"/>
        </w:rPr>
        <w:t>(iii)</w:t>
      </w:r>
      <w:r>
        <w:rPr>
          <w:rFonts w:ascii="Times New Roman" w:hAnsi="Times New Roman"/>
          <w:b w:val="false"/>
          <w:color w:val="000000"/>
          <w:sz w:val="20"/>
        </w:rPr>
        <w:t>, the underlying cause of such change, failure or exceedance may otherwise constitute or be taken into account in determining whether a “Company Intervening Event” has occurred if not otherwise excluded from consideration under this definition. For the avoidance of doubt, a Company Intervening Event shall not include any Effect relating to the public announcement, execution, delivery or performance of this Agreement, the identity of Parent or Parent Manager or the pendency or the consummation of the Transactions.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LTIP Unit</w:t>
      </w:r>
      <w:r>
        <w:rPr>
          <w:rFonts w:ascii="Times New Roman" w:hAnsi="Times New Roman"/>
          <w:b w:val="false"/>
          <w:color w:val="000000"/>
          <w:sz w:val="20"/>
        </w:rPr>
        <w:t>” means an LTIP Unit as defined in the Company Operating Partnership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Material Adverse Effect</w:t>
      </w:r>
      <w:r>
        <w:rPr>
          <w:rFonts w:ascii="Times New Roman" w:hAnsi="Times New Roman"/>
          <w:b w:val="false"/>
          <w:color w:val="000000"/>
          <w:sz w:val="20"/>
        </w:rPr>
        <w:t xml:space="preserve">” means any Effect that, individually or in the aggregate, is materially adverse to the business or operations of the Company and its Subsidiaries, taken as a whole;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none of any of the following shall constitute or be taken into account in determining whether there has been, is, or would reasonably be expected to be, a Company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changes or proposed changes in GAAP or any Law or changes in the interpretation or enforcement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changes or developments in the industries in which the Company or any of its Subsidiaries operate;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the Company or any of its Subsidiaries or any other disruption to the business of the Company or any of its Subsidiaries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this </w:t>
      </w:r>
      <w:r>
        <w:rPr>
          <w:rFonts w:ascii="Times New Roman" w:hAnsi="Times New Roman"/>
          <w:b w:val="false"/>
          <w:color w:val="000000"/>
          <w:sz w:val="20"/>
          <w:u w:val="single"/>
        </w:rPr>
        <w:t>clause (e)</w:t>
      </w:r>
      <w:r>
        <w:rPr>
          <w:rFonts w:ascii="Times New Roman" w:hAnsi="Times New Roman"/>
          <w:b w:val="false"/>
          <w:color w:val="000000"/>
          <w:sz w:val="20"/>
        </w:rPr>
        <w:t xml:space="preserve"> shall not apply to any representation or warranty to the extent that such representation or warranty is made with respect to the consequences resulting from the execution and delivery of this Agreement or the pendency, performance or consummation of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(g)         any change in the trading price, dividends or trading volume of the shares of Company Common Stock or any change in the credit ratings or ratings outlook for the Company or any of its Subsidiaries, or the availability or cost of equity, debt or other financing to Parent or Merger Sub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underlying causes of any such change referred to in this </w:t>
      </w:r>
      <w:r>
        <w:rPr>
          <w:rFonts w:ascii="Times New Roman" w:hAnsi="Times New Roman"/>
          <w:b w:val="false"/>
          <w:color w:val="000000"/>
          <w:sz w:val="20"/>
          <w:u w:val="single"/>
        </w:rPr>
        <w:t>clause (g)</w:t>
      </w:r>
      <w:r>
        <w:rPr>
          <w:rFonts w:ascii="Times New Roman" w:hAnsi="Times New Roman"/>
          <w:b w:val="false"/>
          <w:color w:val="000000"/>
          <w:sz w:val="20"/>
        </w:rPr>
        <w:t xml:space="preserve"> may be considered in determining whether a Company Material Adverse Effect has occurred, is occurring or would reasonably be expected to occur if not otherwise excluded by another exception set forth in this definition);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(h)        the failure to meet any internal, published, analyst or other third-party’s projections, guidance, budgets, milestones, expectations, forecasts or estimates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underlying causes of any such change referred to in this </w:t>
      </w:r>
      <w:r>
        <w:rPr>
          <w:rFonts w:ascii="Times New Roman" w:hAnsi="Times New Roman"/>
          <w:b w:val="false"/>
          <w:color w:val="000000"/>
          <w:sz w:val="20"/>
          <w:u w:val="single"/>
        </w:rPr>
        <w:t>clause (h)</w:t>
      </w:r>
      <w:r>
        <w:rPr>
          <w:rFonts w:ascii="Times New Roman" w:hAnsi="Times New Roman"/>
          <w:b w:val="false"/>
          <w:color w:val="000000"/>
          <w:sz w:val="20"/>
        </w:rPr>
        <w:t xml:space="preserve"> may be considered in determining whether a Company Material Adverse Effect has occurred, is occurring or would reasonably be expected to occur if not otherwise excluded by another exception set forth in this definition);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          any action taken or omitted by the Company or any of its Subsidiaries at the written request of Parent or consented to in writing by Parent;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(j)          the identity of, or facts specific to, Parent or any of its Affiliates as the acquiror of the Company or any changes arising therefrom; except, with respect to the foregoing </w:t>
      </w:r>
      <w:r>
        <w:rPr>
          <w:rFonts w:ascii="Times New Roman" w:hAnsi="Times New Roman"/>
          <w:b w:val="false"/>
          <w:color w:val="000000"/>
          <w:sz w:val="20"/>
          <w:u w:val="single"/>
        </w:rPr>
        <w:t>clauses (a)</w:t>
      </w:r>
      <w:r>
        <w:rPr>
          <w:rFonts w:ascii="Times New Roman" w:hAnsi="Times New Roman"/>
          <w:b w:val="false"/>
          <w:color w:val="000000"/>
          <w:sz w:val="20"/>
        </w:rPr>
        <w:t xml:space="preserve">, </w:t>
      </w:r>
      <w:r>
        <w:rPr>
          <w:rFonts w:ascii="Times New Roman" w:hAnsi="Times New Roman"/>
          <w:b w:val="false"/>
          <w:color w:val="000000"/>
          <w:sz w:val="20"/>
          <w:u w:val="single"/>
        </w:rPr>
        <w:t>(b)</w:t>
      </w:r>
      <w:r>
        <w:rPr>
          <w:rFonts w:ascii="Times New Roman" w:hAnsi="Times New Roman"/>
          <w:b w:val="false"/>
          <w:color w:val="000000"/>
          <w:sz w:val="20"/>
        </w:rPr>
        <w:t xml:space="preserve">, </w:t>
      </w:r>
      <w:r>
        <w:rPr>
          <w:rFonts w:ascii="Times New Roman" w:hAnsi="Times New Roman"/>
          <w:b w:val="false"/>
          <w:color w:val="000000"/>
          <w:sz w:val="20"/>
          <w:u w:val="single"/>
        </w:rPr>
        <w:t>(c)</w:t>
      </w:r>
      <w:r>
        <w:rPr>
          <w:rFonts w:ascii="Times New Roman" w:hAnsi="Times New Roman"/>
          <w:b w:val="false"/>
          <w:color w:val="000000"/>
          <w:sz w:val="20"/>
        </w:rPr>
        <w:t xml:space="preserve">, </w:t>
      </w:r>
      <w:r>
        <w:rPr>
          <w:rFonts w:ascii="Times New Roman" w:hAnsi="Times New Roman"/>
          <w:b w:val="false"/>
          <w:color w:val="000000"/>
          <w:sz w:val="20"/>
          <w:u w:val="single"/>
        </w:rPr>
        <w:t>(d)</w:t>
      </w:r>
      <w:r>
        <w:rPr>
          <w:rFonts w:ascii="Times New Roman" w:hAnsi="Times New Roman"/>
          <w:b w:val="false"/>
          <w:color w:val="000000"/>
          <w:sz w:val="20"/>
        </w:rPr>
        <w:t xml:space="preserve"> and </w:t>
      </w:r>
      <w:r>
        <w:rPr>
          <w:rFonts w:ascii="Times New Roman" w:hAnsi="Times New Roman"/>
          <w:b w:val="false"/>
          <w:color w:val="000000"/>
          <w:sz w:val="20"/>
          <w:u w:val="single"/>
        </w:rPr>
        <w:t>(f)</w:t>
      </w:r>
      <w:r>
        <w:rPr>
          <w:rFonts w:ascii="Times New Roman" w:hAnsi="Times New Roman"/>
          <w:b w:val="false"/>
          <w:color w:val="000000"/>
          <w:sz w:val="20"/>
        </w:rPr>
        <w:t>, to the extent (and for the avoidance of doubt, only to the extent) that such impact is disproportionately adverse to the Company and its Subsidiaries, taken as a whole, relative to comparable companies in the industries in which the Company and its Subsidiaries operate, in which case only the incremental disproportionate adverse impact may be taken into account in determining whether a Company Material Adverse Effect has occurred, is occurring or would reasonably be expected to occur.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Material Contracts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4.8(a)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Merger</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Merger Effective Time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Operating Partnership</w:t>
      </w:r>
      <w:r>
        <w:rPr>
          <w:rFonts w:ascii="Times New Roman" w:hAnsi="Times New Roman"/>
          <w:b w:val="false"/>
          <w:color w:val="000000"/>
          <w:sz w:val="20"/>
        </w:rPr>
        <w:t>” has the meaning set forth in the Preamble.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Operating Partnership Agreement</w:t>
      </w:r>
      <w:r>
        <w:rPr>
          <w:rFonts w:ascii="Times New Roman" w:hAnsi="Times New Roman"/>
          <w:b w:val="false"/>
          <w:color w:val="000000"/>
          <w:sz w:val="20"/>
        </w:rPr>
        <w:t>” means the Agreement of Limited Partnership of the Company Operating Partnership, dated as of April 25, 2013, as amended by that certain First Amendment to the Agreement of Limited Partnership of the Company Operating Partnership, dated as of August 16, 2017, as further amended by that certain Second Amendment to the Agreement of Limited Partnership of the Company Operating Partnership, dated as of April 5, 2018, as further amended by that certain Third Amendment to the Agreement of Limited Partnership of the Company Operating Partnership, dated as of February 8, 2019.</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Partnership Unit</w:t>
      </w:r>
      <w:r>
        <w:rPr>
          <w:rFonts w:ascii="Times New Roman" w:hAnsi="Times New Roman"/>
          <w:b w:val="false"/>
          <w:color w:val="000000"/>
          <w:sz w:val="20"/>
        </w:rPr>
        <w:t>” means a Company Common Unit, a Company Preferred Unit and/or a Company LTIP Unit.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Permitted Lien</w:t>
      </w:r>
      <w:r>
        <w:rPr>
          <w:rFonts w:ascii="Times New Roman" w:hAnsi="Times New Roman"/>
          <w:b w:val="false"/>
          <w:color w:val="000000"/>
          <w:sz w:val="20"/>
        </w:rPr>
        <w:t>” 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Company and its Subsidiaries (including the Company Operating Partnership) as currently conducted; (e) which is a statutory or common law lien or encumbrance to secure landlords, lessors or renters under leases or rental agreements for amounts not yet delinquent; (f) with respect to the Leased Real Property,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the Company and its Subsidiaries (including the Company Operating Partnership) as currently conducted; (ii) all applicable zoning, entitlement, building, conservation restrictions and other land use and environmental regulations that are not violated by the Leased Real Property or the use or occupancy thereof by the Company or any of its Subsidiaries (including the Company Operating Partnership); (iii) matters that would be shown on a current survey or by a visual inspection of any applicable Leased Real Property that do not and could not reasonably be expected to, individually or in the aggregate, materially interfere with the ordinary conduct of the business of the Company and its Subsidiaries (including the Company Operating Partnership)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the Company or its Subsidiaries or any of the Leased Real Property; (g) Liens that affect the underlying fee interest of any Leased Real Property; or (h) which is identified in the Company Disclosure Letter.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Portfolio Securities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6.2(b)(iv)</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Preferred Stock</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4.1(d)(i)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Preferred Unit</w:t>
      </w:r>
      <w:r>
        <w:rPr>
          <w:rFonts w:ascii="Times New Roman" w:hAnsi="Times New Roman"/>
          <w:b w:val="false"/>
          <w:color w:val="000000"/>
          <w:sz w:val="20"/>
        </w:rPr>
        <w:t>” means a Company Series A Preferred Unit or a Company Series B Preferred Unit.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PSU Award</w:t>
      </w:r>
      <w:r>
        <w:rPr>
          <w:rFonts w:ascii="Times New Roman" w:hAnsi="Times New Roman"/>
          <w:b w:val="false"/>
          <w:color w:val="000000"/>
          <w:sz w:val="20"/>
        </w:rPr>
        <w:t>” means each performance-based restricted stock unit award in respect of a share of Company Common Stock granted under the Company Equity Plans.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Qualifying Income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8.3(i)(i)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Recommendation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4.2(b)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Restricted Stock Award</w:t>
      </w:r>
      <w:r>
        <w:rPr>
          <w:rFonts w:ascii="Times New Roman" w:hAnsi="Times New Roman"/>
          <w:b w:val="false"/>
          <w:color w:val="000000"/>
          <w:sz w:val="20"/>
        </w:rPr>
        <w:t>” means shares of restricted stock and any other shares of Company Common Stock subject to vesting conditions based on continuing service.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RSU Award</w:t>
      </w:r>
      <w:r>
        <w:rPr>
          <w:rFonts w:ascii="Times New Roman" w:hAnsi="Times New Roman"/>
          <w:b w:val="false"/>
          <w:color w:val="000000"/>
          <w:sz w:val="20"/>
        </w:rPr>
        <w:t>” means each restricted stock unit award in respect of a share of Company Common Stock granted under the Company Equity Plans (other than Company PSU Awards).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SEC Documents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4.4(a)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Securities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4.1(d)(iv)</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Series A Preferred Stock</w:t>
      </w:r>
      <w:r>
        <w:rPr>
          <w:rFonts w:ascii="Times New Roman" w:hAnsi="Times New Roman"/>
          <w:b w:val="false"/>
          <w:color w:val="000000"/>
          <w:sz w:val="20"/>
        </w:rPr>
        <w:t>” means the Company’s 8.20% Series A Cumulative Redeemable Preferred Stock, $0.01 par value per share.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Series A Preferred Unit</w:t>
      </w:r>
      <w:r>
        <w:rPr>
          <w:rFonts w:ascii="Times New Roman" w:hAnsi="Times New Roman"/>
          <w:b w:val="false"/>
          <w:color w:val="000000"/>
          <w:sz w:val="20"/>
        </w:rPr>
        <w:t>” means a Series A Preferred Unit as defined in the Company Operating Partnership Agreement.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Series B Preferred Stock</w:t>
      </w:r>
      <w:r>
        <w:rPr>
          <w:rFonts w:ascii="Times New Roman" w:hAnsi="Times New Roman"/>
          <w:b w:val="false"/>
          <w:color w:val="000000"/>
          <w:sz w:val="20"/>
        </w:rPr>
        <w:t>” means the Company’s 8.250% Series B Fixed-to-Floating Rate Cumulative Redeemable Preferred Stock, $0.01 par value per share.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Series B Preferred Unit</w:t>
      </w:r>
      <w:r>
        <w:rPr>
          <w:rFonts w:ascii="Times New Roman" w:hAnsi="Times New Roman"/>
          <w:b w:val="false"/>
          <w:color w:val="000000"/>
          <w:sz w:val="20"/>
        </w:rPr>
        <w:t>” means a Series B Preferred Unit as defined in the Company Operating Partnership Agreement.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Service Provider</w:t>
      </w:r>
      <w:r>
        <w:rPr>
          <w:rFonts w:ascii="Times New Roman" w:hAnsi="Times New Roman"/>
          <w:b w:val="false"/>
          <w:color w:val="000000"/>
          <w:sz w:val="20"/>
        </w:rPr>
        <w:t>” means each current or former director, officer, employee or independent contractor or other service provider of the Company.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Serviced Mortgage Loan</w:t>
      </w:r>
      <w:r>
        <w:rPr>
          <w:rFonts w:ascii="Times New Roman" w:hAnsi="Times New Roman"/>
          <w:b w:val="false"/>
          <w:color w:val="000000"/>
          <w:sz w:val="20"/>
        </w:rPr>
        <w:t>” means any Mortgage Loan serviced by the Company or any of its Subsidiaries pursuant to a Company Servicing Agreement since January 1, 2024.</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 “</w:t>
      </w:r>
      <w:r>
        <w:rPr>
          <w:rFonts w:ascii="Times New Roman" w:hAnsi="Times New Roman"/>
          <w:b w:val="false"/>
          <w:color w:val="000000"/>
          <w:sz w:val="20"/>
          <w:u w:val="single"/>
        </w:rPr>
        <w:t>Company Servicing Agreement</w:t>
      </w:r>
      <w:r>
        <w:rPr>
          <w:rFonts w:ascii="Times New Roman" w:hAnsi="Times New Roman"/>
          <w:b w:val="false"/>
          <w:color w:val="000000"/>
          <w:sz w:val="20"/>
        </w:rPr>
        <w:t>” means any Contract pursuant to which the Company or any of its Subsidiaries is obligated to a Governmental Authority to service or administer Mortgage Loans.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Severance Plan</w:t>
      </w:r>
      <w:r>
        <w:rPr>
          <w:rFonts w:ascii="Times New Roman" w:hAnsi="Times New Roman"/>
          <w:b w:val="false"/>
          <w:color w:val="000000"/>
          <w:sz w:val="20"/>
        </w:rPr>
        <w:t>” means the Cherry Hill Mortgage Investment Corporation Severance Plan, as such plan may be amended from time to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Stockholder Approval</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4.3</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Stockholders Meeting</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6.8(a)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Sub-REIT</w:t>
      </w:r>
      <w:r>
        <w:rPr>
          <w:rFonts w:ascii="Times New Roman" w:hAnsi="Times New Roman"/>
          <w:b w:val="false"/>
          <w:color w:val="000000"/>
          <w:sz w:val="20"/>
        </w:rPr>
        <w:t>” means CHMI Sub-REIT, Inc., a Maryland corporation.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Subserviced Mortgage Loan</w:t>
      </w:r>
      <w:r>
        <w:rPr>
          <w:rFonts w:ascii="Times New Roman" w:hAnsi="Times New Roman"/>
          <w:b w:val="false"/>
          <w:color w:val="000000"/>
          <w:sz w:val="20"/>
        </w:rPr>
        <w:t>” means any Mortgage Loan subserviced by the Company or any of its Subsidiaries pursuant to a Company Subservicing Agreement since January 1, 2024.</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 “</w:t>
      </w:r>
      <w:r>
        <w:rPr>
          <w:rFonts w:ascii="Times New Roman" w:hAnsi="Times New Roman"/>
          <w:b w:val="false"/>
          <w:color w:val="000000"/>
          <w:sz w:val="20"/>
          <w:u w:val="single"/>
        </w:rPr>
        <w:t>Company Subservicing Agreement</w:t>
      </w:r>
      <w:r>
        <w:rPr>
          <w:rFonts w:ascii="Times New Roman" w:hAnsi="Times New Roman"/>
          <w:b w:val="false"/>
          <w:color w:val="000000"/>
          <w:sz w:val="20"/>
        </w:rPr>
        <w:t>” means any Contract pursuant to which the Company or any of its Subsidiaries is obligated to a third party to subservice or administer Mortgage Loans.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Superior Proposal</w:t>
      </w:r>
      <w:r>
        <w:rPr>
          <w:rFonts w:ascii="Times New Roman" w:hAnsi="Times New Roman"/>
          <w:b w:val="false"/>
          <w:color w:val="000000"/>
          <w:sz w:val="20"/>
        </w:rPr>
        <w:t xml:space="preserve">” means a </w:t>
      </w:r>
      <w:r>
        <w:rPr>
          <w:rFonts w:ascii="Times New Roman" w:hAnsi="Times New Roman"/>
          <w:b w:val="false"/>
          <w:i/>
          <w:color w:val="000000"/>
          <w:sz w:val="20"/>
        </w:rPr>
        <w:t>bona fide</w:t>
      </w:r>
      <w:r>
        <w:rPr>
          <w:rFonts w:ascii="Times New Roman" w:hAnsi="Times New Roman"/>
          <w:b w:val="false"/>
          <w:color w:val="000000"/>
          <w:sz w:val="20"/>
        </w:rPr>
        <w:t>, written Company Takeover Proposal (with references to twenty percent (20%) and eighty percent (80%) being deemed to be replaced with references to fifty percent (50%), respectively) by a third-party, which the Company Board determines in good faith, after consultation with its independent financial advisor and outside legal counsel, to be more favorable to the Company and its stockholders than the Transactions.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Takeover Proposal</w:t>
      </w:r>
      <w:r>
        <w:rPr>
          <w:rFonts w:ascii="Times New Roman" w:hAnsi="Times New Roman"/>
          <w:b w:val="false"/>
          <w:color w:val="000000"/>
          <w:sz w:val="20"/>
        </w:rPr>
        <w:t>” means any offer, proposal or indication of interest that is not withdrawn from a Person or “group” (as defined in or under Section 13(d) of the Exchange Act) of Persons (other than a proposal or offer by Parent or any Subsidiary of Parent) made after the date hereof relating to any transaction or series of related transactions involving: (a) any acquisition or purchase by any Person or “group” of Persons, directly or indirectly, of more than twenty percent (20%) of any class of outstanding voting or equity securities of the Company or any of its Subsidiaries, or any tender offer or exchange offer that, if consummated, would result in any Person or “group” of Persons beneficially owning more than twenty percent (20%) (on a non-diluted basis) of any class of outstanding voting or equity securities of the Company or any of its Subsidiaries, (b) any merger, consolidation, share exchange, business combination, joint venture, recapitalization, reorganization or other similar transaction involving the Company or any of its Subsidiaries and a Person or “group” (as defined in or under Section 13(d) of the Exchange Act) of Persons pursuant to which the stockholders of the Company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the Company and its Subsidiaries, taken as a whole (measured by the fair market value thereof).</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Company Termination Fee</w:t>
      </w:r>
      <w:r>
        <w:rPr>
          <w:rFonts w:ascii="Times New Roman" w:hAnsi="Times New Roman"/>
          <w:b w:val="false"/>
          <w:color w:val="000000"/>
          <w:sz w:val="20"/>
        </w:rPr>
        <w:t>” means an amount equal to $4,700,000.</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Confidentiality Agreement</w:t>
      </w:r>
      <w:r>
        <w:rPr>
          <w:rFonts w:ascii="Times New Roman" w:hAnsi="Times New Roman"/>
          <w:b w:val="false"/>
          <w:color w:val="000000"/>
          <w:sz w:val="20"/>
        </w:rPr>
        <w:t>” means that certain confidentiality agreement between Parent and the Company, dated as of May 15, 2026.</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Continuing Employee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6.21(a)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Contract</w:t>
      </w:r>
      <w:r>
        <w:rPr>
          <w:rFonts w:ascii="Times New Roman" w:hAnsi="Times New Roman"/>
          <w:b w:val="false"/>
          <w:color w:val="000000"/>
          <w:sz w:val="20"/>
        </w:rPr>
        <w:t>” means any contract, note, bond, mortgage, indenture, deed of trust, security deed, deed to secure debt, license, sublicense, lease, sublease, agreement, arrangement, commitment or other instrument or obligation that is legally binding.</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Copyrights</w:t>
      </w:r>
      <w:r>
        <w:rPr>
          <w:rFonts w:ascii="Times New Roman" w:hAnsi="Times New Roman"/>
          <w:b w:val="false"/>
          <w:color w:val="000000"/>
          <w:sz w:val="20"/>
        </w:rPr>
        <w:t>” has the meaning set forth in the definition of “Intellectual Property.”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Covered Persons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6.11</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D&amp;O Claim</w:t>
      </w:r>
      <w:r>
        <w:rPr>
          <w:rFonts w:ascii="Times New Roman" w:hAnsi="Times New Roman"/>
          <w:b w:val="false"/>
          <w:color w:val="000000"/>
          <w:sz w:val="20"/>
        </w:rPr>
        <w:t>” means any threatened, asserted, pending or completed claim, action, suit, proceeding, inquiry or investigation, whether instituted by any party hereto, any Governmental Authority or any other Person, whether civil, criminal, administrative, investigative or other, including any arbitration or other alternative dispute resolution mechanism, arising out of or pertaining to matters that relate to any Covered Person’s duties or service (a) as a director or officer or employee of the Company or the applicable Subsidiary thereof at or prior to the Company Merger Effective Time (including with respect to any acts, facts, events or omissions occurring in connection with the approval of this Agreement and the Transactions, including the consideration and approval thereof and the process undertaken in connection therewith and any D&amp;O Claim relating thereto) or (b) as a director, trustee or officer of any other entity or any benefit plan maintained by the Company or any of its Subsidiaries, in each case, for which a Covered Person is or was serving at the request or for the benefit of the Company or any of its Subsidiaries at or prior to the Company Merger Effective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Delaware Secretary</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DLLCA</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DRULPA</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Effect</w:t>
      </w:r>
      <w:r>
        <w:rPr>
          <w:rFonts w:ascii="Times New Roman" w:hAnsi="Times New Roman"/>
          <w:b w:val="false"/>
          <w:color w:val="000000"/>
          <w:sz w:val="20"/>
        </w:rPr>
        <w:t>” means any change, effect, development, circumstance, event or occurrence.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Enforceability Exceptions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4.2(c)</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ERISA</w:t>
      </w:r>
      <w:r>
        <w:rPr>
          <w:rFonts w:ascii="Times New Roman" w:hAnsi="Times New Roman"/>
          <w:b w:val="false"/>
          <w:color w:val="000000"/>
          <w:sz w:val="20"/>
        </w:rPr>
        <w:t>” means the Employee Retirement Income Security Act of 1974, as amended.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ERISA Affiliate</w:t>
      </w:r>
      <w:r>
        <w:rPr>
          <w:rFonts w:ascii="Times New Roman" w:hAnsi="Times New Roman"/>
          <w:b w:val="false"/>
          <w:color w:val="000000"/>
          <w:sz w:val="20"/>
        </w:rPr>
        <w:t>” means, with respect to a Person, any Person, whether or not incorporated, that together with such Person is treated as a single employer for purposes of Code Section 414 or ERISA Section 4001(b).</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Exchange Act</w:t>
      </w:r>
      <w:r>
        <w:rPr>
          <w:rFonts w:ascii="Times New Roman" w:hAnsi="Times New Roman"/>
          <w:b w:val="false"/>
          <w:color w:val="000000"/>
          <w:sz w:val="20"/>
        </w:rPr>
        <w:t>” means the Securities Exchange Act of 1934, as amended, and the rules and regulations promulgated thereunder.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Exchange Agent</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3.4(a)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Exchange Fund</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3.4(a)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Exchange Ratio</w:t>
      </w:r>
      <w:r>
        <w:rPr>
          <w:rFonts w:ascii="Times New Roman" w:hAnsi="Times New Roman"/>
          <w:b w:val="false"/>
          <w:color w:val="000000"/>
          <w:sz w:val="20"/>
        </w:rPr>
        <w:t xml:space="preserve">” means 0.3063, as such number may be adjusted from time to time pursuant to and in accordance with </w:t>
      </w:r>
      <w:r>
        <w:rPr>
          <w:rFonts w:ascii="Times New Roman" w:hAnsi="Times New Roman"/>
          <w:b w:val="false"/>
          <w:color w:val="000000"/>
          <w:sz w:val="20"/>
          <w:u w:val="single"/>
        </w:rPr>
        <w:t>Section 3.1(d)</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Facility Documentation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6.9(d)</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Form S-4</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6.7(a)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GAAP</w:t>
      </w:r>
      <w:r>
        <w:rPr>
          <w:rFonts w:ascii="Times New Roman" w:hAnsi="Times New Roman"/>
          <w:b w:val="false"/>
          <w:color w:val="000000"/>
          <w:sz w:val="20"/>
        </w:rPr>
        <w:t>” means U.S. generally accepted accounting principles, consistently applied.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Governmental Authority</w:t>
      </w:r>
      <w:r>
        <w:rPr>
          <w:rFonts w:ascii="Times New Roman" w:hAnsi="Times New Roman"/>
          <w:b w:val="false"/>
          <w:color w:val="000000"/>
          <w:sz w:val="20"/>
        </w:rPr>
        <w:t>” means any U.S., state, local or foreign government, any governmental, regulatory or administrative body, agency, board or authority, any court or judicial authority or arbitration tribunal (public or private), or other governmental authority (including government-sponsored enterprises), whether national, federal, state, provincial or local or otherwise, including any stock exchange, or any Person lawfully empowered by any of the foregoing to enforce or seek compliance with any applicable Law.</w:t>
      </w:r>
    </w:p>
    <w:p>
      <w:pPr>
        <w:pStyle w:val="TextBody"/>
        <w:bidi w:val="0"/>
        <w:spacing w:before="0" w:after="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val="false"/>
          <w:color w:val="000000"/>
          <w:sz w:val="20"/>
          <w:u w:val="single"/>
        </w:rPr>
        <w:t>Governmental Authorization</w:t>
      </w:r>
      <w:r>
        <w:rPr>
          <w:rFonts w:ascii="Times New Roman" w:hAnsi="Times New Roman"/>
          <w:b w:val="false"/>
          <w:color w:val="000000"/>
          <w:sz w:val="20"/>
        </w:rPr>
        <w:t>” means any qualifications, permits, approvals, licenses and registrations issued by or obtained from a Governmental Authority required for the Company or any of its Subsidiaries to act as an owner or servicer of Mortgage Loans to the extent required to carry on their businesses as they are now being conducted.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Intellectual Property</w:t>
      </w:r>
      <w:r>
        <w:rPr>
          <w:rFonts w:ascii="Times New Roman" w:hAnsi="Times New Roman"/>
          <w:b w:val="false"/>
          <w:color w:val="000000"/>
          <w:sz w:val="20"/>
        </w:rPr>
        <w:t>” means any and all common law or statutory rights in: (a) patents, patent applications, statutory invention registrations, registered designs, and similar or equivalent rights in inventions and designs, and all rights therein provided by international treaties and conventions (“</w:t>
      </w:r>
      <w:r>
        <w:rPr>
          <w:rFonts w:ascii="Times New Roman" w:hAnsi="Times New Roman"/>
          <w:b w:val="false"/>
          <w:color w:val="000000"/>
          <w:sz w:val="20"/>
          <w:u w:val="single"/>
        </w:rPr>
        <w:t>Patents</w:t>
      </w:r>
      <w:r>
        <w:rPr>
          <w:rFonts w:ascii="Times New Roman" w:hAnsi="Times New Roman"/>
          <w:b w:val="false"/>
          <w:color w:val="000000"/>
          <w:sz w:val="20"/>
        </w:rPr>
        <w:t>”); (b) trademarks, service marks, trade dress, trade names, logos and other designations of origin (“</w:t>
      </w:r>
      <w:r>
        <w:rPr>
          <w:rFonts w:ascii="Times New Roman" w:hAnsi="Times New Roman"/>
          <w:b w:val="false"/>
          <w:color w:val="000000"/>
          <w:sz w:val="20"/>
          <w:u w:val="single"/>
        </w:rPr>
        <w:t>Marks</w:t>
      </w:r>
      <w:r>
        <w:rPr>
          <w:rFonts w:ascii="Times New Roman" w:hAnsi="Times New Roman"/>
          <w:b w:val="false"/>
          <w:color w:val="000000"/>
          <w:sz w:val="20"/>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and mask work rights (“</w:t>
      </w:r>
      <w:r>
        <w:rPr>
          <w:rFonts w:ascii="Times New Roman" w:hAnsi="Times New Roman"/>
          <w:b w:val="false"/>
          <w:color w:val="000000"/>
          <w:sz w:val="20"/>
          <w:u w:val="single"/>
        </w:rPr>
        <w:t>Copyrights</w:t>
      </w:r>
      <w:r>
        <w:rPr>
          <w:rFonts w:ascii="Times New Roman" w:hAnsi="Times New Roman"/>
          <w:b w:val="false"/>
          <w:color w:val="000000"/>
          <w:sz w:val="20"/>
        </w:rPr>
        <w:t>”); (e) trade secrets and industrial secret rights, and rights in know-how, data and confidential or proprietary business or technical information that derives independent economic value, whether actual or potential, from not being known to other persons (“</w:t>
      </w:r>
      <w:r>
        <w:rPr>
          <w:rFonts w:ascii="Times New Roman" w:hAnsi="Times New Roman"/>
          <w:b w:val="false"/>
          <w:color w:val="000000"/>
          <w:sz w:val="20"/>
          <w:u w:val="single"/>
        </w:rPr>
        <w:t>Trade Secrets</w:t>
      </w:r>
      <w:r>
        <w:rPr>
          <w:rFonts w:ascii="Times New Roman" w:hAnsi="Times New Roman"/>
          <w:b w:val="false"/>
          <w:color w:val="000000"/>
          <w:sz w:val="20"/>
        </w:rPr>
        <w:t>”); and (f) other similar or equivalent intellectual property rights anywhere in the world.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Interim Covenant Exceptions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6.2(a)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Interim Period</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6.1(a)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Investment Company Act</w:t>
      </w:r>
      <w:r>
        <w:rPr>
          <w:rFonts w:ascii="Times New Roman" w:hAnsi="Times New Roman"/>
          <w:b w:val="false"/>
          <w:color w:val="000000"/>
          <w:sz w:val="20"/>
        </w:rPr>
        <w:t>” means the Investment Company Act of 1940, as amended, and the rules and regulations promulgated thereunder.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IRS</w:t>
      </w:r>
      <w:r>
        <w:rPr>
          <w:rFonts w:ascii="Times New Roman" w:hAnsi="Times New Roman"/>
          <w:b w:val="false"/>
          <w:color w:val="000000"/>
          <w:sz w:val="20"/>
        </w:rPr>
        <w:t>” means the U.S. Internal Revenue Service.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Joint Proxy Statement</w:t>
      </w:r>
      <w:r>
        <w:rPr>
          <w:rFonts w:ascii="Times New Roman" w:hAnsi="Times New Roman"/>
          <w:b w:val="false"/>
          <w:color w:val="000000"/>
          <w:sz w:val="20"/>
        </w:rPr>
        <w:t>” means a joint proxy statement in preliminary and definitive form (as amended or supplemented from time to time) relating to the Company Stockholders Meeting and the Parent Stockholders Meeting.</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Knowledge of Parent</w:t>
      </w:r>
      <w:r>
        <w:rPr>
          <w:rFonts w:ascii="Times New Roman" w:hAnsi="Times New Roman"/>
          <w:b w:val="false"/>
          <w:color w:val="000000"/>
          <w:sz w:val="20"/>
        </w:rPr>
        <w:t xml:space="preserve">” means the actual knowledge of the individuals set forth on </w:t>
      </w:r>
      <w:r>
        <w:rPr>
          <w:rFonts w:ascii="Times New Roman" w:hAnsi="Times New Roman"/>
          <w:b w:val="false"/>
          <w:color w:val="000000"/>
          <w:sz w:val="20"/>
          <w:u w:val="single"/>
        </w:rPr>
        <w:t>Section 1.1(a)</w:t>
      </w:r>
      <w:r>
        <w:rPr>
          <w:rFonts w:ascii="Times New Roman" w:hAnsi="Times New Roman"/>
          <w:b w:val="false"/>
          <w:color w:val="000000"/>
          <w:sz w:val="20"/>
        </w:rPr>
        <w:t xml:space="preserve"> of the Parent Disclosure Letter and such knowledge that would be obtained after conducting a reasonable inquiry of the employees with primary responsibility for the relevant subject matter.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Knowledge of the Company</w:t>
      </w:r>
      <w:r>
        <w:rPr>
          <w:rFonts w:ascii="Times New Roman" w:hAnsi="Times New Roman"/>
          <w:b w:val="false"/>
          <w:color w:val="000000"/>
          <w:sz w:val="20"/>
        </w:rPr>
        <w:t xml:space="preserve">” means the actual knowledge of the individuals set forth on </w:t>
      </w:r>
      <w:r>
        <w:rPr>
          <w:rFonts w:ascii="Times New Roman" w:hAnsi="Times New Roman"/>
          <w:b w:val="false"/>
          <w:color w:val="000000"/>
          <w:sz w:val="20"/>
          <w:u w:val="single"/>
        </w:rPr>
        <w:t>Section 1.1(c)</w:t>
      </w:r>
      <w:r>
        <w:rPr>
          <w:rFonts w:ascii="Times New Roman" w:hAnsi="Times New Roman"/>
          <w:b w:val="false"/>
          <w:color w:val="000000"/>
          <w:sz w:val="20"/>
        </w:rPr>
        <w:t xml:space="preserve"> of the Company Disclosure Letter and such knowledge that would be obtained after conducting a reasonable inquiry of the employees with primary responsibility for the relevant subject matter.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Laws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4.14(a)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Leased Real Property</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4.16(b)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Liabilities</w:t>
      </w:r>
      <w:r>
        <w:rPr>
          <w:rFonts w:ascii="Times New Roman" w:hAnsi="Times New Roman"/>
          <w:b w:val="false"/>
          <w:color w:val="000000"/>
          <w:sz w:val="20"/>
        </w:rPr>
        <w:t>” means any and all debts, liabilities and obligations, whether fixed, contingent or absolute, matured or unmatured, accrued or not accrued, determined or determinable, secured or unsecured, disputed or undisputed, subordinated or unsubordinated, or otherwise.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Liens</w:t>
      </w:r>
      <w:r>
        <w:rPr>
          <w:rFonts w:ascii="Times New Roman" w:hAnsi="Times New Roman"/>
          <w:b w:val="false"/>
          <w:color w:val="000000"/>
          <w:sz w:val="20"/>
        </w:rPr>
        <w:t>” means liens, encumbrances, mortgages, deeds of trust, security deeds, deeds to secure debt, charges, claims, restrictions, pledges, hypothecations, security interests, rights of first refusal, title defects, easements, rights-of-way, covenants, encroachments, options, conditional or installment sale agreements, title retention agreements, preemptive rights, leases, subleases, licenses, sublicenses, usufructs, community property interests or other adverse claims of any kind, voluntary or involuntary, arising by Contract, statute, operation of Law or otherwise, with respect to a property or asset.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Litigation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4.13</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M&amp;A Qualified Beneficiary</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6.21(f)</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Marks</w:t>
      </w:r>
      <w:r>
        <w:rPr>
          <w:rFonts w:ascii="Times New Roman" w:hAnsi="Times New Roman"/>
          <w:b w:val="false"/>
          <w:color w:val="000000"/>
          <w:sz w:val="20"/>
        </w:rPr>
        <w:t>” has the meaning set forth in the definition of “Intellectual Property.”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Maryland Department</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Merger Consideration</w:t>
      </w:r>
      <w:r>
        <w:rPr>
          <w:rFonts w:ascii="Times New Roman" w:hAnsi="Times New Roman"/>
          <w:b w:val="false"/>
          <w:color w:val="000000"/>
          <w:sz w:val="20"/>
        </w:rPr>
        <w:t>” means the Common Stock Merger Consideration and the Preferred Stock Merger Consideration.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Merger Filings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Merger Sub</w:t>
      </w:r>
      <w:r>
        <w:rPr>
          <w:rFonts w:ascii="Times New Roman" w:hAnsi="Times New Roman"/>
          <w:b w:val="false"/>
          <w:color w:val="000000"/>
          <w:sz w:val="20"/>
        </w:rPr>
        <w:t>” has the meaning set forth in the Preamble.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Merger Sub Sole Member</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Mergers</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MGCL</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Minimum Distribution Dividend</w:t>
      </w:r>
      <w:r>
        <w:rPr>
          <w:rFonts w:ascii="Times New Roman" w:hAnsi="Times New Roman"/>
          <w:b w:val="false"/>
          <w:color w:val="000000"/>
          <w:sz w:val="20"/>
        </w:rPr>
        <w:t>” means such amount, if any, with respect to any taxable year of the Company, Parent or any of their Subsidiaries, as the case may be, ending on or prior to the Closing Date, which is required to be paid by the Company, Parent or any of their Subsidiaries, as the case may be,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before="0" w:after="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val="false"/>
          <w:color w:val="000000"/>
          <w:sz w:val="20"/>
          <w:u w:val="single"/>
        </w:rPr>
        <w:t>Mortgage Loan</w:t>
      </w:r>
      <w:r>
        <w:rPr>
          <w:rFonts w:ascii="Times New Roman" w:hAnsi="Times New Roman"/>
          <w:b w:val="false"/>
          <w:color w:val="000000"/>
          <w:sz w:val="20"/>
        </w:rPr>
        <w:t>” means any mortgage loan, whether in the form of a mortgage, deed of trust or other equivalent security instrument that was obtained for consumer, household or family purposes, including forward and reverse mortgage loans.</w:t>
      </w:r>
    </w:p>
    <w:p>
      <w:pPr>
        <w:pStyle w:val="TextBody"/>
        <w:bidi w:val="0"/>
        <w:spacing w:before="0" w:after="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val="false"/>
          <w:color w:val="000000"/>
          <w:sz w:val="20"/>
          <w:u w:val="single"/>
        </w:rPr>
        <w:t>Multiemployer Plan</w:t>
      </w:r>
      <w:r>
        <w:rPr>
          <w:rFonts w:ascii="Times New Roman" w:hAnsi="Times New Roman"/>
          <w:b w:val="false"/>
          <w:color w:val="000000"/>
          <w:sz w:val="20"/>
        </w:rPr>
        <w:t>” has the meaning set forth in Section 3(37) of ERISA.</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NYSE</w:t>
      </w:r>
      <w:r>
        <w:rPr>
          <w:rFonts w:ascii="Times New Roman" w:hAnsi="Times New Roman"/>
          <w:b w:val="false"/>
          <w:color w:val="000000"/>
          <w:sz w:val="20"/>
        </w:rPr>
        <w:t>” means the New York Stock Exchange.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Order</w:t>
      </w:r>
      <w:r>
        <w:rPr>
          <w:rFonts w:ascii="Times New Roman" w:hAnsi="Times New Roman"/>
          <w:b w:val="false"/>
          <w:color w:val="000000"/>
          <w:sz w:val="20"/>
        </w:rPr>
        <w:t>” means any award, judgment, injunction, binding ruling, decree or order (whether temporary, preliminary or permanent) issued, adopted, granted, awarded or entered by any Governmental Authority of competent jurisdiction.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Organizational Documents</w:t>
      </w:r>
      <w:r>
        <w:rPr>
          <w:rFonts w:ascii="Times New Roman" w:hAnsi="Times New Roman"/>
          <w:b w:val="false"/>
          <w:color w:val="000000"/>
          <w:sz w:val="20"/>
        </w:rPr>
        <w:t>” means the certificate of incorporation, articles of incorporation, charter, bylaws, articles of formation, certificate of formation, regulations, operating agreement, certificate of limited partnership, partnership agreement, trust agreement and all other similar documents, instruments or certificates executed, adopted or filed in connection with the creation, formation or organization of a Person, including any amendments, restatements and supplements thereto.</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w:t>
      </w:r>
      <w:r>
        <w:rPr>
          <w:rFonts w:ascii="Times New Roman" w:hAnsi="Times New Roman"/>
          <w:b w:val="false"/>
          <w:color w:val="000000"/>
          <w:sz w:val="20"/>
        </w:rPr>
        <w:t>” has the meaning set forth in the Preamble.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Additional Dividend Amount</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6.19(b)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Applicable Requirements</w:t>
      </w:r>
      <w:r>
        <w:rPr>
          <w:rFonts w:ascii="Times New Roman" w:hAnsi="Times New Roman"/>
          <w:b w:val="false"/>
          <w:color w:val="000000"/>
          <w:sz w:val="20"/>
        </w:rPr>
        <w:t>” means, as of the time of reference, (a) all of the terms of the mortgage note, security instrument and any other material loan documents relating to each Mortgage Loan owned or serviced by Parent or any of its Subsidiaries, (b) all requirements set forth in the Parent Servicing Agreements, as applicable,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Parent Serviced Mortgage Loan or Parent Subserviced Mortgage Loan.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Board</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Capitalization Date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5.1(c)(ii)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Change of Recommendation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6.6(d)</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Common Stock</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5.1(c)(i)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Common Stock Issuance</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Disclosure Letter</w:t>
      </w:r>
      <w:r>
        <w:rPr>
          <w:rFonts w:ascii="Times New Roman" w:hAnsi="Times New Roman"/>
          <w:b w:val="false"/>
          <w:color w:val="000000"/>
          <w:sz w:val="20"/>
        </w:rPr>
        <w:t xml:space="preserve">” has the meaning set forth in the introductory language to </w:t>
      </w:r>
      <w:r>
        <w:rPr>
          <w:rFonts w:ascii="Times New Roman" w:hAnsi="Times New Roman"/>
          <w:b w:val="false"/>
          <w:color w:val="000000"/>
          <w:sz w:val="20"/>
          <w:u w:val="single"/>
        </w:rPr>
        <w:t>Article V</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Interim Covenant Exceptions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6.3(a)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Intervening Event</w:t>
      </w:r>
      <w:r>
        <w:rPr>
          <w:rFonts w:ascii="Times New Roman" w:hAnsi="Times New Roman"/>
          <w:b w:val="false"/>
          <w:color w:val="000000"/>
          <w:sz w:val="20"/>
        </w:rPr>
        <w:t xml:space="preserve">” means an Effect that (a) is material to Parent and its Subsidiaries, taken as a whole, that is not actually known to the Parent Board as of the date of this Agreement (or if actually known, the material consequences of which were not actually known by the Parent Board at such time) and (b) does not relate to or arise from (i) the receipt, existence or terms of any Parent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 w:hAnsi="Times New Roman"/>
          <w:b w:val="false"/>
          <w:color w:val="000000"/>
          <w:sz w:val="20"/>
          <w:u w:val="single"/>
        </w:rPr>
        <w:t>provided</w:t>
      </w:r>
      <w:r>
        <w:rPr>
          <w:rFonts w:ascii="Times New Roman" w:hAnsi="Times New Roman"/>
          <w:b w:val="false"/>
          <w:color w:val="000000"/>
          <w:sz w:val="20"/>
        </w:rPr>
        <w:t xml:space="preserve"> that, with respect to the foregoing </w:t>
      </w:r>
      <w:r>
        <w:rPr>
          <w:rFonts w:ascii="Times New Roman" w:hAnsi="Times New Roman"/>
          <w:b w:val="false"/>
          <w:color w:val="000000"/>
          <w:sz w:val="20"/>
          <w:u w:val="single"/>
        </w:rPr>
        <w:t>clauses (ii)</w:t>
      </w:r>
      <w:r>
        <w:rPr>
          <w:rFonts w:ascii="Times New Roman" w:hAnsi="Times New Roman"/>
          <w:b w:val="false"/>
          <w:color w:val="000000"/>
          <w:sz w:val="20"/>
        </w:rPr>
        <w:t xml:space="preserve"> and </w:t>
      </w:r>
      <w:r>
        <w:rPr>
          <w:rFonts w:ascii="Times New Roman" w:hAnsi="Times New Roman"/>
          <w:b w:val="false"/>
          <w:color w:val="000000"/>
          <w:sz w:val="20"/>
          <w:u w:val="single"/>
        </w:rPr>
        <w:t>(iii)</w:t>
      </w:r>
      <w:r>
        <w:rPr>
          <w:rFonts w:ascii="Times New Roman" w:hAnsi="Times New Roman"/>
          <w:b w:val="false"/>
          <w:color w:val="000000"/>
          <w:sz w:val="20"/>
        </w:rPr>
        <w:t>, the underlying cause of such change, failure or exceedance may otherwise constitute or be taken into account in determining whether a “Parent Intervening Event” has occurred if not otherwise excluded from consideration under this definition.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Manager</w:t>
      </w:r>
      <w:r>
        <w:rPr>
          <w:rFonts w:ascii="Times New Roman" w:hAnsi="Times New Roman"/>
          <w:b w:val="false"/>
          <w:color w:val="000000"/>
          <w:sz w:val="20"/>
        </w:rPr>
        <w:t>” has the meaning set forth in the Preamble.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Material Adverse Effect</w:t>
      </w:r>
      <w:r>
        <w:rPr>
          <w:rFonts w:ascii="Times New Roman" w:hAnsi="Times New Roman"/>
          <w:b w:val="false"/>
          <w:color w:val="000000"/>
          <w:sz w:val="20"/>
        </w:rPr>
        <w:t xml:space="preserve">” means any Effect that, individually or in the aggregate, is materially adverse to the business or operations of Parent and its Subsidiaries, taken as a whole;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none of any of the following shall constitute or be taken into account in determining whether there has been, is, or would reasonably be expected to be, a Parent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changes or proposed changes in GAAP or any Law or changes in the interpretation or enforcement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changes or developments in the industries in which Parent or any of its Subsidiaries operate;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Parent or any of its Subsidiaries or any other disruption to the business of Parent or any of its Subsidiaries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this </w:t>
      </w:r>
      <w:r>
        <w:rPr>
          <w:rFonts w:ascii="Times New Roman" w:hAnsi="Times New Roman"/>
          <w:b w:val="false"/>
          <w:color w:val="000000"/>
          <w:sz w:val="20"/>
          <w:u w:val="single"/>
        </w:rPr>
        <w:t>clause (e)</w:t>
      </w:r>
      <w:r>
        <w:rPr>
          <w:rFonts w:ascii="Times New Roman" w:hAnsi="Times New Roman"/>
          <w:b w:val="false"/>
          <w:color w:val="000000"/>
          <w:sz w:val="20"/>
        </w:rPr>
        <w:t xml:space="preserve"> shall not apply to any representation or warranty to the extent that such representation or warranty is made with respect to the consequences resulting from the execution and delivery of this Agreement, or the pendency, performance or consummation of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(g)         any change in the trading price, dividends or trading volume of the shares of Parent Common Stock or any change in the credit ratings or ratings outlook for Parent or any of its Subsidiaries, or the availability or cost of equity, debt or other financing to the Company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underlying causes of any such change referred to in this </w:t>
      </w:r>
      <w:r>
        <w:rPr>
          <w:rFonts w:ascii="Times New Roman" w:hAnsi="Times New Roman"/>
          <w:b w:val="false"/>
          <w:color w:val="000000"/>
          <w:sz w:val="20"/>
          <w:u w:val="single"/>
        </w:rPr>
        <w:t>clause (g)</w:t>
      </w:r>
      <w:r>
        <w:rPr>
          <w:rFonts w:ascii="Times New Roman" w:hAnsi="Times New Roman"/>
          <w:b w:val="false"/>
          <w:color w:val="000000"/>
          <w:sz w:val="20"/>
        </w:rPr>
        <w:t xml:space="preserve"> may be considered in determining whether a Parent Material Adverse Effect has occurred, is occurring or would reasonably be expected to occur if not otherwise excluded by another exception set forth in this definition);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(h)        the failure to meet any internal, published, analyst or other third party’s projections, guidance, budgets, milestones, expectations, forecasts or estimates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underlying causes of any such change referred to in this </w:t>
      </w:r>
      <w:r>
        <w:rPr>
          <w:rFonts w:ascii="Times New Roman" w:hAnsi="Times New Roman"/>
          <w:b w:val="false"/>
          <w:color w:val="000000"/>
          <w:sz w:val="20"/>
          <w:u w:val="single"/>
        </w:rPr>
        <w:t>clause (h)</w:t>
      </w:r>
      <w:r>
        <w:rPr>
          <w:rFonts w:ascii="Times New Roman" w:hAnsi="Times New Roman"/>
          <w:b w:val="false"/>
          <w:color w:val="000000"/>
          <w:sz w:val="20"/>
        </w:rPr>
        <w:t xml:space="preserve"> may be considered in determining whether a Parent Material Adverse Effect has occurred, is occurring or would reasonably be expected to occur if not otherwise excluded by another exception set forth in this definition);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          any action taken or omitted by Parent or any of its Subsidiaries at the written request of the Company or consented to in writing by the Company; and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(j)          the identity of, or facts specific to, the Company or any of its Subsidiaries or any changes arising therefrom; except, with respect to the foregoing </w:t>
      </w:r>
      <w:r>
        <w:rPr>
          <w:rFonts w:ascii="Times New Roman" w:hAnsi="Times New Roman"/>
          <w:b w:val="false"/>
          <w:color w:val="000000"/>
          <w:sz w:val="20"/>
          <w:u w:val="single"/>
        </w:rPr>
        <w:t>clauses (a)</w:t>
      </w:r>
      <w:r>
        <w:rPr>
          <w:rFonts w:ascii="Times New Roman" w:hAnsi="Times New Roman"/>
          <w:b w:val="false"/>
          <w:color w:val="000000"/>
          <w:sz w:val="20"/>
        </w:rPr>
        <w:t xml:space="preserve">, </w:t>
      </w:r>
      <w:r>
        <w:rPr>
          <w:rFonts w:ascii="Times New Roman" w:hAnsi="Times New Roman"/>
          <w:b w:val="false"/>
          <w:color w:val="000000"/>
          <w:sz w:val="20"/>
          <w:u w:val="single"/>
        </w:rPr>
        <w:t>(b)</w:t>
      </w:r>
      <w:r>
        <w:rPr>
          <w:rFonts w:ascii="Times New Roman" w:hAnsi="Times New Roman"/>
          <w:b w:val="false"/>
          <w:color w:val="000000"/>
          <w:sz w:val="20"/>
        </w:rPr>
        <w:t xml:space="preserve">, </w:t>
      </w:r>
      <w:r>
        <w:rPr>
          <w:rFonts w:ascii="Times New Roman" w:hAnsi="Times New Roman"/>
          <w:b w:val="false"/>
          <w:color w:val="000000"/>
          <w:sz w:val="20"/>
          <w:u w:val="single"/>
        </w:rPr>
        <w:t>(c)</w:t>
      </w:r>
      <w:r>
        <w:rPr>
          <w:rFonts w:ascii="Times New Roman" w:hAnsi="Times New Roman"/>
          <w:b w:val="false"/>
          <w:color w:val="000000"/>
          <w:sz w:val="20"/>
        </w:rPr>
        <w:t xml:space="preserve">, </w:t>
      </w:r>
      <w:r>
        <w:rPr>
          <w:rFonts w:ascii="Times New Roman" w:hAnsi="Times New Roman"/>
          <w:b w:val="false"/>
          <w:color w:val="000000"/>
          <w:sz w:val="20"/>
          <w:u w:val="single"/>
        </w:rPr>
        <w:t>(d)</w:t>
      </w:r>
      <w:r>
        <w:rPr>
          <w:rFonts w:ascii="Times New Roman" w:hAnsi="Times New Roman"/>
          <w:b w:val="false"/>
          <w:color w:val="000000"/>
          <w:sz w:val="20"/>
        </w:rPr>
        <w:t xml:space="preserve"> and </w:t>
      </w:r>
      <w:r>
        <w:rPr>
          <w:rFonts w:ascii="Times New Roman" w:hAnsi="Times New Roman"/>
          <w:b w:val="false"/>
          <w:color w:val="000000"/>
          <w:sz w:val="20"/>
          <w:u w:val="single"/>
        </w:rPr>
        <w:t>(f)</w:t>
      </w:r>
      <w:r>
        <w:rPr>
          <w:rFonts w:ascii="Times New Roman" w:hAnsi="Times New Roman"/>
          <w:b w:val="false"/>
          <w:color w:val="000000"/>
          <w:sz w:val="20"/>
        </w:rPr>
        <w:t>, to the extent (and for the avoidance of doubt, only to the extent) that such impact is disproportionately adverse to Parent and its Subsidiaries, taken as a whole, relative to comparable companies in the industries in which Parent and its Subsidiaries operate, in which case only the incremental disproportionate adverse impact may be taken into account in determining whether a Parent Material Adverse Effect has occurred, is occurring or would reasonably be expected to occur.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Material Contract</w:t>
      </w:r>
      <w:r>
        <w:rPr>
          <w:rFonts w:ascii="Times New Roman" w:hAnsi="Times New Roman"/>
          <w:b w:val="false"/>
          <w:color w:val="000000"/>
          <w:sz w:val="20"/>
        </w:rPr>
        <w:t>” means any Contract to which Parent or a Subsidiary thereof is a party that is material to Parent and its Subsidiaries, taken as a whole (it being understood and agreed that any Contract that has not expired or terminated in accordance with its terms that is filed with the SEC by Parent as a material Contract pursuant to Item 601(b)(10) of Regulation S-K of the SEC shall be deemed to be a “Parent Material Contract” hereunder).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Permitted Lien</w:t>
      </w:r>
      <w:r>
        <w:rPr>
          <w:rFonts w:ascii="Times New Roman" w:hAnsi="Times New Roman"/>
          <w:b w:val="false"/>
          <w:color w:val="000000"/>
          <w:sz w:val="20"/>
        </w:rPr>
        <w:t>” 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Parent and its Subsidiaries as currently conducted; (e) which is a statutory or common law lien or encumbrance to secure landlords, lessors or renters under leases or rental agreements for amounts not yet delinquent; (f) with respect to real property leased by the Parent or any of its Subsidiaries,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Parent and its Subsidiaries as currently conducted; (ii) all applicable zoning, entitlement, building, conservation restrictions and other land use and environmental regulations that are not violated by the real property leased by, or the use or occupancy thereof by, the Parent or any of its Subsidiaries; (iii) matters that would be shown on a current survey or by a visual inspection of any applicable real property that do not and could not reasonably be expected to, individually or in the aggregate, materially interfere with the ordinary conduct of the business of Parent and its Subsidiaries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Parent or its Subsidiaries or any of their respective properties; (g) Liens that affect the underlying fee interest of any real property leased by Parent or any of its Subsidiaries; or (h) which is identified in the Parent Disclosure Letter.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Preferred Stock</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5.1(c)(i)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b w:val="false"/>
          <w:color w:val="000000"/>
          <w:sz w:val="20"/>
          <w:u w:val="single"/>
        </w:rPr>
        <w:t>Parent Qualifying Income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8.3(h)(i)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Recommendation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5.2(b)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SEC Documents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5.4(a)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Securities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5.1(c)(iii)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Series A Preferred Stock</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5.1(c)(i)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Series B Preferred Stock</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5.1(c)(i)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Series C Preferred Stock</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5.1(c)(i)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Series D Cumulative Redeemable Preferred Stock</w:t>
      </w:r>
      <w:r>
        <w:rPr>
          <w:rFonts w:ascii="Times New Roman" w:hAnsi="Times New Roman"/>
          <w:b w:val="false"/>
          <w:color w:val="000000"/>
          <w:sz w:val="20"/>
        </w:rPr>
        <w:t xml:space="preserve">” means Parent’s 8.20% Series D Cumulative Redeemable Preferred Stock set forth in the articles supplementary substantially in the form attached hereto as </w:t>
      </w:r>
      <w:r>
        <w:rPr>
          <w:rFonts w:ascii="Times New Roman" w:hAnsi="Times New Roman"/>
          <w:b w:val="false"/>
          <w:color w:val="000000"/>
          <w:sz w:val="20"/>
          <w:u w:val="single"/>
        </w:rPr>
        <w:t>Annex A</w:t>
      </w:r>
      <w:r>
        <w:rPr>
          <w:rFonts w:ascii="Times New Roman" w:hAnsi="Times New Roman"/>
          <w:b w:val="false"/>
          <w:color w:val="000000"/>
          <w:sz w:val="20"/>
        </w:rPr>
        <w:t>, having the rights, preferences, privileges and voting powers substantially the same as those of the Company Series A Preferred Stock immediately prior to the Mergers.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 “</w:t>
      </w:r>
      <w:r>
        <w:rPr>
          <w:rFonts w:ascii="Times New Roman" w:hAnsi="Times New Roman"/>
          <w:b w:val="false"/>
          <w:color w:val="000000"/>
          <w:sz w:val="20"/>
          <w:u w:val="single"/>
        </w:rPr>
        <w:t>Parent Series E Cumulative Redeemable Preferred Stock</w:t>
      </w:r>
      <w:r>
        <w:rPr>
          <w:rFonts w:ascii="Times New Roman" w:hAnsi="Times New Roman"/>
          <w:b w:val="false"/>
          <w:color w:val="000000"/>
          <w:sz w:val="20"/>
        </w:rPr>
        <w:t xml:space="preserve">” means Parent’s Series E Floating Rate Cumulative Redeemable Preferred Stock, with the terms of the Parent Series E Cumulative Redeemable Preferred Stock set forth in the articles supplementary substantially in the form attached hereto as </w:t>
      </w:r>
      <w:r>
        <w:rPr>
          <w:rFonts w:ascii="Times New Roman" w:hAnsi="Times New Roman"/>
          <w:b w:val="false"/>
          <w:color w:val="000000"/>
          <w:sz w:val="20"/>
          <w:u w:val="single"/>
        </w:rPr>
        <w:t>Annex B</w:t>
      </w:r>
      <w:r>
        <w:rPr>
          <w:rFonts w:ascii="Times New Roman" w:hAnsi="Times New Roman"/>
          <w:b w:val="false"/>
          <w:color w:val="000000"/>
          <w:sz w:val="20"/>
        </w:rPr>
        <w:t>, having the rights, preferences, privileges and voting powers substantially the same as those of the Company Series B Preferred Stock immediately prior to the Mergers.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Serviced Mortgage Loan</w:t>
      </w:r>
      <w:r>
        <w:rPr>
          <w:rFonts w:ascii="Times New Roman" w:hAnsi="Times New Roman"/>
          <w:b w:val="false"/>
          <w:color w:val="000000"/>
          <w:sz w:val="20"/>
        </w:rPr>
        <w:t>” means any Mortgage Loan serviced by Parent or any of its Subsidiaries pursuant to a Parent Servicing Agreement since January 1, 2024.</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 “</w:t>
      </w:r>
      <w:r>
        <w:rPr>
          <w:rFonts w:ascii="Times New Roman" w:hAnsi="Times New Roman"/>
          <w:b w:val="false"/>
          <w:color w:val="000000"/>
          <w:sz w:val="20"/>
          <w:u w:val="single"/>
        </w:rPr>
        <w:t>Parent Servicing Agreement</w:t>
      </w:r>
      <w:r>
        <w:rPr>
          <w:rFonts w:ascii="Times New Roman" w:hAnsi="Times New Roman"/>
          <w:b w:val="false"/>
          <w:color w:val="000000"/>
          <w:sz w:val="20"/>
        </w:rPr>
        <w:t>” means any Contract pursuant to which Parent or any of its Subsidiaries is obligated to a Governmental Authority to service or administer Mortgage Loans.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Stockholder Approval</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5.2(b)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Stockholders Meeting</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6.8(d)</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Subserviced Mortgage Loan</w:t>
      </w:r>
      <w:r>
        <w:rPr>
          <w:rFonts w:ascii="Times New Roman" w:hAnsi="Times New Roman"/>
          <w:b w:val="false"/>
          <w:color w:val="000000"/>
          <w:sz w:val="20"/>
        </w:rPr>
        <w:t>” means any Mortgage Loan subserviced by Parent or any of its Subsidiaries pursuant to a Parent Subservicing Agreement since January 1, 2024.</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Subservicing Agreement</w:t>
      </w:r>
      <w:r>
        <w:rPr>
          <w:rFonts w:ascii="Times New Roman" w:hAnsi="Times New Roman"/>
          <w:b w:val="false"/>
          <w:color w:val="000000"/>
          <w:sz w:val="20"/>
        </w:rPr>
        <w:t>” means any Contract pursuant to which Parent or any of its Subsidiaries is obligated to a third party to subservice or administer Mortgage Loans.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Superior Proposal</w:t>
      </w:r>
      <w:r>
        <w:rPr>
          <w:rFonts w:ascii="Times New Roman" w:hAnsi="Times New Roman"/>
          <w:b w:val="false"/>
          <w:color w:val="000000"/>
          <w:sz w:val="20"/>
        </w:rPr>
        <w:t xml:space="preserve">” means a </w:t>
      </w:r>
      <w:r>
        <w:rPr>
          <w:rFonts w:ascii="Times New Roman" w:hAnsi="Times New Roman"/>
          <w:b w:val="false"/>
          <w:i/>
          <w:color w:val="000000"/>
          <w:sz w:val="20"/>
        </w:rPr>
        <w:t>bona fide</w:t>
      </w:r>
      <w:r>
        <w:rPr>
          <w:rFonts w:ascii="Times New Roman" w:hAnsi="Times New Roman"/>
          <w:b w:val="false"/>
          <w:color w:val="000000"/>
          <w:sz w:val="20"/>
        </w:rPr>
        <w:t>, written Parent Takeover Proposal (with references to twenty percent (20%) and eighty percent (80%) being deemed to be replaced with references to fifty percent (50%), respectively) by a third-party, which the Parent Board determines in good faith, after consultation with its independent financial advisor and outside legal counsel, to be more favorable to Parent and its stockholders than the Transactions.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Takeover Proposal</w:t>
      </w:r>
      <w:r>
        <w:rPr>
          <w:rFonts w:ascii="Times New Roman" w:hAnsi="Times New Roman"/>
          <w:b w:val="false"/>
          <w:color w:val="000000"/>
          <w:sz w:val="20"/>
        </w:rPr>
        <w:t>” means any offer, proposal or indication of interest that is not withdrawn from a Person or “group” (as defined in or under Section 13(d) of the Exchange Act) of Persons (other than a proposal or offer by the Company or any Subsidiary of the Company) made after the date hereof relating to any transaction or series of related transactions involving: (a) any acquisition or purchase by any Person or “group” of Persons, directly or indirectly, of more than twenty percent (20%) of any class of outstanding voting or equity securities of Parent, or any tender offer or exchange offer that, if consummated, would result in any Person or “group” of Persons beneficially owning more than twenty percent (20%) (on a non-diluted basis) of any class of outstanding voting or equity securities of Parent, (b) any merger, consolidation, share exchange, business combination, joint venture, recapitalization, reorganization or other similar transaction involving Parent and a Person or “group” (as defined in or under Section 13(d) of the Exchange Act) of Persons pursuant to which the stockholders of Parent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Parent and its Subsidiaries, taken as a whole (measured by the fair market value thereof).</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Parent Termination Fee</w:t>
      </w:r>
      <w:r>
        <w:rPr>
          <w:rFonts w:ascii="Times New Roman" w:hAnsi="Times New Roman"/>
          <w:b w:val="false"/>
          <w:color w:val="000000"/>
          <w:sz w:val="20"/>
        </w:rPr>
        <w:t>” means an amount equal to $7,990,000.</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Partnership Articles of Merger</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Partnership Certificate of Merger</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Partnership Merger</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Partnership Merger Effective Time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2.3(a)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Patents</w:t>
      </w:r>
      <w:r>
        <w:rPr>
          <w:rFonts w:ascii="Times New Roman" w:hAnsi="Times New Roman"/>
          <w:b w:val="false"/>
          <w:color w:val="000000"/>
          <w:sz w:val="20"/>
        </w:rPr>
        <w:t>” has the meaning set forth in the definition of “Intellectual Property.”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Payroll Provider</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3.1(c)(iv)</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PEO</w:t>
      </w:r>
      <w:r>
        <w:rPr>
          <w:rFonts w:ascii="Times New Roman" w:hAnsi="Times New Roman"/>
          <w:b w:val="false"/>
          <w:color w:val="000000"/>
          <w:sz w:val="20"/>
        </w:rPr>
        <w:t>” means Automatic Data Processing, Inc. and its Affiliates.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PEO Benefit Plan</w:t>
      </w:r>
      <w:r>
        <w:rPr>
          <w:rFonts w:ascii="Times New Roman" w:hAnsi="Times New Roman"/>
          <w:b w:val="false"/>
          <w:color w:val="000000"/>
          <w:sz w:val="20"/>
        </w:rPr>
        <w:t>” 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entered into, contributed to (or required to be contributed to), sponsored by or maintained by the PEO and in which employees of the Company participate.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Per Share Additional Manager Consideration</w:t>
      </w:r>
      <w:r>
        <w:rPr>
          <w:rFonts w:ascii="Times New Roman" w:hAnsi="Times New Roman"/>
          <w:b w:val="false"/>
          <w:color w:val="000000"/>
          <w:sz w:val="20"/>
        </w:rPr>
        <w:t>” means $0.52 in cash.</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Per Share Parent Cash Consideration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3.1(b)(i)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Per Share Parent Consideration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3.1(b)(i)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Per Share Parent Stock Consideration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3.1(b)(i)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Performance Payout Percentage</w:t>
      </w:r>
      <w:r>
        <w:rPr>
          <w:rFonts w:ascii="Times New Roman" w:hAnsi="Times New Roman"/>
          <w:b w:val="false"/>
          <w:color w:val="000000"/>
          <w:sz w:val="20"/>
        </w:rPr>
        <w:t>” has the meaning set forth in the applicable grant agreement for the Company PSU Awards.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Permit</w:t>
      </w:r>
      <w:r>
        <w:rPr>
          <w:rFonts w:ascii="Times New Roman" w:hAnsi="Times New Roman"/>
          <w:b w:val="false"/>
          <w:color w:val="000000"/>
          <w:sz w:val="20"/>
        </w:rPr>
        <w:t>” means any permit (including any special or conditional use permit), certificate, franchise, registration, approval, identification number, license, sublicense, variance or other authorization required under any applicable Law or by any government-sponsored enterprise.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Person</w:t>
      </w:r>
      <w:r>
        <w:rPr>
          <w:rFonts w:ascii="Times New Roman" w:hAnsi="Times New Roman"/>
          <w:b w:val="false"/>
          <w:color w:val="000000"/>
          <w:sz w:val="20"/>
        </w:rPr>
        <w:t>” means an individual, corporation, partnership, joint venture, trust, association, estate, joint stock company, limited liability company, Governmental Authority or any other organization or entity of any kind.</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Preferred Stock Merger Consideration</w:t>
      </w:r>
      <w:r>
        <w:rPr>
          <w:rFonts w:ascii="Times New Roman" w:hAnsi="Times New Roman"/>
          <w:b w:val="false"/>
          <w:color w:val="000000"/>
          <w:sz w:val="20"/>
        </w:rPr>
        <w:t>” means the Series A Preferred Stock Merger Consideration and the Series B Preferred Stock Merger Consideration, as applicable.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Proxy Statement/Prospectus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6.7(a)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Qualified REIT Subsidiary</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Real Property Lease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4.16(b)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REIT</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Representatives</w:t>
      </w:r>
      <w:r>
        <w:rPr>
          <w:rFonts w:ascii="Times New Roman" w:hAnsi="Times New Roman"/>
          <w:b w:val="false"/>
          <w:color w:val="000000"/>
          <w:sz w:val="20"/>
        </w:rPr>
        <w:t>” means, with respect to a Person, such Person’s directors, officers, employees, investment bankers, attorneys, accountants and other advisors or representatives.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Required Regulatory Approvals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7.1(e)</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Required Regulatory Notifications</w:t>
      </w:r>
      <w:r>
        <w:rPr>
          <w:rFonts w:ascii="Times New Roman" w:hAnsi="Times New Roman"/>
          <w:b w:val="false"/>
          <w:color w:val="000000"/>
          <w:sz w:val="20"/>
        </w:rPr>
        <w:t xml:space="preserve">” means the pre-Closing notification filings to be made with any Governmental Authority under applicable Law in connection with the consummation of the Transactions set forth on </w:t>
      </w:r>
      <w:r>
        <w:rPr>
          <w:rFonts w:ascii="Times New Roman" w:hAnsi="Times New Roman"/>
          <w:b w:val="false"/>
          <w:color w:val="000000"/>
          <w:sz w:val="20"/>
          <w:u w:val="single"/>
        </w:rPr>
        <w:t>Section 1.1(d)</w:t>
      </w:r>
      <w:r>
        <w:rPr>
          <w:rFonts w:ascii="Times New Roman" w:hAnsi="Times New Roman"/>
          <w:b w:val="false"/>
          <w:color w:val="000000"/>
          <w:sz w:val="20"/>
        </w:rPr>
        <w:t xml:space="preserve"> of the Company Disclosure Letter.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SEC</w:t>
      </w:r>
      <w:r>
        <w:rPr>
          <w:rFonts w:ascii="Times New Roman" w:hAnsi="Times New Roman"/>
          <w:b w:val="false"/>
          <w:color w:val="000000"/>
          <w:sz w:val="20"/>
        </w:rPr>
        <w:t>” means the U.S. Securities and Exchange Commission.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Securities Act</w:t>
      </w:r>
      <w:r>
        <w:rPr>
          <w:rFonts w:ascii="Times New Roman" w:hAnsi="Times New Roman"/>
          <w:b w:val="false"/>
          <w:color w:val="000000"/>
          <w:sz w:val="20"/>
        </w:rPr>
        <w:t>” means the Securities Act of 1933, as amended, and the rules and regulations promulgated thereunder.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Series A Articles Supplementary</w:t>
      </w:r>
      <w:r>
        <w:rPr>
          <w:rFonts w:ascii="Times New Roman" w:hAnsi="Times New Roman"/>
          <w:b w:val="false"/>
          <w:color w:val="000000"/>
          <w:sz w:val="20"/>
        </w:rPr>
        <w:t>” means the Articles Supplementary designating the Series A Preferred Stock of the Company.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Series A Preferred Stock Merger Consideration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3.1(b)(iii)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Series B Articles Supplementary</w:t>
      </w:r>
      <w:r>
        <w:rPr>
          <w:rFonts w:ascii="Times New Roman" w:hAnsi="Times New Roman"/>
          <w:b w:val="false"/>
          <w:color w:val="000000"/>
          <w:sz w:val="20"/>
        </w:rPr>
        <w:t>” means the Articles Supplementary designating the Series B Preferred Stock of the Company.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Series B Preferred Stock Merger Consideration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3.1(b)(iv)</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Software</w:t>
      </w:r>
      <w:r>
        <w:rPr>
          <w:rFonts w:ascii="Times New Roman" w:hAnsi="Times New Roman"/>
          <w:b w:val="false"/>
          <w:color w:val="000000"/>
          <w:sz w:val="20"/>
        </w:rPr>
        <w:t>” means computer software programs in both source code and object code format, including databases, data files, application programming interfaces, user interfaces, and documentation relating thereto, as the context requires.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Specified Acquisition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6.3(d)</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Subsidiary</w:t>
      </w:r>
      <w:r>
        <w:rPr>
          <w:rFonts w:ascii="Times New Roman" w:hAnsi="Times New Roman"/>
          <w:b w:val="false"/>
          <w:color w:val="000000"/>
          <w:sz w:val="20"/>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Support Agreement</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Surviving Corporation</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2.1(a)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Surviving Entity</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2.1(b)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Takeover Law</w:t>
      </w:r>
      <w:r>
        <w:rPr>
          <w:rFonts w:ascii="Times New Roman" w:hAnsi="Times New Roman"/>
          <w:b w:val="false"/>
          <w:color w:val="000000"/>
          <w:sz w:val="20"/>
        </w:rPr>
        <w:t>” means any “moratorium,” “control share acquisition,” “business combination,” “fair price” or other form of takeover or anti-takeover Laws of any jurisdiction or other applicable Laws that purport to limit or restrict business combinations or the ability to limit or restrict business combinations or the ability to acquire or to vote shares.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Tax</w:t>
      </w:r>
      <w:r>
        <w:rPr>
          <w:rFonts w:ascii="Times New Roman" w:hAnsi="Times New Roman"/>
          <w:b w:val="false"/>
          <w:color w:val="000000"/>
          <w:sz w:val="20"/>
        </w:rPr>
        <w:t xml:space="preserve">” means all U.S. federal, state, local or foreign taxes, imposts, levies or other similar assessments, including any net income, capital gains, gross income, gross receipts, sales, use, transfer, </w:t>
      </w:r>
      <w:r>
        <w:rPr>
          <w:rFonts w:ascii="Times New Roman" w:hAnsi="Times New Roman"/>
          <w:b w:val="false"/>
          <w:i/>
          <w:color w:val="000000"/>
          <w:sz w:val="20"/>
        </w:rPr>
        <w:t>ad valorem</w:t>
      </w:r>
      <w:r>
        <w:rPr>
          <w:rFonts w:ascii="Times New Roman" w:hAnsi="Times New Roman"/>
          <w:b w:val="false"/>
          <w:color w:val="000000"/>
          <w:sz w:val="20"/>
        </w:rPr>
        <w:t>, franchise, profits, license, capital, withholding, payroll, estimated, employment, excise, goods and services, severance, stamp, occupation, premium, property (including real property), social security, environmental, alternative or add-on, value added, registration, occupancy, capital stock, unincorporated business, unemployment, disability, workers’ compensation, accumulated earnings, personal holding company, annual reports, windfall profits or other taxes or assessments, imposed by any Governmental Authority, together with all interest, penalties or additions to tax imposed with respect thereto.</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Tax Returns</w:t>
      </w:r>
      <w:r>
        <w:rPr>
          <w:rFonts w:ascii="Times New Roman" w:hAnsi="Times New Roman"/>
          <w:b w:val="false"/>
          <w:color w:val="000000"/>
          <w:sz w:val="20"/>
        </w:rPr>
        <w:t>” means any report, return (including any information return), declaration, claim for refund or other document filed or required to be filed with any Taxing Authority with respect to Taxes, including any attachment thereto and any amendment thereof.</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Taxable REIT Subsidiary</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4.1(b)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Taxing Authority</w:t>
      </w:r>
      <w:r>
        <w:rPr>
          <w:rFonts w:ascii="Times New Roman" w:hAnsi="Times New Roman"/>
          <w:b w:val="false"/>
          <w:color w:val="000000"/>
          <w:sz w:val="20"/>
        </w:rPr>
        <w:t>” means any Governmental Authority responsible for the administration or the imposition of any Tax.</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Termination Date</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8.1(b)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Termination Expenses and Interest</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8.3(e)</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Trade Secrets</w:t>
      </w:r>
      <w:r>
        <w:rPr>
          <w:rFonts w:ascii="Times New Roman" w:hAnsi="Times New Roman"/>
          <w:b w:val="false"/>
          <w:color w:val="000000"/>
          <w:sz w:val="20"/>
        </w:rPr>
        <w:t>” has the meaning set forth in the definition of “Intellectual Property.”</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Transactions</w:t>
      </w:r>
      <w:r>
        <w:rPr>
          <w:rFonts w:ascii="Times New Roman" w:hAnsi="Times New Roman"/>
          <w:b w:val="false"/>
          <w:color w:val="000000"/>
          <w:sz w:val="20"/>
        </w:rPr>
        <w:t>” has the meaning set forth in the Recitals.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Transfer Taxes</w:t>
      </w:r>
      <w:r>
        <w:rPr>
          <w:rFonts w:ascii="Times New Roman" w:hAnsi="Times New Roman"/>
          <w:b w:val="false"/>
          <w:color w:val="000000"/>
          <w:sz w:val="20"/>
        </w:rPr>
        <w:t xml:space="preserve">” has the meaning set forth in </w:t>
      </w:r>
      <w:r>
        <w:rPr>
          <w:rFonts w:ascii="Times New Roman" w:hAnsi="Times New Roman"/>
          <w:b w:val="false"/>
          <w:color w:val="000000"/>
          <w:sz w:val="20"/>
          <w:u w:val="single"/>
        </w:rPr>
        <w:t>Section 8.2(b)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Treasury Regulations</w:t>
      </w:r>
      <w:r>
        <w:rPr>
          <w:rFonts w:ascii="Times New Roman" w:hAnsi="Times New Roman"/>
          <w:b w:val="false"/>
          <w:color w:val="000000"/>
          <w:sz w:val="20"/>
        </w:rPr>
        <w:t>” means the regulations promulgated under the Code, as such regulations may be amended from time to time.</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val="false"/>
          <w:color w:val="000000"/>
          <w:sz w:val="20"/>
          <w:u w:val="single"/>
        </w:rPr>
        <w:t>Willful Breach</w:t>
      </w:r>
      <w:r>
        <w:rPr>
          <w:rFonts w:ascii="Times New Roman" w:hAnsi="Times New Roman"/>
          <w:b w:val="false"/>
          <w:color w:val="000000"/>
          <w:sz w:val="20"/>
        </w:rPr>
        <w:t>” 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II</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MERGERS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2.1.         </w:t>
      </w:r>
      <w:r>
        <w:rPr>
          <w:rFonts w:ascii="Times New Roman" w:hAnsi="Times New Roman"/>
          <w:b w:val="false"/>
          <w:color w:val="000000"/>
          <w:sz w:val="20"/>
          <w:u w:val="single"/>
        </w:rPr>
        <w:t>Mergers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Upon the terms and subject to the conditions set forth in this Agreement and in accordance with the DRULPA and the MGCL, at the Partnership Merger Effective Time, the Company Operating Partnership shall be merged with and into the Company. Following the Partnership Merger, the Company shall continue as the surviving corporation and the separate existence of Company Operating Partnership shall cease (the Company, as the surviving corporation in the Partnership Merger, the “</w:t>
      </w:r>
      <w:r>
        <w:rPr>
          <w:rFonts w:ascii="Times New Roman" w:hAnsi="Times New Roman"/>
          <w:b w:val="false"/>
          <w:color w:val="000000"/>
          <w:sz w:val="20"/>
          <w:u w:val="single"/>
        </w:rPr>
        <w:t>Surviving Corporation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Upon the terms and subject to the conditions set forth in this Agreement and in accordance with the DLLCA and the MGCL, following the Partnership Merger and at the Company Merger Effective Time, the Surviving Corporation shall be merged with and into Merger Sub. Following the Company Merger, Merger Sub shall continue as the surviving entity and the separate existence of the Surviving Corporation shall cease (Merger Sub, as the surviving entity in the Company Merger, the “</w:t>
      </w:r>
      <w:r>
        <w:rPr>
          <w:rFonts w:ascii="Times New Roman" w:hAnsi="Times New Roman"/>
          <w:b w:val="false"/>
          <w:color w:val="000000"/>
          <w:sz w:val="20"/>
          <w:u w:val="single"/>
        </w:rPr>
        <w:t>Surviving Entity</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2.2.       </w:t>
      </w:r>
      <w:r>
        <w:rPr>
          <w:rFonts w:ascii="Times New Roman" w:hAnsi="Times New Roman"/>
          <w:b w:val="false"/>
          <w:color w:val="000000"/>
          <w:sz w:val="20"/>
          <w:u w:val="single"/>
        </w:rPr>
        <w:t>Closing</w:t>
      </w:r>
      <w:r>
        <w:rPr>
          <w:rFonts w:ascii="Times New Roman" w:hAnsi="Times New Roman"/>
          <w:b w:val="false"/>
          <w:color w:val="000000"/>
          <w:sz w:val="20"/>
        </w:rPr>
        <w:t xml:space="preserve">. The Closing shall take place via the exchange of electronic documents and executed signature pages and the electronic transfer of funds on the date that is two Business Days after the date on which the last of the conditions precedent set forth in </w:t>
      </w:r>
      <w:r>
        <w:rPr>
          <w:rFonts w:ascii="Times New Roman" w:hAnsi="Times New Roman"/>
          <w:b w:val="false"/>
          <w:color w:val="000000"/>
          <w:sz w:val="20"/>
          <w:u w:val="single"/>
        </w:rPr>
        <w:t>Article VII</w:t>
      </w:r>
      <w:r>
        <w:rPr>
          <w:rFonts w:ascii="Times New Roman" w:hAnsi="Times New Roman"/>
          <w:b w:val="false"/>
          <w:color w:val="000000"/>
          <w:sz w:val="20"/>
        </w:rPr>
        <w:t xml:space="preserve"> is satisfied or, to the extent permitted by applicable Law, waived (other than those conditions that by their terms are to be satisfied at the Closing, but subject to the satisfaction or waiver of those conditions at such time). The date on which the Closing occurs in accordance with the preceding sentence is referred to in this Agreement as the “</w:t>
      </w:r>
      <w:r>
        <w:rPr>
          <w:rFonts w:ascii="Times New Roman" w:hAnsi="Times New Roman"/>
          <w:b w:val="false"/>
          <w:color w:val="000000"/>
          <w:sz w:val="20"/>
          <w:u w:val="single"/>
        </w:rPr>
        <w:t>Closing Date</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2.3.         </w:t>
      </w:r>
      <w:r>
        <w:rPr>
          <w:rFonts w:ascii="Times New Roman" w:hAnsi="Times New Roman"/>
          <w:b w:val="false"/>
          <w:color w:val="000000"/>
          <w:sz w:val="20"/>
          <w:u w:val="single"/>
        </w:rPr>
        <w:t>Effective Times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As soon as practicable on the Closing Date, Parent, the Company and the Company Operating Partnership shall (i) cause the Partnership Merger to be consummated by filing with the Secretary of State of the State of Delaware (the “</w:t>
      </w:r>
      <w:r>
        <w:rPr>
          <w:rFonts w:ascii="Times New Roman" w:hAnsi="Times New Roman"/>
          <w:b w:val="false"/>
          <w:color w:val="000000"/>
          <w:sz w:val="20"/>
          <w:u w:val="single"/>
        </w:rPr>
        <w:t>Delaware Secretary</w:t>
      </w:r>
      <w:r>
        <w:rPr>
          <w:rFonts w:ascii="Times New Roman" w:hAnsi="Times New Roman"/>
          <w:b w:val="false"/>
          <w:color w:val="000000"/>
          <w:sz w:val="20"/>
        </w:rPr>
        <w:t>”) of a certificate of merger (the “</w:t>
      </w:r>
      <w:r>
        <w:rPr>
          <w:rFonts w:ascii="Times New Roman" w:hAnsi="Times New Roman"/>
          <w:b w:val="false"/>
          <w:color w:val="000000"/>
          <w:sz w:val="20"/>
          <w:u w:val="single"/>
        </w:rPr>
        <w:t>Partnership Certificate of Merger</w:t>
      </w:r>
      <w:r>
        <w:rPr>
          <w:rFonts w:ascii="Times New Roman" w:hAnsi="Times New Roman"/>
          <w:b w:val="false"/>
          <w:color w:val="000000"/>
          <w:sz w:val="20"/>
        </w:rPr>
        <w:t>”) and by filing with the State Department of Assessments and Taxation of Maryland (the “</w:t>
      </w:r>
      <w:r>
        <w:rPr>
          <w:rFonts w:ascii="Times New Roman" w:hAnsi="Times New Roman"/>
          <w:b w:val="false"/>
          <w:color w:val="000000"/>
          <w:sz w:val="20"/>
          <w:u w:val="single"/>
        </w:rPr>
        <w:t>Maryland Department</w:t>
      </w:r>
      <w:r>
        <w:rPr>
          <w:rFonts w:ascii="Times New Roman" w:hAnsi="Times New Roman"/>
          <w:b w:val="false"/>
          <w:color w:val="000000"/>
          <w:sz w:val="20"/>
        </w:rPr>
        <w:t>”) articles of merger (the “</w:t>
      </w:r>
      <w:r>
        <w:rPr>
          <w:rFonts w:ascii="Times New Roman" w:hAnsi="Times New Roman"/>
          <w:b w:val="false"/>
          <w:color w:val="000000"/>
          <w:sz w:val="20"/>
          <w:u w:val="single"/>
        </w:rPr>
        <w:t>Partnership Articles of Merger</w:t>
      </w:r>
      <w:r>
        <w:rPr>
          <w:rFonts w:ascii="Times New Roman" w:hAnsi="Times New Roman"/>
          <w:b w:val="false"/>
          <w:color w:val="000000"/>
          <w:sz w:val="20"/>
        </w:rPr>
        <w:t>”), in each case with respect to the Partnership Merger and in such form as is required by, and executed in accordance with, the DRULPA and the MGCL, respectively; and (ii) make all other filings, recordings or publications required to be made by Parent, the Company Operating Partnership or the Company under the DRULPA and the MGCL in connection with the Partnership Merger. The Partnership Merger shall become effective at the time the Partnership Certificate of Merger is filed with the Delaware Secretary and the Partnership Articles of Merger are accepted for record by the Maryland Department, or at such later time as Parent and the Company shall agree upon in writing and shall specify in the Partnership Certificate of Merger and Partnership Articles of Merger (such date and time the Partnership Merger becomes effective, the “</w:t>
      </w:r>
      <w:r>
        <w:rPr>
          <w:rFonts w:ascii="Times New Roman" w:hAnsi="Times New Roman"/>
          <w:b w:val="false"/>
          <w:color w:val="000000"/>
          <w:sz w:val="20"/>
          <w:u w:val="single"/>
        </w:rPr>
        <w:t>Partnership Merger Effective Time</w:t>
      </w:r>
      <w:r>
        <w:rPr>
          <w:rFonts w:ascii="Times New Roman" w:hAnsi="Times New Roman"/>
          <w:b w:val="false"/>
          <w:color w:val="000000"/>
          <w:sz w:val="20"/>
        </w:rPr>
        <w:t>”), it being understood and agreed that the parties hereto shall cause the Partnership Merger Effective Time to occur immediately prior to the Company Merger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On the Closing Date, Parent, the Company and Merger Sub shall (i) cause the Company Merger to be consummated by filing with the Delaware Secretary of a certificate of merger (the “</w:t>
      </w:r>
      <w:r>
        <w:rPr>
          <w:rFonts w:ascii="Times New Roman" w:hAnsi="Times New Roman"/>
          <w:b w:val="false"/>
          <w:color w:val="000000"/>
          <w:sz w:val="20"/>
          <w:u w:val="single"/>
        </w:rPr>
        <w:t>Certificate of Merger</w:t>
      </w:r>
      <w:r>
        <w:rPr>
          <w:rFonts w:ascii="Times New Roman" w:hAnsi="Times New Roman"/>
          <w:b w:val="false"/>
          <w:color w:val="000000"/>
          <w:sz w:val="20"/>
        </w:rPr>
        <w:t>”) and by filing with the Maryland Department articles of merger (the “</w:t>
      </w:r>
      <w:r>
        <w:rPr>
          <w:rFonts w:ascii="Times New Roman" w:hAnsi="Times New Roman"/>
          <w:b w:val="false"/>
          <w:color w:val="000000"/>
          <w:sz w:val="20"/>
          <w:u w:val="single"/>
        </w:rPr>
        <w:t>Articles of Merger</w:t>
      </w:r>
      <w:r>
        <w:rPr>
          <w:rFonts w:ascii="Times New Roman" w:hAnsi="Times New Roman"/>
          <w:b w:val="false"/>
          <w:color w:val="000000"/>
          <w:sz w:val="20"/>
        </w:rPr>
        <w:t>” and, together with the Partnership Certificate of Merger, the Partnership Articles of Merger and the Certificate of Merger, the “</w:t>
      </w:r>
      <w:r>
        <w:rPr>
          <w:rFonts w:ascii="Times New Roman" w:hAnsi="Times New Roman"/>
          <w:b w:val="false"/>
          <w:color w:val="000000"/>
          <w:sz w:val="20"/>
          <w:u w:val="single"/>
        </w:rPr>
        <w:t>Merger Filings</w:t>
      </w:r>
      <w:r>
        <w:rPr>
          <w:rFonts w:ascii="Times New Roman" w:hAnsi="Times New Roman"/>
          <w:b w:val="false"/>
          <w:color w:val="000000"/>
          <w:sz w:val="20"/>
        </w:rPr>
        <w:t>”), in each case with respect to the Company Merger and in such form as is required by, and executed in accordance with, the DLLCA and the MGCL; and (ii) make all other filings, recordings or publications required to be made by Parent, Merger Sub or the Company under the DLLCA and the MGCL in connection with the Company Merger. The Company Merger shall become effective at the time the Certificate of Merger is filed with the Delaware Secretary and the Articles of Merger are accepted for record by the Maryland Department, or at such later time as Parent and the Company shall agree upon in writing and shall specify in the Certificate of Merger and the Articles of Merger (such date and time the Company Merger becomes effective, the “</w:t>
      </w:r>
      <w:r>
        <w:rPr>
          <w:rFonts w:ascii="Times New Roman" w:hAnsi="Times New Roman"/>
          <w:b w:val="false"/>
          <w:color w:val="000000"/>
          <w:sz w:val="20"/>
          <w:u w:val="single"/>
        </w:rPr>
        <w:t>Company Merger Effective Time</w:t>
      </w:r>
      <w:r>
        <w:rPr>
          <w:rFonts w:ascii="Times New Roman" w:hAnsi="Times New Roman"/>
          <w:b w:val="false"/>
          <w:color w:val="000000"/>
          <w:sz w:val="20"/>
        </w:rPr>
        <w:t>”), it being understood and agreed that the parties hereto shall cause the Company Merger Effective Time to occur immediately after the Partnership Merger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2.4.         </w:t>
      </w:r>
      <w:r>
        <w:rPr>
          <w:rFonts w:ascii="Times New Roman" w:hAnsi="Times New Roman"/>
          <w:b w:val="false"/>
          <w:color w:val="000000"/>
          <w:sz w:val="20"/>
          <w:u w:val="single"/>
        </w:rPr>
        <w:t>Effects of the Mergers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At the Partnership Merger Effective Time, the Partnership Merger shall have the effects set forth in this Agreement and the applicable provisions of the DRULPA and the MGCL, including Section 3-114 thereof. Without limiting the generality of the foregoing, and subject thereto, at the Partnership Merger Effective Time, all property owned by, and every contract right possessed by, the Company Operating Partnership and the Company shall vest in the Surviving Corporation without transfer, reversion or impairment and all debts, obligations and liabilities of the Company Operating Partnership and the Company shall become the debts, obligations and liabilities of the Surviving Corporation.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At the Company Merger Effective Time, the Company Merger shall have the effects set forth in this Agreement and the applicable provisions of the DLLCA and the MGCL, including Section 3-114 thereof. Without limiting the generality of the foregoing, and subject thereto, at the Company Merger Effective Time, all property owned by, and every contract right possessed by, the Surviving Corporation and Merger Sub shall vest in the Surviving Entity without transfer, reversion or impairment and all debts, obligations and liabilities of the Surviving Corporation and Merger Sub shall become the debts, obligations and liabilities of the Surviving Entity.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2.5.         </w:t>
      </w:r>
      <w:r>
        <w:rPr>
          <w:rFonts w:ascii="Times New Roman" w:hAnsi="Times New Roman"/>
          <w:b w:val="false"/>
          <w:color w:val="000000"/>
          <w:sz w:val="20"/>
          <w:u w:val="single"/>
        </w:rPr>
        <w:t>Organizational Documents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The certificate of formation of Merger Sub in effect immediately prior to the Company Merger Effective Time shall be the certificate of formation of the Surviving Entity as of the Company Merger Effective Time, except that the name of the Surviving Entity may be changed as determined by Parent, and the limited liability company agreement of Merger Sub in effect immediately prior to the Company Merger Effective Time shall be the limited liability company agreement of the Surviving Entity as of the Company Merger Effective Time, except that the references to Merger Sub’s name may be changed as determined by Parent, each until amended in accordance with applicable Law and consistent with the obligations set forth in </w:t>
      </w:r>
      <w:r>
        <w:rPr>
          <w:rFonts w:ascii="Times New Roman" w:hAnsi="Times New Roman"/>
          <w:b w:val="false"/>
          <w:color w:val="000000"/>
          <w:sz w:val="20"/>
          <w:u w:val="single"/>
        </w:rPr>
        <w:t>Section 6.11</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The charter of the Company in effect immediately prior to the Partnership Merger Effective Time shall be the charter of the Surviving Corporation as of the Partnership Merger Effective Time, and the bylaws of the Company in effect immediately prior to the Partnership Merger Effective Time shall be the bylaws of the Surviving Corporation, each until amended in accordance with applicable Law and consistent with the obligations set forth in </w:t>
      </w:r>
      <w:r>
        <w:rPr>
          <w:rFonts w:ascii="Times New Roman" w:hAnsi="Times New Roman"/>
          <w:b w:val="false"/>
          <w:color w:val="000000"/>
          <w:sz w:val="20"/>
          <w:u w:val="single"/>
        </w:rPr>
        <w:t>Section 6.11</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2.6.         </w:t>
      </w:r>
      <w:r>
        <w:rPr>
          <w:rFonts w:ascii="Times New Roman" w:hAnsi="Times New Roman"/>
          <w:b w:val="false"/>
          <w:color w:val="000000"/>
          <w:sz w:val="20"/>
          <w:u w:val="single"/>
        </w:rPr>
        <w:t>Directors and Officers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From and after the Company Merger Effective Time, the managing member and officers of Merger Sub immediately prior to the Company Merger Effective Time shall be the managing member and officers of the Surviving Entity, and such managing member and officers shall serve until their successors have been duly elected or appointed and qualified or until their death, resignation or removal in accordance with the Organizational Documents of the Surviving Entity.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The directors and officers of the Company shall be the directors and officers of the Surviving Corporation following the Partnership Merger Effective Time and prior to the Company Merger Effective Time, and such directors and officers shall serve until their successors have been duly elected or appointed and qualified or until their death, resignation or removal in accordance with the Organizational Documents of the Surviving Corporation.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2.7.        </w:t>
      </w:r>
      <w:r>
        <w:rPr>
          <w:rFonts w:ascii="Times New Roman" w:hAnsi="Times New Roman"/>
          <w:b w:val="false"/>
          <w:color w:val="000000"/>
          <w:sz w:val="20"/>
          <w:u w:val="single"/>
        </w:rPr>
        <w:t>Directors of Parent</w:t>
      </w:r>
      <w:r>
        <w:rPr>
          <w:rFonts w:ascii="Times New Roman" w:hAnsi="Times New Roman"/>
          <w:b w:val="false"/>
          <w:color w:val="000000"/>
          <w:sz w:val="20"/>
        </w:rPr>
        <w:t>. Prior to the Company Merger Effective Time, Parent shall take all necessary corporate action so that upon and immediately after the Company Merger Effective Time, (a) the size of the Parent Board is increased by two (2) members and (b) two (2) members of the Company Board designated by the Company no later than twenty (20) Business Days prior to the Closing Date shall be appointed to the Parent Board (each, a “</w:t>
      </w:r>
      <w:r>
        <w:rPr>
          <w:rFonts w:ascii="Times New Roman" w:hAnsi="Times New Roman"/>
          <w:b w:val="false"/>
          <w:color w:val="000000"/>
          <w:sz w:val="20"/>
          <w:u w:val="single"/>
        </w:rPr>
        <w:t>Company Director Designee</w:t>
      </w:r>
      <w:r>
        <w:rPr>
          <w:rFonts w:ascii="Times New Roman" w:hAnsi="Times New Roman"/>
          <w:b w:val="false"/>
          <w:color w:val="000000"/>
          <w:sz w:val="20"/>
        </w:rPr>
        <w:t xml:space="preserve">”). Each Company Director Designee must (i) at the time of such designation be a member of the Company Board, (ii) have provided a fully completed directors’ questionnaire to Parent and completed a background check prior to such appointment, which shall be reasonably satisfactory to Parent, and (iii) meet the qualifications of an “independent director” of the Company and Parent under the rules of the NYSE;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in the event that (A) Parent determines in accordance with the foregoing that a Company Director Designee’s directors’ questionnaire or background check is not reasonably satisfactory or (B) a Company Director Designee is unable or unwilling to serve on the Parent Board prior to the Company Merger Effective Time, (x) in the case of the foregoing clause (A), Parent shall promptly notify the Company of such determination and (y) in the case of the foregoing clauses (A) and (B), the Company shall have the right to designate an alternative member of the Company Board as a Company Director Designee by notice to Parent no later than five (5) Business Days of, in the case of the foregoing clause (A), the Company’s receipt of the notice contemplated by the foregoing clause (x), and, in the case of the foregoing clause (B), the Company’s discovery of such matter. Parent shall take all action necessary to nominate the Company Director Designees to the Parent Board at the Parent Board’s next annual meeting following the Company Merger Effective Time, including, but not limited to, including the individuals as Persons nominated as members of the Parent Board in the Parent Board’s proxy statement for such annual meeting and recommending to its stockholders to elect the Company Director Designees to the Parent Board;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Parent Board shall not be required to make such recommendation with respect to any Company Director Designee if, and only if, the Parent Board determines making such recommendation with respect to such Company Director Designee would reasonably be expected to be inconsistent with its fiduciary duties under applicable Law. The provisions of this </w:t>
      </w:r>
      <w:r>
        <w:rPr>
          <w:rFonts w:ascii="Times New Roman" w:hAnsi="Times New Roman"/>
          <w:b w:val="false"/>
          <w:color w:val="000000"/>
          <w:sz w:val="20"/>
          <w:u w:val="single"/>
        </w:rPr>
        <w:t>Section 2.7</w:t>
      </w:r>
      <w:r>
        <w:rPr>
          <w:rFonts w:ascii="Times New Roman" w:hAnsi="Times New Roman"/>
          <w:b w:val="false"/>
          <w:color w:val="000000"/>
          <w:sz w:val="20"/>
        </w:rPr>
        <w:t xml:space="preserve"> are intended to be for the benefit of, and shall be enforceable by, the Company Director Designees.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2.8.        </w:t>
      </w:r>
      <w:r>
        <w:rPr>
          <w:rFonts w:ascii="Times New Roman" w:hAnsi="Times New Roman"/>
          <w:b w:val="false"/>
          <w:color w:val="000000"/>
          <w:sz w:val="20"/>
          <w:u w:val="single"/>
        </w:rPr>
        <w:t>Tax Consequences</w:t>
      </w:r>
      <w:r>
        <w:rPr>
          <w:rFonts w:ascii="Times New Roman" w:hAnsi="Times New Roman"/>
          <w:b w:val="false"/>
          <w:color w:val="000000"/>
          <w:sz w:val="20"/>
        </w:rPr>
        <w:t>. The parties hereto intend that (a) the Company Merger shall qualify, for U.S. federal income tax purposes, as a “reorganization” under, and within the meaning of, Section 368(a) of the Code, and (b) this Agreement be, and hereby is adopted as, a “plan of reorganization” for the Company Merger for purposes of Section 354 and Section 361 of the Code. Each party shall, unless otherwise required by a change in applicable Law after the date hereof, a “determination” within the meaning of Section 1313(a) of the Code, or based on a change in the facts and circumstances underlying the Company Merger from the terms described in this Agreement that are necessary for the qualification of the Company Merger for the treatment set forth above, cause all Tax Returns to be filed in a manner consistent therewith and no party shall take a position inconsistent with such treatment. Each of the parties agrees to use reasonable best efforts to promptly notify all other parties of any challenge to the intended tax treatment of the Company Merger by any Governmental Authority.</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III</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CONVERSION OF SHARES, UNITS AND AWARDS; EXCHANGE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3.1.        </w:t>
      </w:r>
      <w:r>
        <w:rPr>
          <w:rFonts w:ascii="Times New Roman" w:hAnsi="Times New Roman"/>
          <w:b w:val="false"/>
          <w:color w:val="000000"/>
          <w:sz w:val="20"/>
          <w:u w:val="single"/>
        </w:rPr>
        <w:t>Treatment of Merger Sub Units, Company Common Stock, Company Preferred Stock and Company Equity Awards</w:t>
      </w:r>
      <w:r>
        <w:rPr>
          <w:rFonts w:ascii="Times New Roman" w:hAnsi="Times New Roman"/>
          <w:b w:val="false"/>
          <w:color w:val="000000"/>
          <w:sz w:val="20"/>
        </w:rPr>
        <w:t>. At the Company Merger Effective Time, by virtue of the Company Merger and without any action on the part of any party hereto or holder of any shares of Company Common Stock, holder of any shares of Company Preferred Stock, holder of any Merger Sub units, holder of any Company Equity Awards or any other securities of the Company, of Merger Sub or of Parent: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w:t>
      </w:r>
      <w:r>
        <w:rPr>
          <w:rFonts w:ascii="Times New Roman" w:hAnsi="Times New Roman"/>
          <w:b w:val="false"/>
          <w:color w:val="000000"/>
          <w:sz w:val="20"/>
          <w:u w:val="single"/>
        </w:rPr>
        <w:t>Conversion of Merger Sub Units</w:t>
      </w:r>
      <w:r>
        <w:rPr>
          <w:rFonts w:ascii="Times New Roman" w:hAnsi="Times New Roman"/>
          <w:b w:val="false"/>
          <w:color w:val="000000"/>
          <w:sz w:val="20"/>
        </w:rPr>
        <w:t>. Each unit of Merger Sub issued and outstanding immediately prior to the Company Merger Effective Time shall remain outstanding as one validly issued, fully paid and non-assessable unit of the Surviving Entity, and shall constitute the only issued or outstanding shares of equity securities of the Surviving Entity.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w:t>
      </w:r>
      <w:r>
        <w:rPr>
          <w:rFonts w:ascii="Times New Roman" w:hAnsi="Times New Roman"/>
          <w:b w:val="false"/>
          <w:color w:val="000000"/>
          <w:sz w:val="20"/>
          <w:u w:val="single"/>
        </w:rPr>
        <w:t>Treatment of Company Common Stock and Company Preferred Stock</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          Each share of Company Common Stock issued and outstanding immediately prior to the Company Merger Effective Time (excluding the Canceled Shares) shall be canceled and extinguished and automatically converted into and shall thereafter represent only the right to receive, without interest thereon, (1) from Parent (A) that number of validly issued, fully-paid and nonassessable shares of Parent Common Stock equal to the Exchange Ratio (the “</w:t>
      </w:r>
      <w:r>
        <w:rPr>
          <w:rFonts w:ascii="Times New Roman" w:hAnsi="Times New Roman"/>
          <w:b w:val="false"/>
          <w:color w:val="000000"/>
          <w:sz w:val="20"/>
          <w:u w:val="single"/>
        </w:rPr>
        <w:t>Per Share Parent Stock Consideration</w:t>
      </w:r>
      <w:r>
        <w:rPr>
          <w:rFonts w:ascii="Times New Roman" w:hAnsi="Times New Roman"/>
          <w:b w:val="false"/>
          <w:color w:val="000000"/>
          <w:sz w:val="20"/>
        </w:rPr>
        <w:t>”), and (B) $0.41 per share in cash, without interest (the “</w:t>
      </w:r>
      <w:r>
        <w:rPr>
          <w:rFonts w:ascii="Times New Roman" w:hAnsi="Times New Roman"/>
          <w:b w:val="false"/>
          <w:color w:val="000000"/>
          <w:sz w:val="20"/>
          <w:u w:val="single"/>
        </w:rPr>
        <w:t>Per Share Parent Cash Consideration</w:t>
      </w:r>
      <w:r>
        <w:rPr>
          <w:rFonts w:ascii="Times New Roman" w:hAnsi="Times New Roman"/>
          <w:b w:val="false"/>
          <w:color w:val="000000"/>
          <w:sz w:val="20"/>
        </w:rPr>
        <w:t>” and, together with the Per Share Parent Stock Consideration, the “</w:t>
      </w:r>
      <w:r>
        <w:rPr>
          <w:rFonts w:ascii="Times New Roman" w:hAnsi="Times New Roman"/>
          <w:b w:val="false"/>
          <w:color w:val="000000"/>
          <w:sz w:val="20"/>
          <w:u w:val="single"/>
        </w:rPr>
        <w:t>Per Share Parent Consideration</w:t>
      </w:r>
      <w:r>
        <w:rPr>
          <w:rFonts w:ascii="Times New Roman" w:hAnsi="Times New Roman"/>
          <w:b w:val="false"/>
          <w:color w:val="000000"/>
          <w:sz w:val="20"/>
        </w:rPr>
        <w:t>”), and (2) from Parent Manager (acting solely on its own behalf), as additional consideration, the Per Share Additional Manager Consideration (as used in this Agreement, the “</w:t>
      </w:r>
      <w:r>
        <w:rPr>
          <w:rFonts w:ascii="Times New Roman" w:hAnsi="Times New Roman"/>
          <w:b w:val="false"/>
          <w:color w:val="000000"/>
          <w:sz w:val="20"/>
          <w:u w:val="single"/>
        </w:rPr>
        <w:t>Common Stock Merger Consideration</w:t>
      </w:r>
      <w:r>
        <w:rPr>
          <w:rFonts w:ascii="Times New Roman" w:hAnsi="Times New Roman"/>
          <w:b w:val="false"/>
          <w:color w:val="000000"/>
          <w:sz w:val="20"/>
        </w:rPr>
        <w:t xml:space="preserve">” means the Per Share Parent Consideration and the Per Share Additional Manager Consideration). All such shares of Company Common Stock, when so converted pursuant to this </w:t>
      </w:r>
      <w:r>
        <w:rPr>
          <w:rFonts w:ascii="Times New Roman" w:hAnsi="Times New Roman"/>
          <w:b w:val="false"/>
          <w:color w:val="000000"/>
          <w:sz w:val="20"/>
          <w:u w:val="single"/>
        </w:rPr>
        <w:t>Section 3.1(b)(i)</w:t>
      </w:r>
      <w:r>
        <w:rPr>
          <w:rFonts w:ascii="Times New Roman" w:hAnsi="Times New Roman"/>
          <w:b w:val="false"/>
          <w:color w:val="000000"/>
          <w:sz w:val="20"/>
        </w:rPr>
        <w:t xml:space="preserve">, shall automatically be cancelled and cease to exist. Each holder of a share of Company Common Stock that was outstanding immediately prior to the Company Merger Effective Time shall cease to have any rights with respect thereto, except the right to receive (x) the Common Stock Merger Consideration, (y) any dividends or other distributions in accordance with </w:t>
      </w:r>
      <w:r>
        <w:rPr>
          <w:rFonts w:ascii="Times New Roman" w:hAnsi="Times New Roman"/>
          <w:b w:val="false"/>
          <w:color w:val="000000"/>
          <w:sz w:val="20"/>
          <w:u w:val="single"/>
        </w:rPr>
        <w:t>Section 3.4(g)</w:t>
      </w:r>
      <w:r>
        <w:rPr>
          <w:rFonts w:ascii="Times New Roman" w:hAnsi="Times New Roman"/>
          <w:b w:val="false"/>
          <w:color w:val="000000"/>
          <w:sz w:val="20"/>
        </w:rPr>
        <w:t xml:space="preserve"> and (z) any cash to be paid in lieu of any fractional shares of Parent Common Stock in accordance with </w:t>
      </w:r>
      <w:r>
        <w:rPr>
          <w:rFonts w:ascii="Times New Roman" w:hAnsi="Times New Roman"/>
          <w:b w:val="false"/>
          <w:color w:val="000000"/>
          <w:sz w:val="20"/>
          <w:u w:val="single"/>
        </w:rPr>
        <w:t>Section 3.4(h)</w:t>
      </w:r>
      <w:r>
        <w:rPr>
          <w:rFonts w:ascii="Times New Roman" w:hAnsi="Times New Roman"/>
          <w:b w:val="false"/>
          <w:color w:val="000000"/>
          <w:sz w:val="20"/>
        </w:rPr>
        <w:t xml:space="preserve">, in each case, to be issued or paid in consideration therefor upon the surrender of any Book-Entry Shares or certificates, as applicable, in accordance with </w:t>
      </w:r>
      <w:r>
        <w:rPr>
          <w:rFonts w:ascii="Times New Roman" w:hAnsi="Times New Roman"/>
          <w:b w:val="false"/>
          <w:color w:val="000000"/>
          <w:sz w:val="20"/>
          <w:u w:val="single"/>
        </w:rPr>
        <w:t>Section 3.4</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         Each share of Company Common Stock and Company Preferred Stock held by the Company, Parent or any direct or indirect Subsidiary of Parent or the Company, in each case, immediately prior to the Company Merger Effective Time (the “</w:t>
      </w:r>
      <w:r>
        <w:rPr>
          <w:rFonts w:ascii="Times New Roman" w:hAnsi="Times New Roman"/>
          <w:b w:val="false"/>
          <w:color w:val="000000"/>
          <w:sz w:val="20"/>
          <w:u w:val="single"/>
        </w:rPr>
        <w:t>Canceled Shares</w:t>
      </w:r>
      <w:r>
        <w:rPr>
          <w:rFonts w:ascii="Times New Roman" w:hAnsi="Times New Roman"/>
          <w:b w:val="false"/>
          <w:color w:val="000000"/>
          <w:sz w:val="20"/>
        </w:rPr>
        <w:t>”), shall automatically be cancelled and retired and shall cease to exist as of the Company Merger Effective Time, and no consideration shall be delivered or deliverable in exchange therefor.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(iii)       Each share of the Company Series A Preferred Stock issued and outstanding immediately prior to the Company Merger Effective Time (excluding the Canceled Shares) shall automatically be converted into the right to receive one newly issued share of Parent Series D Cumulative Redeemable Preferred Stock (the “</w:t>
      </w:r>
      <w:r>
        <w:rPr>
          <w:rFonts w:ascii="Times New Roman" w:hAnsi="Times New Roman"/>
          <w:b w:val="false"/>
          <w:color w:val="000000"/>
          <w:sz w:val="20"/>
          <w:u w:val="single"/>
        </w:rPr>
        <w:t>Series A Preferred Stock Merger Consideration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(iv)       Each share of the Company Series B Preferred Stock, issued and outstanding immediately prior to the Company Merger Effective Time (excluding the Canceled Shares) shall automatically be converted into the right to receive one newly issued share of Parent Series E Cumulative Redeemable Preferred Stock (the “</w:t>
      </w:r>
      <w:r>
        <w:rPr>
          <w:rFonts w:ascii="Times New Roman" w:hAnsi="Times New Roman"/>
          <w:b w:val="false"/>
          <w:color w:val="000000"/>
          <w:sz w:val="20"/>
          <w:u w:val="single"/>
        </w:rPr>
        <w:t>Series B Preferred Stock Merger Consideration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(v)       All shares of Company Preferred Stock, when so converted pursuant to </w:t>
      </w:r>
      <w:r>
        <w:rPr>
          <w:rFonts w:ascii="Times New Roman" w:hAnsi="Times New Roman"/>
          <w:b w:val="false"/>
          <w:color w:val="000000"/>
          <w:sz w:val="20"/>
          <w:u w:val="single"/>
        </w:rPr>
        <w:t>Section 3.1(b)(iii)</w:t>
      </w:r>
      <w:r>
        <w:rPr>
          <w:rFonts w:ascii="Times New Roman" w:hAnsi="Times New Roman"/>
          <w:b w:val="false"/>
          <w:color w:val="000000"/>
          <w:sz w:val="20"/>
        </w:rPr>
        <w:t xml:space="preserve"> and </w:t>
      </w:r>
      <w:r>
        <w:rPr>
          <w:rFonts w:ascii="Times New Roman" w:hAnsi="Times New Roman"/>
          <w:b w:val="false"/>
          <w:color w:val="000000"/>
          <w:sz w:val="20"/>
          <w:u w:val="single"/>
        </w:rPr>
        <w:t>Section 3.1(b)(iv)</w:t>
      </w:r>
      <w:r>
        <w:rPr>
          <w:rFonts w:ascii="Times New Roman" w:hAnsi="Times New Roman"/>
          <w:b w:val="false"/>
          <w:color w:val="000000"/>
          <w:sz w:val="20"/>
        </w:rPr>
        <w:t xml:space="preserve">, respectively, shall automatically be cancelled and cease to exist. Each holder of a share of Company Preferred Stock that was outstanding immediately prior to the Company Merger Effective Time shall cease to have any rights with respect thereto, except the right to receive the Series A Preferred Stock Merger Consideration and the Series B Preferred Stock Merger Consideration therefor, as applicable, upon the surrender of such share of Company Preferred Stock in accordance with </w:t>
      </w:r>
      <w:r>
        <w:rPr>
          <w:rFonts w:ascii="Times New Roman" w:hAnsi="Times New Roman"/>
          <w:b w:val="false"/>
          <w:color w:val="000000"/>
          <w:sz w:val="20"/>
          <w:u w:val="single"/>
        </w:rPr>
        <w:t>Section 3.4</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w:t>
      </w:r>
      <w:r>
        <w:rPr>
          <w:rFonts w:ascii="Times New Roman" w:hAnsi="Times New Roman"/>
          <w:b w:val="false"/>
          <w:color w:val="000000"/>
          <w:sz w:val="20"/>
          <w:u w:val="single"/>
        </w:rPr>
        <w:t>Treatment of Company Equity Awards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Immediately prior to the Company Merger Effective Time, without any action on the part of the holder thereof, each Company RSU Award that is outstanding immediately prior to the Company Merger Effective Time, whether or not vested, shall automatically vest (to the extent not yet vested)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RSU Award within the meaning of Treasury Regulation Section 1.409A-1(b)(4)), with the number of shares issuable upon settlement determined in accordance with the terms of the applicable award agreement, and be treated as outstanding shares of Company Common Stock for all purposes of this Agreement, including the right to receive the Common Stock Merger Consideration pursuant to </w:t>
      </w:r>
      <w:r>
        <w:rPr>
          <w:rFonts w:ascii="Times New Roman" w:hAnsi="Times New Roman"/>
          <w:b w:val="false"/>
          <w:color w:val="000000"/>
          <w:sz w:val="20"/>
          <w:u w:val="single"/>
        </w:rPr>
        <w:t>Section 3.1(b)</w:t>
      </w:r>
      <w:r>
        <w:rPr>
          <w:rFonts w:ascii="Times New Roman" w:hAnsi="Times New Roman"/>
          <w:b w:val="false"/>
          <w:color w:val="000000"/>
          <w:sz w:val="20"/>
        </w:rPr>
        <w:t>. For purposes of the foregoing, the Company RSU Awards will be net settled in respect of applicable withholding Taxes, if any (discussed in (iv) below). For the avoidance of doubt, any amounts relating to dividend equivalent rights, if any, granted with respect to such Company RSU Award that are accrued but unpaid as of the settlement of such Company RSU Award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Immediately prior to the Company Merger Effective Time, without any action on the part of the holder thereof, each Company PSU Award that is outstanding immediately prior to the Company Merger Effective Time shall automatically vest (to the extent not yet vested) assuming maximum performance for the performance goals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PSU Award within the meaning of Treasury Regulation Section 1.409A-1(b)(4)), with the number of shares issuable upon settlement determined in accordance with the terms of the applicable award agreement (assuming maximum performance for the performance goals), and be treated as outstanding shares of Company Common Stock for all purposes of this Agreement, including the right to receive the Common Stock Merger Consideration pursuant to </w:t>
      </w:r>
      <w:r>
        <w:rPr>
          <w:rFonts w:ascii="Times New Roman" w:hAnsi="Times New Roman"/>
          <w:b w:val="false"/>
          <w:color w:val="000000"/>
          <w:sz w:val="20"/>
          <w:u w:val="single"/>
        </w:rPr>
        <w:t>Section 3.1(b)</w:t>
      </w:r>
      <w:r>
        <w:rPr>
          <w:rFonts w:ascii="Times New Roman" w:hAnsi="Times New Roman"/>
          <w:b w:val="false"/>
          <w:color w:val="000000"/>
          <w:sz w:val="20"/>
        </w:rPr>
        <w:t>. For purposes of the foregoing, the Company PSU Awards will be net settled in respect of applicable withholding Taxes, if any (discussed in (iv) below). For the avoidance of doubt, any amounts relating to dividend equivalent rights, if any, granted with respect to such Company PSU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(iii)      Immediately prior to the Company Merger Effective Time, each Company Restricted Stock Award that is outstanding immediately prior to the Company Merger Effective Time shall fully vest and all restrictions thereupon shall lapse effective as of immediately prior to the Company Merger Effective Time. For purposes of the foregoing, each Company Restricted Stock Award will be net settled in respect of applicable withholding Taxes, if any (discussed in (iv) below). Following net settlement, the remaining Company Common Stock under a Company Restricted Stock Award shall receive the Common Stock Merger Consideration pursuant to </w:t>
      </w:r>
      <w:r>
        <w:rPr>
          <w:rFonts w:ascii="Times New Roman" w:hAnsi="Times New Roman"/>
          <w:b w:val="false"/>
          <w:color w:val="000000"/>
          <w:sz w:val="20"/>
          <w:u w:val="single"/>
        </w:rPr>
        <w:t>Section 3.1(b)</w:t>
      </w:r>
      <w:r>
        <w:rPr>
          <w:rFonts w:ascii="Times New Roman" w:hAnsi="Times New Roman"/>
          <w:b w:val="false"/>
          <w:color w:val="000000"/>
          <w:sz w:val="20"/>
        </w:rPr>
        <w:t>. For the avoidance of doubt, any amounts relating to dividend equivalent rights, if any, granted with respect to such Company Restricted Stock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(iv)        The Company shall, and shall cause each applicable Subsidiary of the Company to, process, pay, and distribute all amounts and shares payable in respect of the Company RSU Awards, Company PSU Awards, Company Restricted Stock Awards and Company LTIP Units that are subject to withholding, dividend equivalent rights, if any, granted with respect to such Company Equity Awards that are accrued but unpaid as of the Company Merger Effective Time, as compensation to the holders thereof through the payroll system of the Company or its applicable Subsidiary maintained with the Company as of date of the Agreement, or such other payroll provider then used in the ordinary course of business (the “</w:t>
      </w:r>
      <w:r>
        <w:rPr>
          <w:rFonts w:ascii="Times New Roman" w:hAnsi="Times New Roman"/>
          <w:b w:val="false"/>
          <w:color w:val="000000"/>
          <w:sz w:val="20"/>
          <w:u w:val="single"/>
        </w:rPr>
        <w:t>Payroll Provider</w:t>
      </w:r>
      <w:r>
        <w:rPr>
          <w:rFonts w:ascii="Times New Roman" w:hAnsi="Times New Roman"/>
          <w:b w:val="false"/>
          <w:color w:val="000000"/>
          <w:sz w:val="20"/>
        </w:rPr>
        <w:t>”), and shall make and maintain all arrangements with the Payroll Provider necessary to deduct, withhold, remit and report all federal, state, local and foreign Taxes required to be withheld with respect thereto. For the avoidance of doubt, any withholding Tax required with respect to such settlement shall be accomplished by net settlement — that is, by the Company or the applicable Subsidiary of the Company reducing the number of shares of Company Common Stock otherwise deliverable to such holder by a number of shares of Company Common Stock with a fair market value on the settlement date equal to the required withholding (rounded up to the nearest whole share) — and the Company shall cause the corresponding cash amount to be funded and remitted, through the Payroll Provider, to the appropriate Governmental Authority. All amounts so deducted and withheld shall be treated for all purposes of this Agreement as having been paid to the holder in respect of whom the deduction and withholding was made.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(v)         Prior to the Company Merger Effective Time, the Company Board or the appropriate committee thereof shall take all actions necessary to approve and effectuate the provisions of this </w:t>
      </w:r>
      <w:r>
        <w:rPr>
          <w:rFonts w:ascii="Times New Roman" w:hAnsi="Times New Roman"/>
          <w:b w:val="false"/>
          <w:color w:val="000000"/>
          <w:sz w:val="20"/>
          <w:u w:val="single"/>
        </w:rPr>
        <w:t>Section 3.1(c)</w:t>
      </w:r>
      <w:r>
        <w:rPr>
          <w:rFonts w:ascii="Times New Roman" w:hAnsi="Times New Roman"/>
          <w:b w:val="false"/>
          <w:color w:val="000000"/>
          <w:sz w:val="20"/>
        </w:rPr>
        <w:t xml:space="preserve">, including adopting any necessary resolutions and delivering appropriate notices. The Company shall give Parent a reasonable opportunity to review and comment on such resolutions and notices and shall consider Parent’s comments in good faith; provided, that any resolution or notice relating to Section 409A of the Code or to Tax withholding shall be subject to Parent’s prior written consent (not to be unreasonably withheld, conditioned or delayed). In no event shall the Closing be delayed as a result of this </w:t>
      </w:r>
      <w:r>
        <w:rPr>
          <w:rFonts w:ascii="Times New Roman" w:hAnsi="Times New Roman"/>
          <w:b w:val="false"/>
          <w:color w:val="000000"/>
          <w:sz w:val="20"/>
          <w:u w:val="single"/>
        </w:rPr>
        <w:t>Section 3.1(c)(v)</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(vi)        Notwithstanding anything in this Agreement to the contrary, the treatment of the Company RSU Awards and Company PSU Awards pursuant to this </w:t>
      </w:r>
      <w:r>
        <w:rPr>
          <w:rFonts w:ascii="Times New Roman" w:hAnsi="Times New Roman"/>
          <w:b w:val="false"/>
          <w:color w:val="000000"/>
          <w:sz w:val="20"/>
          <w:u w:val="single"/>
        </w:rPr>
        <w:t>Section 3.1(c)</w:t>
      </w:r>
      <w:r>
        <w:rPr>
          <w:rFonts w:ascii="Times New Roman" w:hAnsi="Times New Roman"/>
          <w:b w:val="false"/>
          <w:color w:val="000000"/>
          <w:sz w:val="20"/>
        </w:rPr>
        <w:t xml:space="preserve"> shall be effected in a manner intended to comply with Section 409A of the Code or an applicable exemption therefrom, and this Agreement shall be construed and administered consistent with such intent. To the extent applicable, the assumption, conversion, substitution or adjustment of any Company Equity Award intended to qualify as an incentive stock option shall be effected in a manner intended to satisfy Section 424(a) of the Code.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w:t>
      </w:r>
      <w:r>
        <w:rPr>
          <w:rFonts w:ascii="Times New Roman" w:hAnsi="Times New Roman"/>
          <w:b w:val="false"/>
          <w:color w:val="000000"/>
          <w:sz w:val="20"/>
          <w:u w:val="single"/>
        </w:rPr>
        <w:t>Adjustments</w:t>
      </w:r>
      <w:r>
        <w:rPr>
          <w:rFonts w:ascii="Times New Roman" w:hAnsi="Times New Roman"/>
          <w:b w:val="false"/>
          <w:color w:val="000000"/>
          <w:sz w:val="20"/>
        </w:rPr>
        <w:t xml:space="preserve">. If, between the date of this Agreement and the Company Merger Effective Time, the outstanding shares of Company Common Stock, Company Preferred Stock or Parent Common Stock or any outstanding Company Partnership Units are changed into a different number or class or series of shares or units by reason of any stock split, division or subdivision of shares, stock dividend, reverse stock split, consolidation of shares, reclassification, recapitalization or other similar transaction, then the applicable Merger Consideration shall be appropriately and equitably adjusted, without duplication;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nothing in this </w:t>
      </w:r>
      <w:r>
        <w:rPr>
          <w:rFonts w:ascii="Times New Roman" w:hAnsi="Times New Roman"/>
          <w:b w:val="false"/>
          <w:color w:val="000000"/>
          <w:sz w:val="20"/>
          <w:u w:val="single"/>
        </w:rPr>
        <w:t>Section 3.1(d)</w:t>
      </w:r>
      <w:r>
        <w:rPr>
          <w:rFonts w:ascii="Times New Roman" w:hAnsi="Times New Roman"/>
          <w:b w:val="false"/>
          <w:color w:val="000000"/>
          <w:sz w:val="20"/>
        </w:rPr>
        <w:t xml:space="preserve"> shall be construed to permit the Company or any of its Subsidiaries, Parent or any other Person to take any action that is otherwise prohibited by the terms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3.2.        </w:t>
      </w:r>
      <w:r>
        <w:rPr>
          <w:rFonts w:ascii="Times New Roman" w:hAnsi="Times New Roman"/>
          <w:b w:val="false"/>
          <w:color w:val="000000"/>
          <w:sz w:val="20"/>
          <w:u w:val="single"/>
        </w:rPr>
        <w:t>Treatment of Company Partnership Units</w:t>
      </w:r>
      <w:r>
        <w:rPr>
          <w:rFonts w:ascii="Times New Roman" w:hAnsi="Times New Roman"/>
          <w:b w:val="false"/>
          <w:color w:val="000000"/>
          <w:sz w:val="20"/>
        </w:rPr>
        <w:t>. At the Partnership Merger Effective Time, by virtue of the Partnership Merger and without any action on the part of any party hereto or holder of any Company Partnership Units or any other securities of the Company Operating Partnership: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Each share of Company Common Stock and Company Preferred Stock and each Company RSU Award, Company PSU Award and Company Restricted Stock Award issued and outstanding immediately prior to the Partnership Merger Effective Time shall remain issued and outstanding following the Partnership Merger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Each Company Common Unit issued and outstanding as of immediately prior to the Partnership Merger Effective Time (excluding the Canceled Units) shall automatically be converted into Company Common Stock. All such Company Common Units, when so converted pursuant to this </w:t>
      </w:r>
      <w:r>
        <w:rPr>
          <w:rFonts w:ascii="Times New Roman" w:hAnsi="Times New Roman"/>
          <w:b w:val="false"/>
          <w:color w:val="000000"/>
          <w:sz w:val="20"/>
          <w:u w:val="single"/>
        </w:rPr>
        <w:t>Section 3.2(a)</w:t>
      </w:r>
      <w:r>
        <w:rPr>
          <w:rFonts w:ascii="Times New Roman" w:hAnsi="Times New Roman"/>
          <w:b w:val="false"/>
          <w:color w:val="000000"/>
          <w:sz w:val="20"/>
        </w:rPr>
        <w:t>, shall automatically be cancelled and cease to exist. Each holder of a Company Common Unit that was outstanding immediately prior to the Partnership Merger Effective Time shall cease to have any rights with respect thereto, except the right to receive (A) Company Common Stock, (B) any dividends or other distributions in accordance with the</w:t>
      </w:r>
      <w:r>
        <w:rPr>
          <w:rFonts w:ascii="Times New Roman" w:hAnsi="Times New Roman"/>
          <w:b w:val="false"/>
          <w:color w:val="000000"/>
          <w:sz w:val="20"/>
          <w:u w:val="single"/>
        </w:rPr>
        <w:t> </w:t>
      </w:r>
      <w:r>
        <w:rPr>
          <w:rFonts w:ascii="Times New Roman" w:hAnsi="Times New Roman"/>
          <w:b w:val="false"/>
          <w:color w:val="000000"/>
          <w:sz w:val="20"/>
        </w:rPr>
        <w:t xml:space="preserve">Company Operating Partnership Agreement and (C) any cash to be paid in lieu of any fractional shares of Company Common Stock in accordance with the Company Operating Partnership Agreement, in each case, to be issued or paid in consideration therefor upon the surrender of any Book-Entry Shares, as applicable, in accordance with </w:t>
      </w:r>
      <w:r>
        <w:rPr>
          <w:rFonts w:ascii="Times New Roman" w:hAnsi="Times New Roman"/>
          <w:b w:val="false"/>
          <w:color w:val="000000"/>
          <w:sz w:val="20"/>
          <w:u w:val="single"/>
        </w:rPr>
        <w:t>Section 3.4</w:t>
      </w:r>
      <w:r>
        <w:rPr>
          <w:rFonts w:ascii="Times New Roman" w:hAnsi="Times New Roman"/>
          <w:b w:val="false"/>
          <w:color w:val="000000"/>
          <w:sz w:val="20"/>
        </w:rPr>
        <w:t xml:space="preserve">. Such shares of Company Common Stock shall have the right to receive the Common Stock Merger Consideration pursuant to </w:t>
      </w:r>
      <w:r>
        <w:rPr>
          <w:rFonts w:ascii="Times New Roman" w:hAnsi="Times New Roman"/>
          <w:b w:val="false"/>
          <w:color w:val="000000"/>
          <w:sz w:val="20"/>
          <w:u w:val="single"/>
        </w:rPr>
        <w:t>Section 3.1(b)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All Company Partnership Units held by the Company, Parent or any direct or indirect Subsidiary of the Company or Parent, in each case, immediately prior to the Partnership Merger Effective Time (the “</w:t>
      </w:r>
      <w:r>
        <w:rPr>
          <w:rFonts w:ascii="Times New Roman" w:hAnsi="Times New Roman"/>
          <w:b w:val="false"/>
          <w:color w:val="000000"/>
          <w:sz w:val="20"/>
          <w:u w:val="single"/>
        </w:rPr>
        <w:t>Canceled Units</w:t>
      </w:r>
      <w:r>
        <w:rPr>
          <w:rFonts w:ascii="Times New Roman" w:hAnsi="Times New Roman"/>
          <w:b w:val="false"/>
          <w:color w:val="000000"/>
          <w:sz w:val="20"/>
        </w:rPr>
        <w:t>”), shall automatically be cancelled and shall cease to exist as of the Partnership Merger Effective Time, and no consideration shall be delivered or deliverable in exchange therefor.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The general partnership interest in the Company Operating Partnership held by the Company immediately prior to the Partnership Merger Effective Time shall automatically be cancelled and shall cease to exist as of the Partnership Merger Effective Time, and no consideration shall be delivered or deliverable in exchange therefor.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Prior to the Partnership Merger Effective Time, the Company, as the sole general partner of the Company Operating Partnership, shall take all such actions as are necessary to approve and effectuate as of immediately prior to the Partnership Merger Effective Time the conversion of all Company LTIP Units issued and outstanding as of immediately prior to the Partnership Merger Effective Time into Company Common Stock, including making any determinations and adopting any resolutions as may be necessary and delivering appropriate notices.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3.3.         </w:t>
      </w:r>
      <w:r>
        <w:rPr>
          <w:rFonts w:ascii="Times New Roman" w:hAnsi="Times New Roman"/>
          <w:b w:val="false"/>
          <w:color w:val="000000"/>
          <w:sz w:val="20"/>
          <w:u w:val="single"/>
        </w:rPr>
        <w:t>Dissenters’ Rights</w:t>
      </w:r>
      <w:r>
        <w:rPr>
          <w:rFonts w:ascii="Times New Roman" w:hAnsi="Times New Roman"/>
          <w:b w:val="false"/>
          <w:color w:val="000000"/>
          <w:sz w:val="20"/>
        </w:rPr>
        <w:t>. No dissenters’ or appraisal rights shall be available with respect to the Mergers or the other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3.4.         </w:t>
      </w:r>
      <w:r>
        <w:rPr>
          <w:rFonts w:ascii="Times New Roman" w:hAnsi="Times New Roman"/>
          <w:b w:val="false"/>
          <w:color w:val="000000"/>
          <w:sz w:val="20"/>
          <w:u w:val="single"/>
        </w:rPr>
        <w:t>Exchange of Company Common Stock and Company Preferred Stock</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w:t>
      </w:r>
      <w:r>
        <w:rPr>
          <w:rFonts w:ascii="Times New Roman" w:hAnsi="Times New Roman"/>
          <w:b w:val="false"/>
          <w:color w:val="000000"/>
          <w:sz w:val="20"/>
          <w:u w:val="single"/>
        </w:rPr>
        <w:t>Exchange Agent</w:t>
      </w:r>
      <w:r>
        <w:rPr>
          <w:rFonts w:ascii="Times New Roman" w:hAnsi="Times New Roman"/>
          <w:b w:val="false"/>
          <w:color w:val="000000"/>
          <w:sz w:val="20"/>
        </w:rPr>
        <w:t>. At or prior to the Partnership Merger Effective Time, Parent and Parent Manager shall designate Parent’s or the Company’s transfer agent (the “</w:t>
      </w:r>
      <w:r>
        <w:rPr>
          <w:rFonts w:ascii="Times New Roman" w:hAnsi="Times New Roman"/>
          <w:b w:val="false"/>
          <w:color w:val="000000"/>
          <w:sz w:val="20"/>
          <w:u w:val="single"/>
        </w:rPr>
        <w:t>Exchange Agent</w:t>
      </w:r>
      <w:r>
        <w:rPr>
          <w:rFonts w:ascii="Times New Roman" w:hAnsi="Times New Roman"/>
          <w:b w:val="false"/>
          <w:color w:val="000000"/>
          <w:sz w:val="20"/>
        </w:rPr>
        <w:t xml:space="preserve">”) to act as agent for the holders of shares of Company Common Stock and Company Preferred Stock to receive the Merger Consideration, including the Per Share Additional Manager Consideration, and cash sufficient to pay cash in lieu of fractional shares pursuant to </w:t>
      </w:r>
      <w:r>
        <w:rPr>
          <w:rFonts w:ascii="Times New Roman" w:hAnsi="Times New Roman"/>
          <w:b w:val="false"/>
          <w:color w:val="000000"/>
          <w:sz w:val="20"/>
          <w:u w:val="single"/>
        </w:rPr>
        <w:t>Section 3.4(h)</w:t>
      </w:r>
      <w:r>
        <w:rPr>
          <w:rFonts w:ascii="Times New Roman" w:hAnsi="Times New Roman"/>
          <w:b w:val="false"/>
          <w:color w:val="000000"/>
          <w:sz w:val="20"/>
        </w:rPr>
        <w:t xml:space="preserve"> and any dividends or other distributions pursuant to </w:t>
      </w:r>
      <w:r>
        <w:rPr>
          <w:rFonts w:ascii="Times New Roman" w:hAnsi="Times New Roman"/>
          <w:b w:val="false"/>
          <w:color w:val="000000"/>
          <w:sz w:val="20"/>
          <w:u w:val="single"/>
        </w:rPr>
        <w:t>Section 3.4(g)</w:t>
      </w:r>
      <w:r>
        <w:rPr>
          <w:rFonts w:ascii="Times New Roman" w:hAnsi="Times New Roman"/>
          <w:b w:val="false"/>
          <w:color w:val="000000"/>
          <w:sz w:val="20"/>
        </w:rPr>
        <w:t xml:space="preserve">, to which such holders shall become entitled pursuant to this </w:t>
      </w:r>
      <w:r>
        <w:rPr>
          <w:rFonts w:ascii="Times New Roman" w:hAnsi="Times New Roman"/>
          <w:b w:val="false"/>
          <w:color w:val="000000"/>
          <w:sz w:val="20"/>
          <w:u w:val="single"/>
        </w:rPr>
        <w:t>Article III</w:t>
      </w:r>
      <w:r>
        <w:rPr>
          <w:rFonts w:ascii="Times New Roman" w:hAnsi="Times New Roman"/>
          <w:b w:val="false"/>
          <w:color w:val="000000"/>
          <w:sz w:val="20"/>
        </w:rPr>
        <w:t xml:space="preserve"> and shall enter into an exchange and paying agent agreement reasonably acceptable to the Company, Parent and Parent Manager relating to the Exchange Agent’s responsibilities under this Agreement. At or prior to the Partnership Merger Effective Time, (1) Parent shall deposit, or cause to be deposited, with the Exchange Agent, in trust for the benefit of the holders of Company Common Stock and the holders of Company Preferred Stock, as applicable, for issuance in accordance with this </w:t>
      </w:r>
      <w:r>
        <w:rPr>
          <w:rFonts w:ascii="Times New Roman" w:hAnsi="Times New Roman"/>
          <w:b w:val="false"/>
          <w:color w:val="000000"/>
          <w:sz w:val="20"/>
          <w:u w:val="single"/>
        </w:rPr>
        <w:t>Article III</w:t>
      </w:r>
      <w:r>
        <w:rPr>
          <w:rFonts w:ascii="Times New Roman" w:hAnsi="Times New Roman"/>
          <w:b w:val="false"/>
          <w:color w:val="000000"/>
          <w:sz w:val="20"/>
        </w:rPr>
        <w:t xml:space="preserve"> through the Exchange Agent, (A) the number of shares of Parent Common Stock issuable to the holders of Company Common Stock outstanding immediately prior to the Company Merger Effective Time pursuant to </w:t>
      </w:r>
      <w:r>
        <w:rPr>
          <w:rFonts w:ascii="Times New Roman" w:hAnsi="Times New Roman"/>
          <w:b w:val="false"/>
          <w:color w:val="000000"/>
          <w:sz w:val="20"/>
          <w:u w:val="single"/>
        </w:rPr>
        <w:t>Section 3.1</w:t>
      </w:r>
      <w:r>
        <w:rPr>
          <w:rFonts w:ascii="Times New Roman" w:hAnsi="Times New Roman"/>
          <w:b w:val="false"/>
          <w:color w:val="000000"/>
          <w:sz w:val="20"/>
        </w:rPr>
        <w:t xml:space="preserve">, (B) cash sufficient to pay the aggregate Per Share Parent Cash Consideration, (C) cash sufficient to make payments in lieu of fractional shares in accordance with </w:t>
      </w:r>
      <w:r>
        <w:rPr>
          <w:rFonts w:ascii="Times New Roman" w:hAnsi="Times New Roman"/>
          <w:b w:val="false"/>
          <w:color w:val="000000"/>
          <w:sz w:val="20"/>
          <w:u w:val="single"/>
        </w:rPr>
        <w:t>Section 3.4(h)</w:t>
      </w:r>
      <w:r>
        <w:rPr>
          <w:rFonts w:ascii="Times New Roman" w:hAnsi="Times New Roman"/>
          <w:b w:val="false"/>
          <w:color w:val="000000"/>
          <w:sz w:val="20"/>
        </w:rPr>
        <w:t xml:space="preserve">, (D) the number of shares of Parent Series D Cumulative Redeemable Preferred Stock issuable to the holders of Company Series A Preferred Stock outstanding immediately prior to the Company Merger Effective Time pursuant to </w:t>
      </w:r>
      <w:r>
        <w:rPr>
          <w:rFonts w:ascii="Times New Roman" w:hAnsi="Times New Roman"/>
          <w:b w:val="false"/>
          <w:color w:val="000000"/>
          <w:sz w:val="20"/>
          <w:u w:val="single"/>
        </w:rPr>
        <w:t>Section 3.1</w:t>
      </w:r>
      <w:r>
        <w:rPr>
          <w:rFonts w:ascii="Times New Roman" w:hAnsi="Times New Roman"/>
          <w:b w:val="false"/>
          <w:color w:val="000000"/>
          <w:sz w:val="20"/>
        </w:rPr>
        <w:t xml:space="preserve"> and (E) the number of shares of Parent Series E Cumulative Redeemable Preferred Stock issuable to the holders of Company Series B Preferred Stock outstanding immediately prior to the Company Merger Effective Time pursuant to </w:t>
      </w:r>
      <w:r>
        <w:rPr>
          <w:rFonts w:ascii="Times New Roman" w:hAnsi="Times New Roman"/>
          <w:b w:val="false"/>
          <w:color w:val="000000"/>
          <w:sz w:val="20"/>
          <w:u w:val="single"/>
        </w:rPr>
        <w:t>Section 3.1</w:t>
      </w:r>
      <w:r>
        <w:rPr>
          <w:rFonts w:ascii="Times New Roman" w:hAnsi="Times New Roman"/>
          <w:b w:val="false"/>
          <w:color w:val="000000"/>
          <w:sz w:val="20"/>
        </w:rPr>
        <w:t xml:space="preserve"> and (2) Parent Manager (acting solely on its own behalf) shall deposit, or cause to be deposited, with the Exchange Agent, in trust for the benefit of the holders of Company Common Stock, for issuance in accordance with this </w:t>
      </w:r>
      <w:r>
        <w:rPr>
          <w:rFonts w:ascii="Times New Roman" w:hAnsi="Times New Roman"/>
          <w:b w:val="false"/>
          <w:color w:val="000000"/>
          <w:sz w:val="20"/>
          <w:u w:val="single"/>
        </w:rPr>
        <w:t>Article III</w:t>
      </w:r>
      <w:r>
        <w:rPr>
          <w:rFonts w:ascii="Times New Roman" w:hAnsi="Times New Roman"/>
          <w:b w:val="false"/>
          <w:color w:val="000000"/>
          <w:sz w:val="20"/>
        </w:rPr>
        <w:t xml:space="preserve"> through the Exchange Agent, cash sufficient to pay the aggregate Per Share Additional Manager Consideration. Notwithstanding anything contained in this Agreement to the contrary, to the extent after the Closing Date that Parent Manager has not deposited, or cause to be deposited, cash sufficient to pay the aggregate Per Share Additional Manager Consideration, Parent shall deposit, or cause to be deposited, with the Exchange Agent, in trust for the benefit of the holders of Company Common Stock, for issuance in accordance with this </w:t>
      </w:r>
      <w:r>
        <w:rPr>
          <w:rFonts w:ascii="Times New Roman" w:hAnsi="Times New Roman"/>
          <w:b w:val="false"/>
          <w:color w:val="000000"/>
          <w:sz w:val="20"/>
          <w:u w:val="single"/>
        </w:rPr>
        <w:t>Article III</w:t>
      </w:r>
      <w:r>
        <w:rPr>
          <w:rFonts w:ascii="Times New Roman" w:hAnsi="Times New Roman"/>
          <w:b w:val="false"/>
          <w:color w:val="000000"/>
          <w:sz w:val="20"/>
        </w:rPr>
        <w:t xml:space="preserve"> through the Exchange Agent an amount in cash equal to the difference between (x) the amount of cash sufficient to pay the aggregate Per Share Additional Manager Consideration minus (y) the aggregate amount deposited by Parent Manager pursuant to the immediately foregoing </w:t>
      </w:r>
      <w:r>
        <w:rPr>
          <w:rFonts w:ascii="Times New Roman" w:hAnsi="Times New Roman"/>
          <w:b w:val="false"/>
          <w:color w:val="000000"/>
          <w:sz w:val="20"/>
          <w:u w:val="single"/>
        </w:rPr>
        <w:t>clause (2)</w:t>
      </w:r>
      <w:r>
        <w:rPr>
          <w:rFonts w:ascii="Times New Roman" w:hAnsi="Times New Roman"/>
          <w:b w:val="false"/>
          <w:color w:val="000000"/>
          <w:sz w:val="20"/>
        </w:rPr>
        <w:t xml:space="preserve">. Parent agrees to deposit with the Exchange Agent, from time to time as needed, cash sufficient to pay any dividends and other distributions pursuant to </w:t>
      </w:r>
      <w:r>
        <w:rPr>
          <w:rFonts w:ascii="Times New Roman" w:hAnsi="Times New Roman"/>
          <w:b w:val="false"/>
          <w:color w:val="000000"/>
          <w:sz w:val="20"/>
          <w:u w:val="single"/>
        </w:rPr>
        <w:t>Section 3.4(g)</w:t>
      </w:r>
      <w:r>
        <w:rPr>
          <w:rFonts w:ascii="Times New Roman" w:hAnsi="Times New Roman"/>
          <w:b w:val="false"/>
          <w:color w:val="000000"/>
          <w:sz w:val="20"/>
        </w:rPr>
        <w:t xml:space="preserve"> and to make any cash payments in lieu of fractional shares pursuant to </w:t>
      </w:r>
      <w:r>
        <w:rPr>
          <w:rFonts w:ascii="Times New Roman" w:hAnsi="Times New Roman"/>
          <w:b w:val="false"/>
          <w:color w:val="000000"/>
          <w:sz w:val="20"/>
          <w:u w:val="single"/>
        </w:rPr>
        <w:t>Section 3.4(h)</w:t>
      </w:r>
      <w:r>
        <w:rPr>
          <w:rFonts w:ascii="Times New Roman" w:hAnsi="Times New Roman"/>
          <w:b w:val="false"/>
          <w:color w:val="000000"/>
          <w:sz w:val="20"/>
        </w:rPr>
        <w:t xml:space="preserve">. The Exchange Agent shall, pursuant to irrevocable instructions, deliver the Merger Consideration contemplated to be issued in exchange for shares of Company Common Stock and Company Preferred Stock, as applicable, pursuant to this Agreement out of the Exchange Fund. Except as contemplated by this </w:t>
      </w:r>
      <w:r>
        <w:rPr>
          <w:rFonts w:ascii="Times New Roman" w:hAnsi="Times New Roman"/>
          <w:b w:val="false"/>
          <w:color w:val="000000"/>
          <w:sz w:val="20"/>
          <w:u w:val="single"/>
        </w:rPr>
        <w:t>Section 3.4(a)</w:t>
      </w:r>
      <w:r>
        <w:rPr>
          <w:rFonts w:ascii="Times New Roman" w:hAnsi="Times New Roman"/>
          <w:b w:val="false"/>
          <w:color w:val="000000"/>
          <w:sz w:val="20"/>
        </w:rPr>
        <w:t xml:space="preserve">, </w:t>
      </w:r>
      <w:r>
        <w:rPr>
          <w:rFonts w:ascii="Times New Roman" w:hAnsi="Times New Roman"/>
          <w:b w:val="false"/>
          <w:color w:val="000000"/>
          <w:sz w:val="20"/>
          <w:u w:val="single"/>
        </w:rPr>
        <w:t>Section 3.4(g)</w:t>
      </w:r>
      <w:r>
        <w:rPr>
          <w:rFonts w:ascii="Times New Roman" w:hAnsi="Times New Roman"/>
          <w:b w:val="false"/>
          <w:color w:val="000000"/>
          <w:sz w:val="20"/>
        </w:rPr>
        <w:t xml:space="preserve"> and </w:t>
      </w:r>
      <w:r>
        <w:rPr>
          <w:rFonts w:ascii="Times New Roman" w:hAnsi="Times New Roman"/>
          <w:b w:val="false"/>
          <w:color w:val="000000"/>
          <w:sz w:val="20"/>
          <w:u w:val="single"/>
        </w:rPr>
        <w:t>Section 3.4(h)</w:t>
      </w:r>
      <w:r>
        <w:rPr>
          <w:rFonts w:ascii="Times New Roman" w:hAnsi="Times New Roman"/>
          <w:b w:val="false"/>
          <w:color w:val="000000"/>
          <w:sz w:val="20"/>
        </w:rPr>
        <w:t xml:space="preserve">, the Exchange Fund shall not be used for any other purpose, subject to </w:t>
      </w:r>
      <w:r>
        <w:rPr>
          <w:rFonts w:ascii="Times New Roman" w:hAnsi="Times New Roman"/>
          <w:b w:val="false"/>
          <w:color w:val="000000"/>
          <w:sz w:val="20"/>
          <w:u w:val="single"/>
        </w:rPr>
        <w:t>Section 3.4(f)</w:t>
      </w:r>
      <w:r>
        <w:rPr>
          <w:rFonts w:ascii="Times New Roman" w:hAnsi="Times New Roman"/>
          <w:b w:val="false"/>
          <w:color w:val="000000"/>
          <w:sz w:val="20"/>
        </w:rPr>
        <w:t xml:space="preserve">. Any cash, shares of Parent Common Stock and shares of Parent Preferred Stock deposited with the Exchange Agent (including as payment for fractional shares in accordance with </w:t>
      </w:r>
      <w:r>
        <w:rPr>
          <w:rFonts w:ascii="Times New Roman" w:hAnsi="Times New Roman"/>
          <w:b w:val="false"/>
          <w:color w:val="000000"/>
          <w:sz w:val="20"/>
          <w:u w:val="single"/>
        </w:rPr>
        <w:t>Section 3.4(h)</w:t>
      </w:r>
      <w:r>
        <w:rPr>
          <w:rFonts w:ascii="Times New Roman" w:hAnsi="Times New Roman"/>
          <w:b w:val="false"/>
          <w:color w:val="000000"/>
          <w:sz w:val="20"/>
        </w:rPr>
        <w:t xml:space="preserve"> and any dividends or other distributions in accordance with </w:t>
      </w:r>
      <w:r>
        <w:rPr>
          <w:rFonts w:ascii="Times New Roman" w:hAnsi="Times New Roman"/>
          <w:b w:val="false"/>
          <w:color w:val="000000"/>
          <w:sz w:val="20"/>
          <w:u w:val="single"/>
        </w:rPr>
        <w:t>Section 3.4(g)</w:t>
      </w:r>
      <w:r>
        <w:rPr>
          <w:rFonts w:ascii="Times New Roman" w:hAnsi="Times New Roman"/>
          <w:b w:val="false"/>
          <w:color w:val="000000"/>
          <w:sz w:val="20"/>
        </w:rPr>
        <w:t>) shall hereinafter be referred to as the “</w:t>
      </w:r>
      <w:r>
        <w:rPr>
          <w:rFonts w:ascii="Times New Roman" w:hAnsi="Times New Roman"/>
          <w:b w:val="false"/>
          <w:color w:val="000000"/>
          <w:sz w:val="20"/>
          <w:u w:val="single"/>
        </w:rPr>
        <w:t>Exchange Fund</w:t>
      </w:r>
      <w:r>
        <w:rPr>
          <w:rFonts w:ascii="Times New Roman" w:hAnsi="Times New Roman"/>
          <w:b w:val="false"/>
          <w:color w:val="000000"/>
          <w:sz w:val="20"/>
        </w:rPr>
        <w:t>.” The Surviving Entity shall pay all charges and expenses, including those of the Exchange Agent, in connection with the exchange of shares of Company Common Stock and Company Preferred Stock for the Merger Consideration and cash in lieu of fractional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w:t>
      </w:r>
      <w:r>
        <w:rPr>
          <w:rFonts w:ascii="Times New Roman" w:hAnsi="Times New Roman"/>
          <w:b w:val="false"/>
          <w:color w:val="000000"/>
          <w:sz w:val="20"/>
          <w:u w:val="single"/>
        </w:rPr>
        <w:t>Exchange Procedures</w:t>
      </w:r>
      <w:r>
        <w:rPr>
          <w:rFonts w:ascii="Times New Roman" w:hAnsi="Times New Roman"/>
          <w:b w:val="false"/>
          <w:color w:val="000000"/>
          <w:sz w:val="20"/>
        </w:rPr>
        <w:t xml:space="preserve">. As soon as reasonably practicable after the Company Merger Effective Time, and in no event later than two Business Days thereafter, the Surviving Entity shall, and Parent shall cause the Surviving Entity to, cause the Exchange Agent to mail to each holder of record of Book-Entry Shares whose shares of Company Common Stock and Company Preferred Stock were converted into the right to receive the consideration payable pursuant to </w:t>
      </w:r>
      <w:r>
        <w:rPr>
          <w:rFonts w:ascii="Times New Roman" w:hAnsi="Times New Roman"/>
          <w:b w:val="false"/>
          <w:color w:val="000000"/>
          <w:sz w:val="20"/>
          <w:u w:val="single"/>
        </w:rPr>
        <w:t>Section 3.1(b)</w:t>
      </w:r>
      <w:r>
        <w:rPr>
          <w:rFonts w:ascii="Times New Roman" w:hAnsi="Times New Roman"/>
          <w:b w:val="false"/>
          <w:color w:val="000000"/>
          <w:sz w:val="20"/>
        </w:rPr>
        <w:t xml:space="preserve"> instructions for use in effecting the surrender of such Book-Entry Shares in exchange for the Merger Consideration set forth in </w:t>
      </w:r>
      <w:r>
        <w:rPr>
          <w:rFonts w:ascii="Times New Roman" w:hAnsi="Times New Roman"/>
          <w:b w:val="false"/>
          <w:color w:val="000000"/>
          <w:sz w:val="20"/>
          <w:u w:val="single"/>
        </w:rPr>
        <w:t>Section 3.1(b)</w:t>
      </w:r>
      <w:r>
        <w:rPr>
          <w:rFonts w:ascii="Times New Roman" w:hAnsi="Times New Roman"/>
          <w:b w:val="false"/>
          <w:color w:val="000000"/>
          <w:sz w:val="20"/>
        </w:rPr>
        <w:t xml:space="preserve"> and </w:t>
      </w:r>
      <w:r>
        <w:rPr>
          <w:rFonts w:ascii="Times New Roman" w:hAnsi="Times New Roman"/>
          <w:b w:val="false"/>
          <w:color w:val="000000"/>
          <w:sz w:val="20"/>
          <w:u w:val="single"/>
        </w:rPr>
        <w:t>Section 3.2(b)</w:t>
      </w:r>
      <w:r>
        <w:rPr>
          <w:rFonts w:ascii="Times New Roman" w:hAnsi="Times New Roman"/>
          <w:b w:val="false"/>
          <w:color w:val="000000"/>
          <w:sz w:val="20"/>
        </w:rPr>
        <w:t xml:space="preserve">. 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the amount of (i) Merger Consideration to which such holder is entitled pursuant to </w:t>
      </w:r>
      <w:r>
        <w:rPr>
          <w:rFonts w:ascii="Times New Roman" w:hAnsi="Times New Roman"/>
          <w:b w:val="false"/>
          <w:color w:val="000000"/>
          <w:sz w:val="20"/>
          <w:u w:val="single"/>
        </w:rPr>
        <w:t>Section 3.1(b)</w:t>
      </w:r>
      <w:r>
        <w:rPr>
          <w:rFonts w:ascii="Times New Roman" w:hAnsi="Times New Roman"/>
          <w:b w:val="false"/>
          <w:color w:val="000000"/>
          <w:sz w:val="20"/>
        </w:rPr>
        <w:t xml:space="preserve"> (other than the portion of such Merger Consideration that is cash (as applicable)); and (ii) a check or wire transfer in the amount equal to (A) the cash payable in lieu of any fractional shares of Parent Common Stock pursuant to </w:t>
      </w:r>
      <w:r>
        <w:rPr>
          <w:rFonts w:ascii="Times New Roman" w:hAnsi="Times New Roman"/>
          <w:b w:val="false"/>
          <w:color w:val="000000"/>
          <w:sz w:val="20"/>
          <w:u w:val="single"/>
        </w:rPr>
        <w:t>Section 3.4(h)</w:t>
      </w:r>
      <w:r>
        <w:rPr>
          <w:rFonts w:ascii="Times New Roman" w:hAnsi="Times New Roman"/>
          <w:b w:val="false"/>
          <w:color w:val="000000"/>
          <w:sz w:val="20"/>
        </w:rPr>
        <w:t xml:space="preserve"> and dividends and other distributions pursuant to </w:t>
      </w:r>
      <w:r>
        <w:rPr>
          <w:rFonts w:ascii="Times New Roman" w:hAnsi="Times New Roman"/>
          <w:b w:val="false"/>
          <w:color w:val="000000"/>
          <w:sz w:val="20"/>
          <w:u w:val="single"/>
        </w:rPr>
        <w:t>Section 3.4(g)</w:t>
      </w:r>
      <w:r>
        <w:rPr>
          <w:rFonts w:ascii="Times New Roman" w:hAnsi="Times New Roman"/>
          <w:b w:val="false"/>
          <w:color w:val="000000"/>
          <w:sz w:val="20"/>
        </w:rPr>
        <w:t xml:space="preserve"> plus (B) the portion of the Merger Consideration contemplated by the foregoing </w:t>
      </w:r>
      <w:r>
        <w:rPr>
          <w:rFonts w:ascii="Times New Roman" w:hAnsi="Times New Roman"/>
          <w:b w:val="false"/>
          <w:color w:val="000000"/>
          <w:sz w:val="20"/>
          <w:u w:val="single"/>
        </w:rPr>
        <w:t>clause (i)</w:t>
      </w:r>
      <w:r>
        <w:rPr>
          <w:rFonts w:ascii="Times New Roman" w:hAnsi="Times New Roman"/>
          <w:b w:val="false"/>
          <w:color w:val="000000"/>
          <w:sz w:val="20"/>
        </w:rPr>
        <w:t xml:space="preserve"> that is cash (as applicable), and the Book-Entry Shares so surrendered shall forthwith be canceled. In the event of a transfer of ownership of Company Common Stock or Company Preferred Stock that is not registered in the transfer records of the Company, payment of the applicable Merger Consideration may be made to a Person other than the Person in whose name the Book-Entry Share so surrendered is registered if such Book-Entry Share shall be in proper form for transfer and the Person requesting such payment shall pay any transfer Taxes required by reason of the transfer or establish to the reasonable satisfaction of Parent and the Exchange Agent that such Taxes have been paid or are not applicable. Until surrendered as contemplated by this </w:t>
      </w:r>
      <w:r>
        <w:rPr>
          <w:rFonts w:ascii="Times New Roman" w:hAnsi="Times New Roman"/>
          <w:b w:val="false"/>
          <w:color w:val="000000"/>
          <w:sz w:val="20"/>
          <w:u w:val="single"/>
        </w:rPr>
        <w:t>Section 3.4(b)</w:t>
      </w:r>
      <w:r>
        <w:rPr>
          <w:rFonts w:ascii="Times New Roman" w:hAnsi="Times New Roman"/>
          <w:b w:val="false"/>
          <w:color w:val="000000"/>
          <w:sz w:val="20"/>
        </w:rPr>
        <w:t xml:space="preserve">, each Book-Entry Share shall be deemed at any time after the Company Merger Effective Time to represent only the right to receive upon such surrender of the Merger Consideration, subject to the terms and conditions set forth herein. No interest shall be paid or will accrue on any payment to holders of Book-Entry Shares pursuant to the provisions of this </w:t>
      </w:r>
      <w:r>
        <w:rPr>
          <w:rFonts w:ascii="Times New Roman" w:hAnsi="Times New Roman"/>
          <w:b w:val="false"/>
          <w:color w:val="000000"/>
          <w:sz w:val="20"/>
          <w:u w:val="single"/>
        </w:rPr>
        <w:t>Article III</w:t>
      </w:r>
      <w:r>
        <w:rPr>
          <w:rFonts w:ascii="Times New Roman" w:hAnsi="Times New Roman"/>
          <w:b w:val="false"/>
          <w:color w:val="000000"/>
          <w:sz w:val="20"/>
        </w:rPr>
        <w:t xml:space="preserve">. If any shares of Company Common Stock or Company Preferred Stock are represented by certificates, then the Exchange Agent shall, within three (3) Business Days after the Company Merger Effective Time, cause to be sent to such holders of certificates (x) a letter of transmittal, which shall specify that delivery of such shares shall be effected, and risk of loss and title to the certificates shall pass, only upon proper delivery of the certificates to the Exchange Agent, and which letter of transmittal shall otherwise be in a customary form and agreed to by Parent and the Company prior to the Closing and (y) instructions for use in effecting the surrender of such certificates, and appropriate actions shall otherwise be taken to give effect to the exchange procedures in this </w:t>
      </w:r>
      <w:r>
        <w:rPr>
          <w:rFonts w:ascii="Times New Roman" w:hAnsi="Times New Roman"/>
          <w:b w:val="false"/>
          <w:color w:val="000000"/>
          <w:sz w:val="20"/>
          <w:u w:val="single"/>
        </w:rPr>
        <w:t>Section 3.4</w:t>
      </w:r>
      <w:r>
        <w:rPr>
          <w:rFonts w:ascii="Times New Roman" w:hAnsi="Times New Roman"/>
          <w:b w:val="false"/>
          <w:color w:val="000000"/>
          <w:sz w:val="20"/>
        </w:rPr>
        <w:t xml:space="preserve"> with respect to such certificated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w:t>
      </w:r>
      <w:r>
        <w:rPr>
          <w:rFonts w:ascii="Times New Roman" w:hAnsi="Times New Roman"/>
          <w:b w:val="false"/>
          <w:color w:val="000000"/>
          <w:sz w:val="20"/>
          <w:u w:val="single"/>
        </w:rPr>
        <w:t>No Further Ownership Rights in Company Common Stock and Company Preferred Stock</w:t>
      </w:r>
      <w:r>
        <w:rPr>
          <w:rFonts w:ascii="Times New Roman" w:hAnsi="Times New Roman"/>
          <w:b w:val="false"/>
          <w:color w:val="000000"/>
          <w:sz w:val="20"/>
        </w:rPr>
        <w:t xml:space="preserve">. The Merger Consideration paid upon the surrender of Book-Entry Shares in accordance with the terms of this </w:t>
      </w:r>
      <w:r>
        <w:rPr>
          <w:rFonts w:ascii="Times New Roman" w:hAnsi="Times New Roman"/>
          <w:b w:val="false"/>
          <w:color w:val="000000"/>
          <w:sz w:val="20"/>
          <w:u w:val="single"/>
        </w:rPr>
        <w:t>Article III</w:t>
      </w:r>
      <w:r>
        <w:rPr>
          <w:rFonts w:ascii="Times New Roman" w:hAnsi="Times New Roman"/>
          <w:b w:val="false"/>
          <w:color w:val="000000"/>
          <w:sz w:val="20"/>
        </w:rPr>
        <w:t xml:space="preserve"> shall be deemed to have been paid in full satisfaction of all rights pertaining to the shares of Company Common Stock and Company Preferred Stock formerly represented by such Book-Entry Shares, subject, however, to the Surviving Entity’s obligation to pay any dividends or make any other distributions with a record date prior to the Partnership Merger Effective Time that may have been declared or made by the Company or the Company Operating Partnership, as applicable, on the shares of Company Common Stock or Company Preferred Stock in accordance with the terms of this Agreement prior to the Partnership Merger Effective Time. At the close of business on the Closing Date, the share transfer books of the Company shall be closed, and there shall be no further registration of transfers on the share transfer books of the Surviving Entity of the shares of Company Common Stock or Company Preferred Stock that were outstanding immediately prior to the Company Merger Effective Time. If, after the Company Merger Effective Time, any Book-Entry Share is presented to the Surviving Entity for transfer, it shall be canceled against delivery of and exchanged as provided in this </w:t>
      </w:r>
      <w:r>
        <w:rPr>
          <w:rFonts w:ascii="Times New Roman" w:hAnsi="Times New Roman"/>
          <w:b w:val="false"/>
          <w:color w:val="000000"/>
          <w:sz w:val="20"/>
          <w:u w:val="single"/>
        </w:rPr>
        <w:t>Article III</w:t>
      </w:r>
      <w:r>
        <w:rPr>
          <w:rFonts w:ascii="Times New Roman" w:hAnsi="Times New Roman"/>
          <w:b w:val="false"/>
          <w:color w:val="000000"/>
          <w:sz w:val="20"/>
        </w:rPr>
        <w:t xml:space="preserve">. At the close of business on the Closing Date, the share transfer books of the Company Operating Partnership shall be closed. If, after the Partnership Merger Effective Time, any Book-Entry Share is presented to the Company for transfer, it shall be canceled against delivery of and exchanged as provided in this </w:t>
      </w:r>
      <w:r>
        <w:rPr>
          <w:rFonts w:ascii="Times New Roman" w:hAnsi="Times New Roman"/>
          <w:b w:val="false"/>
          <w:color w:val="000000"/>
          <w:sz w:val="20"/>
          <w:u w:val="single"/>
        </w:rPr>
        <w:t>Article III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w:t>
      </w:r>
      <w:r>
        <w:rPr>
          <w:rFonts w:ascii="Times New Roman" w:hAnsi="Times New Roman"/>
          <w:b w:val="false"/>
          <w:color w:val="000000"/>
          <w:sz w:val="20"/>
          <w:u w:val="single"/>
        </w:rPr>
        <w:t>Termination of Exchange Fund</w:t>
      </w:r>
      <w:r>
        <w:rPr>
          <w:rFonts w:ascii="Times New Roman" w:hAnsi="Times New Roman"/>
          <w:b w:val="false"/>
          <w:color w:val="000000"/>
          <w:sz w:val="20"/>
        </w:rPr>
        <w:t>. Any portion of the Exchange Fund (including the proceeds of any investments thereof) that remains unclaimed by, or otherwise undistributed to, the holders of the Book-Entry Shares for twelve (12) months after the Company Merger Effective Time shall be delivered to Parent or the Surviving Entity, upon demand.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w:t>
      </w:r>
      <w:r>
        <w:rPr>
          <w:rFonts w:ascii="Times New Roman" w:hAnsi="Times New Roman"/>
          <w:b w:val="false"/>
          <w:color w:val="000000"/>
          <w:sz w:val="20"/>
          <w:u w:val="single"/>
        </w:rPr>
        <w:t>No Liability</w:t>
      </w:r>
      <w:r>
        <w:rPr>
          <w:rFonts w:ascii="Times New Roman" w:hAnsi="Times New Roman"/>
          <w:b w:val="false"/>
          <w:color w:val="000000"/>
          <w:sz w:val="20"/>
        </w:rPr>
        <w:t>. None of Parent, Merger Sub, Parent Manager, the Company, the Company Operating Partnership, the Surviving Corporation, the Surviving Entity, the Exchange Agent or any of their respective Representatives shall be liable to any Person in respect of any distributions from the Exchange Fund delivered to a public official pursuant to any applicable abandoned property, escheat or similar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(f)         </w:t>
      </w:r>
      <w:r>
        <w:rPr>
          <w:rFonts w:ascii="Times New Roman" w:hAnsi="Times New Roman"/>
          <w:b w:val="false"/>
          <w:color w:val="000000"/>
          <w:sz w:val="20"/>
          <w:u w:val="single"/>
        </w:rPr>
        <w:t>Investment of Exchange Fund</w:t>
      </w:r>
      <w:r>
        <w:rPr>
          <w:rFonts w:ascii="Times New Roman" w:hAnsi="Times New Roman"/>
          <w:b w:val="false"/>
          <w:color w:val="000000"/>
          <w:sz w:val="20"/>
        </w:rPr>
        <w:t xml:space="preserve">. The Exchange Agent shall invest any cash included in the Exchange Fund, as directed by Parent;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no such investment or loss thereon shall affect the amounts payable to holders of Book-Entry Shares pursuant to this </w:t>
      </w:r>
      <w:r>
        <w:rPr>
          <w:rFonts w:ascii="Times New Roman" w:hAnsi="Times New Roman"/>
          <w:b w:val="false"/>
          <w:color w:val="000000"/>
          <w:sz w:val="20"/>
          <w:u w:val="single"/>
        </w:rPr>
        <w:t>Article III</w:t>
      </w:r>
      <w:r>
        <w:rPr>
          <w:rFonts w:ascii="Times New Roman" w:hAnsi="Times New Roman"/>
          <w:b w:val="false"/>
          <w:color w:val="000000"/>
          <w:sz w:val="20"/>
        </w:rPr>
        <w:t>, and following any losses from any such investment, Parent shall promptly provide additional funds to the Exchange Agent for the benefit of the holders of shares of Company Common Stock and Company Preferred Stock at the Company Merger Effective Time in the amount of such losses, which additional funds will be deemed to be part of the Exchange Fund. Any interest or other income resulting from such investments shall be paid to Parent, upon demand.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(g)          </w:t>
      </w:r>
      <w:r>
        <w:rPr>
          <w:rFonts w:ascii="Times New Roman" w:hAnsi="Times New Roman"/>
          <w:b w:val="false"/>
          <w:color w:val="000000"/>
          <w:sz w:val="20"/>
          <w:u w:val="single"/>
        </w:rPr>
        <w:t>Distributions with Respect to Parent Common Stock or Parent Preferred Stock</w:t>
      </w:r>
      <w:r>
        <w:rPr>
          <w:rFonts w:ascii="Times New Roman" w:hAnsi="Times New Roman"/>
          <w:b w:val="false"/>
          <w:i/>
          <w:color w:val="000000"/>
          <w:sz w:val="20"/>
        </w:rPr>
        <w:t xml:space="preserve">. </w:t>
      </w:r>
      <w:r>
        <w:rPr>
          <w:rFonts w:ascii="Times New Roman" w:hAnsi="Times New Roman"/>
          <w:b w:val="false"/>
          <w:color w:val="000000"/>
          <w:sz w:val="20"/>
        </w:rPr>
        <w:t xml:space="preserve">No dividends or other distributions declared or made with respect to shares of Parent Common Stock or Parent Preferred Stock, as applicable, with a record date after the Company Merger Effective Time shall be paid to the holder of any untransferred Book-Entry Shares with respect to the whole shares of Parent Common Stock or Parent Preferred Stock, as applicable, that such holder would be entitled to receive upon transfer of such Book-Entry Shares and no cash payment in lieu of fractional shares of Parent Common Stock shall be paid to any such holder, in each case until such holder shall surrender or transfer such Book-Entry Shares in accordance with this </w:t>
      </w:r>
      <w:r>
        <w:rPr>
          <w:rFonts w:ascii="Times New Roman" w:hAnsi="Times New Roman"/>
          <w:b w:val="false"/>
          <w:color w:val="000000"/>
          <w:sz w:val="20"/>
          <w:u w:val="single"/>
        </w:rPr>
        <w:t>Section 3.4</w:t>
      </w:r>
      <w:r>
        <w:rPr>
          <w:rFonts w:ascii="Times New Roman" w:hAnsi="Times New Roman"/>
          <w:b w:val="false"/>
          <w:color w:val="000000"/>
          <w:sz w:val="20"/>
        </w:rPr>
        <w:t>. Following surrender or any such transfer of any such Book-Entry Shares, there shall be paid to such holder of whole shares of Parent Common Stock or Parent Preferred Stock, as applicable, issuable in exchange therefor, without interest, (i) promptly after the time of such surrender or transfer, as applicable, the amount of dividends or other distributions with a record date after the Company Merger Effective Time theretofore paid with respect to such whole shares of Parent Common Stock or Parent Preferred Stock, as applicable, to which such holder is entitled pursuant to this Agreement, and (ii) at the appropriate payment date, the amount of dividends or other distributions with a record date after the Company Merger Effective Time but prior to such surrender or transfer and with a payment date subsequent to such surrender or transfer payable with respect to such whole shares of Parent Common Stock or Parent Preferred Stock, as applicable. For purposes of dividends or other distributions in respect of shares of Parent Common Stock or Parent Preferred Stock, as applicable, all whole shares of Parent Common Stock or Parent Preferred Stock, as applicable, to be issued pursuant to the Mergers shall be entitled to dividends pursuant to the immediately preceding sentence as if such whole shares of Parent Common Stock or Parent Preferred Stock, as applicable, were issued and outstanding as of the Company Merger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(h)         </w:t>
      </w:r>
      <w:r>
        <w:rPr>
          <w:rFonts w:ascii="Times New Roman" w:hAnsi="Times New Roman"/>
          <w:b w:val="false"/>
          <w:color w:val="000000"/>
          <w:sz w:val="20"/>
          <w:u w:val="single"/>
        </w:rPr>
        <w:t>No Fractional Shares of Parent Common Stock</w:t>
      </w:r>
      <w:r>
        <w:rPr>
          <w:rFonts w:ascii="Times New Roman" w:hAnsi="Times New Roman"/>
          <w:b w:val="false"/>
          <w:i/>
          <w:color w:val="000000"/>
          <w:sz w:val="20"/>
        </w:rPr>
        <w:t xml:space="preserve">. </w:t>
      </w:r>
      <w:r>
        <w:rPr>
          <w:rFonts w:ascii="Times New Roman" w:hAnsi="Times New Roman"/>
          <w:b w:val="false"/>
          <w:color w:val="000000"/>
          <w:sz w:val="20"/>
        </w:rPr>
        <w:t xml:space="preserve">No certificates or scrip or shares representing fractional shares of Parent Common Stock or Parent Preferred Stock shall be issued upon the surrender for the transfer of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Mergers who would otherwise have been entitled to receive a fraction of a share of Parent Common Stock (after taking into account all Book-Entry Shares delivered by such holder) shall receive, in lieu thereof, cash (without interest) in an amount equal to the product of (i) such fractional part of a share of Parent Common Stock </w:t>
      </w:r>
      <w:r>
        <w:rPr>
          <w:rFonts w:ascii="Times New Roman" w:hAnsi="Times New Roman"/>
          <w:b w:val="false"/>
          <w:i/>
          <w:color w:val="000000"/>
          <w:sz w:val="20"/>
        </w:rPr>
        <w:t xml:space="preserve">multiplied by </w:t>
      </w:r>
      <w:r>
        <w:rPr>
          <w:rFonts w:ascii="Times New Roman" w:hAnsi="Times New Roman"/>
          <w:b w:val="false"/>
          <w:color w:val="000000"/>
          <w:sz w:val="20"/>
        </w:rPr>
        <w:t>(ii) the Closing Volume-Weighted Average Price. As promptly as practicable after the determination of the amount of cash, if any, to be paid to holders of shares of Company Common Stock exchanged pursuant to the Mergers who would otherwise have been entitled to receive a fraction of a share of Parent Common Stock (after taking into account all Book-Entry Shares delivered by such holder), the Exchange Agent shall so notify Parent, and Parent shall cause the Exchange Agent to forward payments to such holders of fractional interests subject to and in accordance with the terms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(i)          </w:t>
      </w:r>
      <w:r>
        <w:rPr>
          <w:rFonts w:ascii="Times New Roman" w:hAnsi="Times New Roman"/>
          <w:b w:val="false"/>
          <w:color w:val="000000"/>
          <w:sz w:val="20"/>
          <w:u w:val="single"/>
        </w:rPr>
        <w:t>Withholding Taxes</w:t>
      </w:r>
      <w:r>
        <w:rPr>
          <w:rFonts w:ascii="Times New Roman" w:hAnsi="Times New Roman"/>
          <w:b w:val="false"/>
          <w:i/>
          <w:color w:val="000000"/>
          <w:sz w:val="20"/>
        </w:rPr>
        <w:t xml:space="preserve">. </w:t>
      </w:r>
      <w:r>
        <w:rPr>
          <w:rFonts w:ascii="Times New Roman" w:hAnsi="Times New Roman"/>
          <w:b w:val="false"/>
          <w:color w:val="000000"/>
          <w:sz w:val="20"/>
        </w:rPr>
        <w:t xml:space="preserve">Notwithstanding anything in this Agreement to the contrary, Parent, the Surviving Entity, Parent Manager and the Exchange Agent shall be entitled to deduct and withhold from the consideration to be paid by Parent, the Surviving Entity, Parent Manager or the Exchange Agent hereunder any amount required to be deducted and withheld with respect to the making of such payment under the Code or any other provision of state, local or foreign Tax Law. If Parent, the Surviving Entity, Parent Manager or the Exchange Agent believes that such deduction or withholding is required, the applicable withholding Person shall provide the Company with written notice at least two Business Days prior to withholding any amount pursuant to this </w:t>
      </w:r>
      <w:r>
        <w:rPr>
          <w:rFonts w:ascii="Times New Roman" w:hAnsi="Times New Roman"/>
          <w:b w:val="false"/>
          <w:color w:val="000000"/>
          <w:sz w:val="20"/>
          <w:u w:val="single"/>
        </w:rPr>
        <w:t>Section 3.4(i)</w:t>
      </w:r>
      <w:r>
        <w:rPr>
          <w:rFonts w:ascii="Times New Roman" w:hAnsi="Times New Roman"/>
          <w:b w:val="false"/>
          <w:color w:val="000000"/>
          <w:sz w:val="20"/>
        </w:rPr>
        <w:t xml:space="preserve"> such that the Company and/or the holders of Company Common Stock and/or Company Preferred Stock shall have the opportunity to eliminate or reduce such deduction or withholding obligation by filing appropriate documentation or taking other appropriate action, and the Company and Company Operating Partnership agree to provide any documentation or certifications or take such other actions as reasonably requested by Parent. Subject to their respective obligations under applicable Law, Parent, the Surviving Entity, Parent Manager and the Exchange Agent shall use commercially reasonable efforts to cooperate in good faith with the Company and/or such holders as necessary to eliminate or reduce such deduction or withholding. Any such amounts so deducted or withheld shall be paid over to the relevant Taxing Authority in accordance with applicable Law by the Exchange Agent, the Surviving Entity, Parent or Parent Manager, as the case may be, and such deducted or withheld amounts shall be treated for all purposes of this Agreement as having been paid to the Person in respect of which such deduction or withholding was made.</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IV</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REPRESENTATIONS AND WARRANTIES OF THE COMPANY AND THE COMPANY OPERATING PARTNERSHIP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Except as disclosed in the Company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historical factual information contained within such statements) (provided, however, that nothing disclosed in the Company SEC Documents shall be deemed to qualify or modify the representations and warranties set forth in </w:t>
      </w:r>
      <w:r>
        <w:rPr>
          <w:rFonts w:ascii="Times New Roman" w:hAnsi="Times New Roman"/>
          <w:b w:val="false"/>
          <w:color w:val="000000"/>
          <w:sz w:val="20"/>
          <w:u w:val="single"/>
        </w:rPr>
        <w:t>Section 4.1</w:t>
      </w:r>
      <w:r>
        <w:rPr>
          <w:rFonts w:ascii="Times New Roman" w:hAnsi="Times New Roman"/>
          <w:b w:val="false"/>
          <w:color w:val="000000"/>
          <w:sz w:val="20"/>
        </w:rPr>
        <w:t xml:space="preserve">, </w:t>
      </w:r>
      <w:r>
        <w:rPr>
          <w:rFonts w:ascii="Times New Roman" w:hAnsi="Times New Roman"/>
          <w:b w:val="false"/>
          <w:color w:val="000000"/>
          <w:sz w:val="20"/>
          <w:u w:val="single"/>
        </w:rPr>
        <w:t>Section 4.2</w:t>
      </w:r>
      <w:r>
        <w:rPr>
          <w:rFonts w:ascii="Times New Roman" w:hAnsi="Times New Roman"/>
          <w:b w:val="false"/>
          <w:color w:val="000000"/>
          <w:sz w:val="20"/>
        </w:rPr>
        <w:t xml:space="preserve"> or </w:t>
      </w:r>
      <w:r>
        <w:rPr>
          <w:rFonts w:ascii="Times New Roman" w:hAnsi="Times New Roman"/>
          <w:b w:val="false"/>
          <w:color w:val="000000"/>
          <w:sz w:val="20"/>
          <w:u w:val="single"/>
        </w:rPr>
        <w:t>Section 4.18</w:t>
      </w:r>
      <w:r>
        <w:rPr>
          <w:rFonts w:ascii="Times New Roman" w:hAnsi="Times New Roman"/>
          <w:b w:val="false"/>
          <w:color w:val="000000"/>
          <w:sz w:val="20"/>
        </w:rPr>
        <w:t>), or in the disclosure schedule delivered by the Company to Parent immediately prior to the execution and delivery of this Agreement (the “</w:t>
      </w:r>
      <w:r>
        <w:rPr>
          <w:rFonts w:ascii="Times New Roman" w:hAnsi="Times New Roman"/>
          <w:b w:val="false"/>
          <w:color w:val="000000"/>
          <w:sz w:val="20"/>
          <w:u w:val="single"/>
        </w:rPr>
        <w:t>Company Disclosure Letter</w:t>
      </w:r>
      <w:r>
        <w:rPr>
          <w:rFonts w:ascii="Times New Roman" w:hAnsi="Times New Roman"/>
          <w:b w:val="false"/>
          <w:color w:val="000000"/>
          <w:sz w:val="20"/>
        </w:rPr>
        <w:t>”), each of the Company and the Company Operating Partnership, jointly and severally, represents and warrants to Parent and Merger Sub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4.1.         </w:t>
      </w:r>
      <w:r>
        <w:rPr>
          <w:rFonts w:ascii="Times New Roman" w:hAnsi="Times New Roman"/>
          <w:b w:val="false"/>
          <w:color w:val="000000"/>
          <w:sz w:val="20"/>
          <w:u w:val="single"/>
        </w:rPr>
        <w:t>Due Incorporation; Capitalization; Indebtedness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The Company is a corporation duly incorporated, validly existing and in good standing under the laws of the State of Maryland and has all requisite corporate power and authority to own, lease and operate its properties and assets and to carry on its business as presently conducted, except as has not had and would not reasonably be expected to have, individually or in the aggregate, a Company Material Adverse Effect. Each of the Company’s Subsidiaries (including the Company Operating Partnership) is a legal entity duly organized, validly existing and (where such concept is recognized) in good standing under the Laws of its jurisdiction of organization and has all requisite corporate or entity power and authority to own, lease and operate its properties and assets and to carry on its business as presently conducted, except as has not had and would not reasonably be expected to have, individually or in the aggregate, a Company Material Adverse Effect. Each of the Company and its Subsidiaries is duly qualified or licensed, and has all necessary governmental approvals, to do business in each jurisdiction in which the property owned, leased or operated by it or the nature of the business conducted by it makes such approvals, qualification or licensing necessary, except where the failure to be so duly approved, qualified or licensed has not had and would not reasonably be expected to have, individually or in the aggregate, a Company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w:t>
      </w:r>
      <w:r>
        <w:rPr>
          <w:rFonts w:ascii="Times New Roman" w:hAnsi="Times New Roman"/>
          <w:b w:val="false"/>
          <w:color w:val="000000"/>
          <w:sz w:val="20"/>
          <w:u w:val="single"/>
        </w:rPr>
        <w:t>Section 4.1(b)</w:t>
      </w:r>
      <w:r>
        <w:rPr>
          <w:rFonts w:ascii="Times New Roman" w:hAnsi="Times New Roman"/>
          <w:b w:val="false"/>
          <w:color w:val="000000"/>
          <w:sz w:val="20"/>
        </w:rPr>
        <w:t xml:space="preserve"> of the Company Disclosure Letter sets forth an accurate and complete list of each Subsidiary of the Company, including a list of each Subsidiary that is a REIT, partnership, “qualified REIT subsidiary” within the meaning of Section 856(i)(2) of the Code (“</w:t>
      </w:r>
      <w:r>
        <w:rPr>
          <w:rFonts w:ascii="Times New Roman" w:hAnsi="Times New Roman"/>
          <w:b w:val="false"/>
          <w:color w:val="000000"/>
          <w:sz w:val="20"/>
          <w:u w:val="single"/>
        </w:rPr>
        <w:t>Qualified REIT Subsidiary</w:t>
      </w:r>
      <w:r>
        <w:rPr>
          <w:rFonts w:ascii="Times New Roman" w:hAnsi="Times New Roman"/>
          <w:b w:val="false"/>
          <w:color w:val="000000"/>
          <w:sz w:val="20"/>
        </w:rPr>
        <w:t>”), a “taxable REIT subsidiary” within the meaning of Section 856(l) of the Code (“</w:t>
      </w:r>
      <w:r>
        <w:rPr>
          <w:rFonts w:ascii="Times New Roman" w:hAnsi="Times New Roman"/>
          <w:b w:val="false"/>
          <w:color w:val="000000"/>
          <w:sz w:val="20"/>
          <w:u w:val="single"/>
        </w:rPr>
        <w:t>Taxable REIT Subsidiary</w:t>
      </w:r>
      <w:r>
        <w:rPr>
          <w:rFonts w:ascii="Times New Roman" w:hAnsi="Times New Roman"/>
          <w:b w:val="false"/>
          <w:color w:val="000000"/>
          <w:sz w:val="20"/>
        </w:rPr>
        <w:t xml:space="preserve">”), or a subsidiary REIT, together with (i) the U.S. federal income tax status of each subsidiary; (ii) the jurisdiction of incorporation or organization, as the case may be, of such Subsidiary; (iii) the type and percentage of interest held, directly or indirectly, by the Company in such Subsidiary; (iv) the amount of its authorized capital stock or other equity interests; and (v) the amount of its outstanding capital stock or other equity interests. </w:t>
      </w:r>
      <w:r>
        <w:rPr>
          <w:rFonts w:ascii="Times New Roman" w:hAnsi="Times New Roman"/>
          <w:b w:val="false"/>
          <w:color w:val="000000"/>
          <w:sz w:val="20"/>
          <w:u w:val="single"/>
        </w:rPr>
        <w:t>Section 4.1(b)</w:t>
      </w:r>
      <w:r>
        <w:rPr>
          <w:rFonts w:ascii="Times New Roman" w:hAnsi="Times New Roman"/>
          <w:b w:val="false"/>
          <w:color w:val="000000"/>
          <w:sz w:val="20"/>
        </w:rPr>
        <w:t xml:space="preserve"> of the Company Disclosure Letter also sets forth an accurate and complete list of Persons, other than the Subsidiaries of the Company, in which the Company or any Subsidiary of the Company has an equity interest.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The Company has made available to Parent prior to the date of this Agreement a true and complete copy of the Articles of Incorporation and Bylaws, in each case, as amended through the date hereof. The Articles of Incorporation and Bylaws are in full force and effect, and the Company is not in material violation of any of their provisions.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w:t>
      </w:r>
      <w:r>
        <w:rPr>
          <w:rFonts w:ascii="Times New Roman" w:hAnsi="Times New Roman"/>
          <w:b w:val="false"/>
          <w:color w:val="000000"/>
          <w:sz w:val="20"/>
          <w:u w:val="single"/>
        </w:rPr>
        <w:t>Capitalization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          The entire authorized capital stock of the Company is (A) 500,000,000 shares of common stock, par value $0.01 per share (the “</w:t>
      </w:r>
      <w:r>
        <w:rPr>
          <w:rFonts w:ascii="Times New Roman" w:hAnsi="Times New Roman"/>
          <w:b w:val="false"/>
          <w:color w:val="000000"/>
          <w:sz w:val="20"/>
          <w:u w:val="single"/>
        </w:rPr>
        <w:t>Company Common Stock</w:t>
      </w:r>
      <w:r>
        <w:rPr>
          <w:rFonts w:ascii="Times New Roman" w:hAnsi="Times New Roman"/>
          <w:b w:val="false"/>
          <w:color w:val="000000"/>
          <w:sz w:val="20"/>
        </w:rPr>
        <w:t>”); and (B) 100,000,000 shares of preferred stock, par value $0.01 per share (the “</w:t>
      </w:r>
      <w:r>
        <w:rPr>
          <w:rFonts w:ascii="Times New Roman" w:hAnsi="Times New Roman"/>
          <w:b w:val="false"/>
          <w:color w:val="000000"/>
          <w:sz w:val="20"/>
          <w:u w:val="single"/>
        </w:rPr>
        <w:t>Company Preferred Stock</w:t>
      </w:r>
      <w:r>
        <w:rPr>
          <w:rFonts w:ascii="Times New Roman" w:hAnsi="Times New Roman"/>
          <w:b w:val="false"/>
          <w:color w:val="000000"/>
          <w:sz w:val="20"/>
        </w:rPr>
        <w:t>”), of which (1) 3,800,000 shares are designated as Company Series A Preferred Stock, and (2) 2,070,000 shares are designated as Company Series B Preferred Stock.</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          As of August 7, 2026 (the “</w:t>
      </w:r>
      <w:r>
        <w:rPr>
          <w:rFonts w:ascii="Times New Roman" w:hAnsi="Times New Roman"/>
          <w:b w:val="false"/>
          <w:color w:val="000000"/>
          <w:sz w:val="20"/>
          <w:u w:val="single"/>
        </w:rPr>
        <w:t>Capitalization Date</w:t>
      </w:r>
      <w:r>
        <w:rPr>
          <w:rFonts w:ascii="Times New Roman" w:hAnsi="Times New Roman"/>
          <w:b w:val="false"/>
          <w:color w:val="000000"/>
          <w:sz w:val="20"/>
        </w:rPr>
        <w:t>”), there were (A) 36,947,394 shares of Company Common Stock (including 168,068 shares of Company Common Stock subject to outstanding Company Restricted Stock Awards) issued and outstanding; (B) 2,781,635 shares of Company Series A Preferred Stock issued and outstanding; (C) 1,604,103 shares of Company Series B Preferred Stock issued and outstanding; (D) 1,435,360 shares of Company Common Stock reserved for issuance and available for future grants or awards under the Company Equity Plans; (E) 436,654 shares of Company Common Stock reserved for issuance subject to outstanding Company RSU Awards; (F) 531,712 shares of Company Common Stock reserved for issuance subject to outstanding Company LTIP Units; (G) 358,527 shares of Company Common Stock reserved for issuance subject to outstanding Company PSU Awards (assuming 100% of the Performance Payout Percentage); and (H) no other shares of capital stock or other voting securities of the Company issued, reserved for issuance or outstanding. From the Capitalization Date through the date of this Agreement, the Company has not issued any shares of Company Common Stock or any other shares of capital stock or securities convertible or exchangeable into, or exercisable for, any shares of capital stock of the Company or any of its Subsidiaries. All of the outstanding shares of Company Common Stock and Company Preferred Stock are, and all shares of Company Common Stock and Company Preferred Stock that may be issued prior to the Company Merger Effective Time will be, duly authorized, validly issued, fully paid and nonassessable. No shares of Company Common Stock or Company Preferred Stock are subject to or were issued in violation of applicable Law or the Organizational Documents of the Company or the preemptive rights of any stockholder or any purchase option, call option, right of first refusal, subscription right or any similar right under any provision of the MGCL, other applicable Laws, the Articles of Incorporation or Bylaws or any Contract to which the Company is a party or otherwise bound.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(iii)      The Company is the sole general partner of the Company Operating Partnership. As of the Capitalization Date: (A) 36,947,394 Company Common Units were issued and outstanding, all of which are held by the Company; (B) 4,385,738 Company Preferred Units were issued and outstanding, of which (1) 2,781,635 Company Series A Preferred Units were issued and outstanding and all of which are held by the Company, and (2) 1,604,103 Company Series B Preferred Units were issued and outstanding and all of which are held by the Company; (C) 531,712 Company LTIP Units were issued and outstanding; and (D) no other Company Partnership Units or other securities of the Company Operating Partnership were issued, reserved for issuance or outstanding. From the Capitalization Date through the date of this Agreement, the Company Operating Partnership has not issued any Company Partnership Units or any other shares of securities convertible or exchangeable into, or exercisable for, any Company Partnership Units or any securities of the Company or any of its other Subsidiaries. All of the outstanding Company Partnership Units are, and all Company Partnership Units that may be issued prior to the Partnership Merger Effective Time will be, duly authorized, validly issued, fully paid and nonassessable. No Company Partnership Units were subject to or were issued in violation of applicable Law or the preemptive rights of any holder thereof or any purchase option, call option, right of first refusal, subscription right or any similar right under any provision of the DRULPA, other applicable Laws, the certificate of limited partnership of the Company Operating Partnership or the Company Operating Partnership Agreement or any Contract to which the Company Operating Partnership is a party or otherwise bound.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(iv)       Except as set forth in </w:t>
      </w:r>
      <w:r>
        <w:rPr>
          <w:rFonts w:ascii="Times New Roman" w:hAnsi="Times New Roman"/>
          <w:b w:val="false"/>
          <w:color w:val="000000"/>
          <w:sz w:val="20"/>
          <w:u w:val="single"/>
        </w:rPr>
        <w:t>Section 4.1(d)(ii)</w:t>
      </w:r>
      <w:r>
        <w:rPr>
          <w:rFonts w:ascii="Times New Roman" w:hAnsi="Times New Roman"/>
          <w:b w:val="false"/>
          <w:color w:val="000000"/>
          <w:sz w:val="20"/>
        </w:rPr>
        <w:t xml:space="preserve"> or </w:t>
      </w:r>
      <w:r>
        <w:rPr>
          <w:rFonts w:ascii="Times New Roman" w:hAnsi="Times New Roman"/>
          <w:b w:val="false"/>
          <w:color w:val="000000"/>
          <w:sz w:val="20"/>
          <w:u w:val="single"/>
        </w:rPr>
        <w:t>Section 4.1(d)(iii)</w:t>
      </w:r>
      <w:r>
        <w:rPr>
          <w:rFonts w:ascii="Times New Roman" w:hAnsi="Times New Roman"/>
          <w:b w:val="false"/>
          <w:color w:val="000000"/>
          <w:sz w:val="20"/>
        </w:rPr>
        <w:t xml:space="preserve">, as of the Capitalization Date, there are no: (A) issued and outstanding shares of capital stock of or other voting or equity interests in the Company or any of its Subsidiaries; (B) securities of the Company or any of its Subsidiaries convertible into or exercisable or exchangeable for shares of capital stock of or other voting or equity interests in the Company or any of its Subsidiaries; (C) options, warrants, calls or other rights or agreements to acquire from the Company or any of its Subsidiaries, or other obligation of the Company or its Subsidiaries to issue, deliver, transfer or sell, or cause to be issued, delivered, transferred or sold, any shares of capital stock of or other voting or equity interests in the Company or any of its Subsidiaries or securities convertible into or exercisable or exchangeable for shares of capital stock of or other voting or equity interests in the Company or any of its Subsidiaries; (D) voting trusts, proxies or other similar agreements to which the Company or any of its Subsidiaries (including the Company Operating Partnership) is a party or by which the Company or any of its Subsidiaries (including the Company Operating Partnership) is bound with respect to the voting of any shares of capital stock of or other voting or equity interests in the Company or any of its Subsidiaries (including the Company Operating Partnership); or (E) obligations requiring the registration under applicable Laws for sale of any shares of capital stock of or other voting or equity interests in the Company or any of its Subsidiaries (including the Company Operating Partnership) (the items in </w:t>
      </w:r>
      <w:r>
        <w:rPr>
          <w:rFonts w:ascii="Times New Roman" w:hAnsi="Times New Roman"/>
          <w:b w:val="false"/>
          <w:color w:val="000000"/>
          <w:sz w:val="20"/>
          <w:u w:val="single"/>
        </w:rPr>
        <w:t>clauses (A)</w:t>
      </w:r>
      <w:r>
        <w:rPr>
          <w:rFonts w:ascii="Times New Roman" w:hAnsi="Times New Roman"/>
          <w:b w:val="false"/>
          <w:color w:val="000000"/>
          <w:sz w:val="20"/>
        </w:rPr>
        <w:t xml:space="preserve">, </w:t>
      </w:r>
      <w:r>
        <w:rPr>
          <w:rFonts w:ascii="Times New Roman" w:hAnsi="Times New Roman"/>
          <w:b w:val="false"/>
          <w:color w:val="000000"/>
          <w:sz w:val="20"/>
          <w:u w:val="single"/>
        </w:rPr>
        <w:t>(B)</w:t>
      </w:r>
      <w:r>
        <w:rPr>
          <w:rFonts w:ascii="Times New Roman" w:hAnsi="Times New Roman"/>
          <w:b w:val="false"/>
          <w:color w:val="000000"/>
          <w:sz w:val="20"/>
        </w:rPr>
        <w:t xml:space="preserve"> and </w:t>
      </w:r>
      <w:r>
        <w:rPr>
          <w:rFonts w:ascii="Times New Roman" w:hAnsi="Times New Roman"/>
          <w:b w:val="false"/>
          <w:color w:val="000000"/>
          <w:sz w:val="20"/>
          <w:u w:val="single"/>
        </w:rPr>
        <w:t>(C)</w:t>
      </w:r>
      <w:r>
        <w:rPr>
          <w:rFonts w:ascii="Times New Roman" w:hAnsi="Times New Roman"/>
          <w:b w:val="false"/>
          <w:color w:val="000000"/>
          <w:sz w:val="20"/>
        </w:rPr>
        <w:t xml:space="preserve"> being referred to collectively as the “</w:t>
      </w:r>
      <w:r>
        <w:rPr>
          <w:rFonts w:ascii="Times New Roman" w:hAnsi="Times New Roman"/>
          <w:b w:val="false"/>
          <w:color w:val="000000"/>
          <w:sz w:val="20"/>
          <w:u w:val="single"/>
        </w:rPr>
        <w:t>Company Securities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        As of the date hereof, there are no outstanding obligations or authorizations of the Company or any of its Subsidiaries (including the Company Operating Partnership) to repurchase, redeem or otherwise acquire any Company Securities (other than (A) issuances in connection with the purchase, vesting or settlement of Company Equity Awards outstanding as of the Capitalization Date in accordance with their terms, or (B) as set forth in the Articles of Incorporation with respect to the Series A Articles Supplementary and the Series B Articles Supplementary, or the Company Operating Partnership Agreement). No Subsidiary of the Company owns any shares of capital stock of or other equity interests in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Except as set forth in </w:t>
      </w:r>
      <w:r>
        <w:rPr>
          <w:rFonts w:ascii="Times New Roman" w:hAnsi="Times New Roman"/>
          <w:b w:val="false"/>
          <w:color w:val="000000"/>
          <w:sz w:val="20"/>
          <w:u w:val="single"/>
        </w:rPr>
        <w:t>Section 4.1(e)</w:t>
      </w:r>
      <w:r>
        <w:rPr>
          <w:rFonts w:ascii="Times New Roman" w:hAnsi="Times New Roman"/>
          <w:b w:val="false"/>
          <w:color w:val="000000"/>
          <w:sz w:val="20"/>
        </w:rPr>
        <w:t xml:space="preserve"> of the Company Disclosure Letter, neither the Company nor any of its Subsidiaries (including the Company Operating Partnership) has outstanding bonds, debentures, notes or other indebtedness for borrowed money, or, other than as referred to in </w:t>
      </w:r>
      <w:r>
        <w:rPr>
          <w:rFonts w:ascii="Times New Roman" w:hAnsi="Times New Roman"/>
          <w:b w:val="false"/>
          <w:color w:val="000000"/>
          <w:sz w:val="20"/>
          <w:u w:val="single"/>
        </w:rPr>
        <w:t>Section 4.1(d)</w:t>
      </w:r>
      <w:r>
        <w:rPr>
          <w:rFonts w:ascii="Times New Roman" w:hAnsi="Times New Roman"/>
          <w:b w:val="false"/>
          <w:color w:val="000000"/>
          <w:sz w:val="20"/>
        </w:rPr>
        <w:t xml:space="preserve"> of the Company Disclosure Letter, other securities, the holders of which have the right to vote (or which are convertible into or exercisable for securities having the right to vote) with the stockholders of the Company on any matter. The Company does not have in effect any “poison pill,” stockholder rights plan or similar anti-takeover agreement or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All dividends or other distributions, including dividend equivalent rights, on capital stock of or other voting or equity interests in the Company or any of its Subsidiaries which have been authorized or declared prior to the date hereof, or, in the case of dividend equivalent rights, earned, have been paid in full (except to the extent such dividends have been declared and are not yet due and payable or, with respect to the Company Equity Awards, have been accrued on the most recent balance sheet of the Company filed with the SEC prior to the date hereof and are not yet due and payable).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4.2.         </w:t>
      </w:r>
      <w:r>
        <w:rPr>
          <w:rFonts w:ascii="Times New Roman" w:hAnsi="Times New Roman"/>
          <w:b w:val="false"/>
          <w:color w:val="000000"/>
          <w:sz w:val="20"/>
          <w:u w:val="single"/>
        </w:rPr>
        <w:t>Due Authorization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Each of the Company and the Company Operating Partnership has all requisite corporate or partnership power and authority to execute and deliver this Agreement, to perform its obligations hereunder and, subject to the filings under </w:t>
      </w:r>
      <w:r>
        <w:rPr>
          <w:rFonts w:ascii="Times New Roman" w:hAnsi="Times New Roman"/>
          <w:b w:val="false"/>
          <w:color w:val="000000"/>
          <w:sz w:val="20"/>
          <w:u w:val="single"/>
        </w:rPr>
        <w:t>Section 2.3</w:t>
      </w:r>
      <w:r>
        <w:rPr>
          <w:rFonts w:ascii="Times New Roman" w:hAnsi="Times New Roman"/>
          <w:b w:val="false"/>
          <w:color w:val="000000"/>
          <w:sz w:val="20"/>
        </w:rPr>
        <w:t xml:space="preserve">, to consummate the Transactions, and except, in the case of consummating the Company Merger, for obtaining the Company Stockholder Approval, no other corporate actions or proceedings on the part of the Company or its stockholders shall be necessary to authorize this Agreement and the Transactions. The execution, delivery and performance by the Company and the Company Operating Partnership of this Agreement, and, assuming the representations and warranties set forth in </w:t>
      </w:r>
      <w:r>
        <w:rPr>
          <w:rFonts w:ascii="Times New Roman" w:hAnsi="Times New Roman"/>
          <w:b w:val="false"/>
          <w:color w:val="000000"/>
          <w:sz w:val="20"/>
          <w:u w:val="single"/>
        </w:rPr>
        <w:t>Section 5.14</w:t>
      </w:r>
      <w:r>
        <w:rPr>
          <w:rFonts w:ascii="Times New Roman" w:hAnsi="Times New Roman"/>
          <w:b w:val="false"/>
          <w:color w:val="000000"/>
          <w:sz w:val="20"/>
        </w:rPr>
        <w:t xml:space="preserve"> are true and correct, the consummation by them of the Mergers, have been duly authorized by (i) the Company Board and, except for (A) the filing of the Partnership Certificate of Merger with the Delaware Secretary pursuant to the DRULPA and the Partnership Articles of Merger with the Maryland Department pursuant to the MGCL and (B) the filing the Certificate of Merger with the Delaware Secretary pursuant to the DLLCA and the Articles of Merger with the Maryland Department pursuant to the MGCL, no other corporate action on the part of the Company is necessary to authorize the execution, delivery and performance by the Company of this Agreement and the Transactions and (ii) the Company, acting in its capacity as the general partner of the Company Operating Partnership, and except for the filing of the Partnership Certificate of Merger with the Delaware Secretary pursuant to the DRULPA and the Partnership Articles of Merger with the Maryland Department pursuant to the MGCL, no other corporate action on the part of the Company or the Company Operating Partnership is necessary to authorize the execution, delivery and performance by the Company Operating Partnership of this Agreement and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The Company Board has unanimously (i) determined that this Agreement and the Transactions, including the Mergers, are advisable, fair to and in the best interests of the Company and the Company’s stockholders; (ii) adopted this Agreement and approved the Transactions, including the Mergers; (iii) directed that this Agreement and the Company Merger be submitted for consideration at the Company Stockholders Meeting; and (iv) resolved, subject to </w:t>
      </w:r>
      <w:r>
        <w:rPr>
          <w:rFonts w:ascii="Times New Roman" w:hAnsi="Times New Roman"/>
          <w:b w:val="false"/>
          <w:color w:val="000000"/>
          <w:sz w:val="20"/>
          <w:u w:val="single"/>
        </w:rPr>
        <w:t>Section 6.5</w:t>
      </w:r>
      <w:r>
        <w:rPr>
          <w:rFonts w:ascii="Times New Roman" w:hAnsi="Times New Roman"/>
          <w:b w:val="false"/>
          <w:color w:val="000000"/>
          <w:sz w:val="20"/>
        </w:rPr>
        <w:t>, to recommend that the Company’s stockholders approve this Agreement and the Transactions (the “</w:t>
      </w:r>
      <w:r>
        <w:rPr>
          <w:rFonts w:ascii="Times New Roman" w:hAnsi="Times New Roman"/>
          <w:b w:val="false"/>
          <w:color w:val="000000"/>
          <w:sz w:val="20"/>
          <w:u w:val="single"/>
        </w:rPr>
        <w:t>Company Recommendation</w:t>
      </w:r>
      <w:r>
        <w:rPr>
          <w:rFonts w:ascii="Times New Roman" w:hAnsi="Times New Roman"/>
          <w:b w:val="false"/>
          <w:color w:val="000000"/>
          <w:sz w:val="20"/>
        </w:rPr>
        <w:t>”) on the terms and subject to the conditions of this Agreement. The Company Stockholder Approval is the only vote of holders of securities of the Company that is required to adopt this Agreement and approve the Mergers and the other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The Company and the Company Operating Partnership have each duly and validly executed and delivered this Agreement. Assuming the due authorization, execution and delivery hereof by Parent, Merger Sub and Parent Manager, this Agreement constitutes a legal, valid and binding obligation of the Company and the Company Operating Partnership enforceable against the Company and Company Operating Partnership in accordance with its terms, except as such enforceability may be limited by applicable bankruptcy, insolvency, fraudulent conveyance, moratorium, reorganization or similar Laws now or hereafter in effect which affect the enforcement of creditors’ rights generally and by rules of Law governing specific performance, injunctive relief and equitable principles (the “</w:t>
      </w:r>
      <w:r>
        <w:rPr>
          <w:rFonts w:ascii="Times New Roman" w:hAnsi="Times New Roman"/>
          <w:b w:val="false"/>
          <w:color w:val="000000"/>
          <w:sz w:val="20"/>
          <w:u w:val="single"/>
        </w:rPr>
        <w:t>Enforceability Exceptions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Prior to the execution of this Agreement, the Company and the Company Board have taken all actions necessary to exempt under or make not subject to (i) any applicable Takeover Law or (ii) any provision of the Organizational Documents of the Company and its Subsidiaries (including the Company Operating Partnership) that would require any corporate approval other than that otherwise required by the MGCL or other applicable state Law, each of the execution of this Agreement and the Transactions.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4.3.         </w:t>
      </w:r>
      <w:r>
        <w:rPr>
          <w:rFonts w:ascii="Times New Roman" w:hAnsi="Times New Roman"/>
          <w:b w:val="false"/>
          <w:color w:val="000000"/>
          <w:sz w:val="20"/>
          <w:u w:val="single"/>
        </w:rPr>
        <w:t>Consents and Approvals; No Violations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The execution and delivery of this Agreement does not, and the consummation of the Transactions will not (with or without notice or lapse of time, or both) (i) assuming that the Company Merger and this Agreement are approved by the affirmative vote of the holders of a majority of the outstanding shares of Company Common Stock entitled to vote on such matters (the “</w:t>
      </w:r>
      <w:r>
        <w:rPr>
          <w:rFonts w:ascii="Times New Roman" w:hAnsi="Times New Roman"/>
          <w:b w:val="false"/>
          <w:color w:val="000000"/>
          <w:sz w:val="20"/>
          <w:u w:val="single"/>
        </w:rPr>
        <w:t>Company Stockholder Approval</w:t>
      </w:r>
      <w:r>
        <w:rPr>
          <w:rFonts w:ascii="Times New Roman" w:hAnsi="Times New Roman"/>
          <w:b w:val="false"/>
          <w:color w:val="000000"/>
          <w:sz w:val="20"/>
        </w:rPr>
        <w:t xml:space="preserve">”) at the Company Stockholders Meeting, contravene, conflict with or result in a violation of any provision of the Organizational Documents of the Company or its Subsidiaries, (ii) result in a violation of, or default under, or acceleration of any material obligation or the loss of a material benefit under, or result in the creation of any Liens (other than Company Permitted Liens) upon any of the properties or assets of the Company or any of its Subsidiaries under, any provision of any Company Material Contract, or (iii) assuming the approvals, consents, clearances, waivers or authorizations referred to in </w:t>
      </w:r>
      <w:r>
        <w:rPr>
          <w:rFonts w:ascii="Times New Roman" w:hAnsi="Times New Roman"/>
          <w:b w:val="false"/>
          <w:color w:val="000000"/>
          <w:sz w:val="20"/>
          <w:u w:val="single"/>
        </w:rPr>
        <w:t>Section 4.3(b)</w:t>
      </w:r>
      <w:r>
        <w:rPr>
          <w:rFonts w:ascii="Times New Roman" w:hAnsi="Times New Roman"/>
          <w:b w:val="false"/>
          <w:color w:val="000000"/>
          <w:sz w:val="20"/>
        </w:rPr>
        <w:t xml:space="preserve"> 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w:t>
      </w:r>
      <w:r>
        <w:rPr>
          <w:rFonts w:ascii="Times New Roman" w:hAnsi="Times New Roman"/>
          <w:b w:val="false"/>
          <w:color w:val="000000"/>
          <w:sz w:val="20"/>
          <w:u w:val="single"/>
        </w:rPr>
        <w:t>clauses (ii)</w:t>
      </w:r>
      <w:r>
        <w:rPr>
          <w:rFonts w:ascii="Times New Roman" w:hAnsi="Times New Roman"/>
          <w:b w:val="false"/>
          <w:color w:val="000000"/>
          <w:sz w:val="20"/>
        </w:rPr>
        <w:t xml:space="preserve"> and </w:t>
      </w:r>
      <w:r>
        <w:rPr>
          <w:rFonts w:ascii="Times New Roman" w:hAnsi="Times New Roman"/>
          <w:b w:val="false"/>
          <w:color w:val="000000"/>
          <w:sz w:val="20"/>
          <w:u w:val="single"/>
        </w:rPr>
        <w:t>(iii)</w:t>
      </w:r>
      <w:r>
        <w:rPr>
          <w:rFonts w:ascii="Times New Roman" w:hAnsi="Times New Roman"/>
          <w:b w:val="false"/>
          <w:color w:val="000000"/>
          <w:sz w:val="20"/>
        </w:rPr>
        <w:t>, any such contraventions, conflicts, violations, defaults, acceleration, losses or Liens that would not reasonably be expected to have, individually or in the aggregate, a Company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No approval, consent, clearance, waiver or authorization from any Governmental Authority is required to be obtained or made by the Company or any of its Subsidiaries in connection with the execution and delivery of this Agreement by the Company or the Company Operating Partnership or the consummation by the Company and the Company Operating Partnership of the Transactions, except for: (i) the filing with the SEC of (A) the Proxy Statement/Prospectus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Company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4.4.         </w:t>
      </w:r>
      <w:r>
        <w:rPr>
          <w:rFonts w:ascii="Times New Roman" w:hAnsi="Times New Roman"/>
          <w:b w:val="false"/>
          <w:color w:val="000000"/>
          <w:sz w:val="20"/>
          <w:u w:val="single"/>
        </w:rPr>
        <w:t>Financial Statements; Internal Controls and Procedures; Investment Company Act</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Since December 31, 2024, the Company has filed or furnished with the SEC all forms, reports, schedules and statements required to be filed or furnished by the Company under the Securities Act or the Exchange Act, respectively (such forms, reports, schedules and statements, as amended, collectively, the “</w:t>
      </w:r>
      <w:r>
        <w:rPr>
          <w:rFonts w:ascii="Times New Roman" w:hAnsi="Times New Roman"/>
          <w:b w:val="false"/>
          <w:color w:val="000000"/>
          <w:sz w:val="20"/>
          <w:u w:val="single"/>
        </w:rPr>
        <w:t>Company SEC Documents</w:t>
      </w:r>
      <w:r>
        <w:rPr>
          <w:rFonts w:ascii="Times New Roman" w:hAnsi="Times New Roman"/>
          <w:b w:val="false"/>
          <w:color w:val="000000"/>
          <w:sz w:val="20"/>
        </w:rPr>
        <w:t>”). As of their respective filing dates, or, if amended prior to the date hereof, as of the date of (and giving effect to) the last such amendment made prior to the date hereof,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The consolidated audited and unaudited interim financial statements of the Company included or incorporated by reference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the Company and its Subsidiaries (including the Company Operating Partnership), as of the respective dates thereof and for the respective periods indicated therein (subject, in the case of unaudited interim financial statements, to absence of notes and normal year-end adjustments). To the Knowledge of the Company, as of the date hereof, none of the Company SEC Documents is the subject of ongoing SEC review and the Company does not have outstanding and unresolved comments from the SEC with respect to any of the Company SEC Documents.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Other than any off-balance sheet arrangements disclosed in the Company SEC Documents filed or furnished prior to the date hereof, neither the Company nor any Subsidiary of the Company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The Company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the Company’s auditors and the Company Board have not been advised of (i) any significant deficiencies or material weaknesses in the design or operation of internal controls over financial reporting that are reasonably likely to adversely affect in any material respect the Company’s ability to record, process, summarize and report financial information or (ii) any fraud, whether or not material, that involves management or other employees who have a significant role in the Company’s internal controls over financial reporting, and, in each case, neither the Company nor any of its Representatives has failed to disclose such information to the Company’s auditors or the Company Board.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Neither the Company nor any of Subsidiaries of the Company (including the Company Operating Partnership) is, or as of immediately prior to the Company Merger Effective Time will be, required to be registered as an investment company under the Investment Company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4.5.     </w:t>
      </w:r>
      <w:r>
        <w:rPr>
          <w:rFonts w:ascii="Times New Roman" w:hAnsi="Times New Roman"/>
          <w:b w:val="false"/>
          <w:color w:val="000000"/>
          <w:sz w:val="20"/>
          <w:u w:val="single"/>
        </w:rPr>
        <w:t>Proxy Statement/Prospectus; Company Information</w:t>
      </w:r>
      <w:r>
        <w:rPr>
          <w:rFonts w:ascii="Times New Roman" w:hAnsi="Times New Roman"/>
          <w:b w:val="false"/>
          <w:color w:val="000000"/>
          <w:sz w:val="20"/>
        </w:rPr>
        <w:t xml:space="preserve">. The Proxy Statement/Prospectus, when filed, distributed or otherwise disseminated to the Company’s stockholders, as applicable, will comply as to form in all material respects with the applicable requirements of the Exchange Act. None of the information supplied or to be supplied by or on behalf of the Company specifically for inclusion or incorporation by reference in the Proxy Statement/Prospectus, at the time it (and any amendment or supplement thereto) is first filed with the SEC, will contain any untrue statement of a material fact or omit to state any material fact required to be stated therein or necessary in order to make the statements made therein, in light of the circumstances under which they were made, not misleading. For the avoidance of doubt, no representation or warranty is made by the Company with respect to (and nothing in this </w:t>
      </w:r>
      <w:r>
        <w:rPr>
          <w:rFonts w:ascii="Times New Roman" w:hAnsi="Times New Roman"/>
          <w:b w:val="false"/>
          <w:color w:val="000000"/>
          <w:sz w:val="20"/>
          <w:u w:val="single"/>
        </w:rPr>
        <w:t>Section 4.5</w:t>
      </w:r>
      <w:r>
        <w:rPr>
          <w:rFonts w:ascii="Times New Roman" w:hAnsi="Times New Roman"/>
          <w:b w:val="false"/>
          <w:color w:val="000000"/>
          <w:sz w:val="20"/>
        </w:rPr>
        <w:t xml:space="preserve"> shall apply to) statements made or incorporated by reference in the Proxy Statement/Prospectus based on information (i) supplied by or on behalf of Parent, Merger Sub or any of their Affiliates specifically for inclusion or incorporation by reference therein or (ii) not supplied by or on behalf of the Company and not obtained from or incorporated by reference to the Company’s filings with the SEC.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4.6.        </w:t>
      </w:r>
      <w:r>
        <w:rPr>
          <w:rFonts w:ascii="Times New Roman" w:hAnsi="Times New Roman"/>
          <w:b w:val="false"/>
          <w:color w:val="000000"/>
          <w:sz w:val="20"/>
          <w:u w:val="single"/>
        </w:rPr>
        <w:t>No Undisclosed Liabilities</w:t>
      </w:r>
      <w:r>
        <w:rPr>
          <w:rFonts w:ascii="Times New Roman" w:hAnsi="Times New Roman"/>
          <w:b w:val="false"/>
          <w:color w:val="000000"/>
          <w:sz w:val="20"/>
        </w:rPr>
        <w:t>. There are no Liabilities of the Company or any of its Subsidiaries that would be required to be reflected on a consolidated balance sheet of the Company and its Subsidiaries prepared in accordance with GAAP, except for (a) Liabilities that are reflected or reserved against on the most recent consolidated balance sheet of the Company and its Subsidiaries included in the Company SEC Documents (including any notes thereto) filed or furnished with the SEC prior to the date hereof, (b) Liabilities arising in connection with the Transactions, (c) Liabilities incurred in the ordinary course of business since January 1, 2026, and (d) Liabilities which have not had and would not reasonably be expected to have, individually or in the aggregate, a Company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4.7.      </w:t>
      </w:r>
      <w:r>
        <w:rPr>
          <w:rFonts w:ascii="Times New Roman" w:hAnsi="Times New Roman"/>
          <w:b w:val="false"/>
          <w:color w:val="000000"/>
          <w:sz w:val="20"/>
          <w:u w:val="single"/>
        </w:rPr>
        <w:t>Intellectual Property</w:t>
      </w:r>
      <w:r>
        <w:rPr>
          <w:rFonts w:ascii="Times New Roman" w:hAnsi="Times New Roman"/>
          <w:b w:val="false"/>
          <w:color w:val="000000"/>
          <w:sz w:val="20"/>
        </w:rPr>
        <w:t>. Except as has not had and would not reasonably be expected to have, individually or in the aggregate, a Company Material Adverse Effect, (a) the Company or its Subsidiaries (including the Company Operating Partnership) own or are licensed or otherwise possess valid rights to use all Company Intellectual Property used in the conduct of the business of the Company and its Subsidiaries (including the Company Operating Partnership) as it is currently conducted; (b) to the Knowledge of the Company, the conduct of the business of the Company and its Subsidiaries (including the Company Operating Partnership) as it is currently conducted does not infringe, misappropriate or otherwise violate the Intellectual Property rights of any Person; (c) there are no pending or, to the Knowledge of the Company, threatened claims with respect to any of the Company Intellectual Property rights owned by the Company or any Subsidiary of the Company; and (d) to the Knowledge of the Company, no Person is currently infringing or misappropriating Company Intellectual Property owned by the Company or any Subsidiary of the Company. The Company and its Subsidiaries (including the Company Operating Partnership) have taken reasonable measures to protect the confidentiality of Trade Secrets used in the businesses of each of the Company and its Subsidiaries (including the Company Operating Partnership) as presently conducted, except where failure to do so would not reasonably be expected to have, individually or in the aggregate, a Company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4.8.         </w:t>
      </w:r>
      <w:r>
        <w:rPr>
          <w:rFonts w:ascii="Times New Roman" w:hAnsi="Times New Roman"/>
          <w:b w:val="false"/>
          <w:color w:val="000000"/>
          <w:sz w:val="20"/>
          <w:u w:val="single"/>
        </w:rPr>
        <w:t>Contracts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w:t>
      </w:r>
      <w:r>
        <w:rPr>
          <w:rFonts w:ascii="Times New Roman" w:hAnsi="Times New Roman"/>
          <w:b w:val="false"/>
          <w:color w:val="000000"/>
          <w:sz w:val="20"/>
          <w:u w:val="single"/>
        </w:rPr>
        <w:t>Section 4.8(a)</w:t>
      </w:r>
      <w:r>
        <w:rPr>
          <w:rFonts w:ascii="Times New Roman" w:hAnsi="Times New Roman"/>
          <w:b w:val="false"/>
          <w:color w:val="000000"/>
          <w:sz w:val="20"/>
        </w:rPr>
        <w:t xml:space="preserve"> of the Company Disclosure Letter contains an accurate and complete list, as of the date of this Agreement, of all Contracts (other than any Company Equity Plan) in effect as of the date hereof, of the following types to which the Company or any of its Subsidiaries (including the Company Operating Partnership) is a party or bound, other than a Benefit Plan (Contracts described in clauses (i) through (xi) are collectively referred to as the “</w:t>
      </w:r>
      <w:r>
        <w:rPr>
          <w:rFonts w:ascii="Times New Roman" w:hAnsi="Times New Roman"/>
          <w:b w:val="false"/>
          <w:color w:val="000000"/>
          <w:sz w:val="20"/>
          <w:u w:val="single"/>
        </w:rPr>
        <w:t>Company Material Contracts</w:t>
      </w:r>
      <w:r>
        <w:rPr>
          <w:rFonts w:ascii="Times New Roman" w:hAnsi="Times New Roman"/>
          <w:b w:val="false"/>
          <w:color w:val="000000"/>
          <w:sz w:val="20"/>
        </w:rPr>
        <w:t>”), true and complete copies of which have been made available to Parent prior to date of this Agreement: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           any Contract that is filed by the Company as a material Contract pursuant to Item 601(b)(10) of Regulation S-K of the SEC;</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         other than (A) Contracts providing for the acquisition, purchase, sale, funding, pledging, hedging or divestiture of mortgage backed securities and mortgage servicing rights entered into by the Company or its Subsidiaries (including the Company Operating Partnership) that are fully secured by the assets that are the subject of such repurchase agreement and in the ordinary course of business; and (B) repurchase agreements (as in effect as of the date hereof) to finance the purchase price of assets or refinance the Company’s repurchase obligations pursuant to such repurchase agreements, in each case in the ordinary course of the Company’s business, each merger, business combination, acquisition, purchase, sale or divestiture Contract that contains representations, covenants, indemnities or other obligations (including “earnout” or other contingent payment obligations) that would reasonably be expected to result in the receipt or making of future payments in excess of $250,000;</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(iii)        each Contract that grants any Lien (other than any Company Permitted Lien), including any right of first refusal or right of first offer, or that limits the ability of the Company, any Subsidiary of the Company or any of their respective Affiliates to own, operate, sell, transfer, pledge or otherwise dispose of any businesses, securities or assets (other than provisions requiring notice of or consent to assignment by any counterparty thereto);</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(iv)        each Contract relating to outstanding indebtedness (or commitments or guarantees in respect thereof) of the Company or any of its Subsidiaries (including the Company Operating Partnership) (whether incurred, assumed, guaranteed or secured by any asset) in excess of $250,000, other than agreements solely among the Company and its wholly owned Subsidiaries and other than obligations in respect of repurchase agreements that are fully secured by the assets that are the subject of such repurchase agreements, “dollar roll” transactions and similar financing arrangements, in each case entered into in the ordinary course of business;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(v)         each Contract that involves or constitutes an interest rate cap, interest rate collar, interest rate swap or other Contract relating to a forward, swap or other hedging transaction of any type, unless entered into for </w:t>
      </w:r>
      <w:r>
        <w:rPr>
          <w:rFonts w:ascii="Times New Roman" w:hAnsi="Times New Roman"/>
          <w:b w:val="false"/>
          <w:i/>
          <w:color w:val="000000"/>
          <w:sz w:val="20"/>
        </w:rPr>
        <w:t xml:space="preserve">bona fide </w:t>
      </w:r>
      <w:r>
        <w:rPr>
          <w:rFonts w:ascii="Times New Roman" w:hAnsi="Times New Roman"/>
          <w:b w:val="false"/>
          <w:color w:val="000000"/>
          <w:sz w:val="20"/>
        </w:rPr>
        <w:t>hedging purposes in the ordinary course of business;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      each employment Contract to which the Company or a Subsidiary of the Company is a party other than employment Contracts providing for at-will employment that can be terminated by the Company or its applicable Subsidiary at any time without prior notice and without liability to the Company or any of its Subsidiaries (including the Company Operating Partnership);</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(vii)        each Contract containing any non-compete, exclusivity or similar type of provision that materially restricts the ability of the Company or any of its Subsidiaries (including the Company Operating Partnership) (or Parent or its Affiliates upon consummation of the Transactions) to compete in any line of business or with any Person or geographic area;</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(viii)      each material partnership, joint venture, limited liability company or strategic alliance agreement to which the Company or a Subsidiary of the Company is a party (other than any such agreement solely between or among the Company and its wholly owned Subsidiaries);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(ix)        each Contract between or among the Company or any Subsidiary of the Company, on the one hand, and any officer, director or Affiliate (other than a wholly owned Subsidiary of the Company) of the Company or any of its Subsidiaries (including the Company Operating Partnership) or any of their respective “associates” or “immediate family” members (as such terms are defined in Rule 12b-2 and Rule 16a-1 of the Exchange Act), on the other hand;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(x)        each vendor, supplier or third-party consulting or similar Contract not otherwise described in this </w:t>
      </w:r>
      <w:r>
        <w:rPr>
          <w:rFonts w:ascii="Times New Roman" w:hAnsi="Times New Roman"/>
          <w:b w:val="false"/>
          <w:color w:val="000000"/>
          <w:sz w:val="20"/>
          <w:u w:val="single"/>
        </w:rPr>
        <w:t>Section 4.8(a)</w:t>
      </w:r>
      <w:r>
        <w:rPr>
          <w:rFonts w:ascii="Times New Roman" w:hAnsi="Times New Roman"/>
          <w:b w:val="false"/>
          <w:color w:val="000000"/>
          <w:sz w:val="20"/>
        </w:rPr>
        <w:t xml:space="preserve"> that (A) cannot be voluntarily terminated pursuant to its terms within sixty (60) days after the Company Merger Effective Time and (B) under which it is reasonably expected that the Company or any of its Subsidiaries (including the Company Operating Partnership) will be required to pay fees, expenses or other costs in excess of $250,000 following the Company Merger Effective Time; and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(xi)        each Contract for the purchase, sale, acquisition, disposition, lease, sublease, license, sublicense, use or occupancy of any real property (including, without limitation, any Leased Real Property or any direct or indirect interest in any real property).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Neither the Company nor any Subsidiary of the Company is in breach of or default under any Company Material Contract and, to the Knowledge of the Company, as of the date hereof, no other party to any Company Material Contract is in breach of or default under any Company Material Contract, and no event has occurred through the Company’s or any of its Subsidiaries’ (including the Company Operating Partnership’s)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Company Material Contract, in each case except as has not had and would not reasonably be expected to have, individually or in the aggregate, a Company Material Adverse Effect. Each Company Material Contract (i) is a valid and binding obligation of the Company or the Subsidiary of the Company that is party thereto and, to the Knowledge of the Company, of each other party thereto; and (ii) is in full force and effect, subject to the Enforceability Exceptions, in each case except as has not had and would not reasonably be expected to have, individually or in the aggregate, a Company Material Adverse Effect. Neither the Company nor any of its Subsidiaries (including the Company Operating Partnership) has received any written notice of any other party to a Company Material Contract to terminate for default, convenience or otherwise, or not renew, any Company Material Contract, in each case except as has not had and would not reasonably be expected to have, individually or in the aggregate, a Company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4.9.       </w:t>
      </w:r>
      <w:r>
        <w:rPr>
          <w:rFonts w:ascii="Times New Roman" w:hAnsi="Times New Roman"/>
          <w:b w:val="false"/>
          <w:color w:val="000000"/>
          <w:sz w:val="20"/>
          <w:u w:val="single"/>
        </w:rPr>
        <w:t>Insurance</w:t>
      </w:r>
      <w:r>
        <w:rPr>
          <w:rFonts w:ascii="Times New Roman" w:hAnsi="Times New Roman"/>
          <w:b w:val="false"/>
          <w:color w:val="000000"/>
          <w:sz w:val="20"/>
        </w:rPr>
        <w:t>. Except as has not had and would not reasonably be expected to have, individually or in the aggregate, a Company Material Adverse Effect, the Company maintains insurance with insurers in such amounts and against such risks as the management of the Company has in good faith determined to be prudent and appropriate, all material insurance policies maintained by or for the benefit of the Company or any of its Subsidiaries (including the Company Operating Partnership), or otherwise covering the business of the Company and its Subsidiaries, are in full force and effect in accordance with their terms and, to the Knowledge of the Company, no written notice of cancelation or non-renewal of such policies has been received, and there is no existing breach, default or event which, with or without notice or the lapse of time or both, would constitute a breach or default or permit termination or modification of any such policies.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4.10.       </w:t>
      </w:r>
      <w:r>
        <w:rPr>
          <w:rFonts w:ascii="Times New Roman" w:hAnsi="Times New Roman"/>
          <w:b w:val="false"/>
          <w:color w:val="000000"/>
          <w:sz w:val="20"/>
          <w:u w:val="single"/>
        </w:rPr>
        <w:t>Employee Benefits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w:t>
      </w:r>
      <w:r>
        <w:rPr>
          <w:rFonts w:ascii="Times New Roman" w:hAnsi="Times New Roman"/>
          <w:b w:val="false"/>
          <w:color w:val="000000"/>
          <w:sz w:val="20"/>
          <w:u w:val="single"/>
        </w:rPr>
        <w:t>Section 4.10(a)</w:t>
      </w:r>
      <w:r>
        <w:rPr>
          <w:rFonts w:ascii="Times New Roman" w:hAnsi="Times New Roman"/>
          <w:b w:val="false"/>
          <w:color w:val="000000"/>
          <w:sz w:val="20"/>
        </w:rPr>
        <w:t xml:space="preserve"> of the Company Disclosure Letter sets forth an accurate and complete list of each Company Benefit Plan and each PEO Benefit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With respect to each Company Benefit Plan, the Company has made available to Parent accurate and complete copies of each of the following, to the extent applicable: (i) where the Company Benefit Plan has been reduced to writing, the plan document together with all amendments; (ii) where the Company Benefit Plan has not been reduced to writing, a written summary of all material plan terms; (iii) the most current trust agreements or other funding arrangements, custodial agreements, insurance policies and contracts, administration agreements and similar agreements, and investment management or investment advisory agreements, now in effect; (iv) the most recent summary plan description and any subsequent summaries of material modifications relating to any Company Benefit Plan; (v) in the case of any Company Benefit Plan that is intended to be qualified under Section 401(a) of the Code, the most recent determination, opinion or advisory letter from the Internal Revenue Service; (vi) in the case of any Company Benefit Plan for which a Form 5500 is required to be filed, the three most recently filed Forms 5500, with schedules and financial statements attached (if applicable); (vii) actuarial reports received for any Company Benefit Plan with respect to the three most recently completed plan years; (viii) nondiscrimination testing results for the most recent three years; (ix) Forms 1094 and 1095 and summaries of benefits and coverage for the past three years; and (x) any non-routine correspondence with any Governmental Authority within the last three years.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Each Company Benefit Plan that is intended to be qualified under Section 401(a) of the Code and, to the Knowledge of the Company, each PEO Benefit Plan that is intended to be qualified under Section 401(a) of the Code, either has received a current favorable determination letter from the IRS as to its qualified status or may rely upon a current favorable prototype opinion letter from the IRS for a prototype plan, and, to the Knowledge of the Company, no fact or event has occurred that would reasonably be expected to adversely affect the qualified status of any such Company Benefit Plan. Each Company Benefit Plan (and any related trust or other funding vehicle) has been established, maintained, funded and administered in all material respects in accordance with its terms and in all material respects in compliance with ERISA, the Code and other applicable Laws, and, to the Knowledge of the Company, no event has occurred and no condition exists with respect to any Company Benefit Plan that would reasonably be expected to result in any material Tax, penalty or other liability or obligation of the Company or any of its Subsidiaries, including with respect to Sections 6055, 6056, 4980B, 4980D and 4980H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Except as set forth on </w:t>
      </w:r>
      <w:r>
        <w:rPr>
          <w:rFonts w:ascii="Times New Roman" w:hAnsi="Times New Roman"/>
          <w:b w:val="false"/>
          <w:color w:val="000000"/>
          <w:sz w:val="20"/>
          <w:u w:val="single"/>
        </w:rPr>
        <w:t>Section 4.10(d)</w:t>
      </w:r>
      <w:r>
        <w:rPr>
          <w:rFonts w:ascii="Times New Roman" w:hAnsi="Times New Roman"/>
          <w:b w:val="false"/>
          <w:color w:val="000000"/>
          <w:sz w:val="20"/>
        </w:rPr>
        <w:t xml:space="preserve"> of the Company Disclosure Letter, no Company Benefit Plan is, and the Company does not maintain, sponsor, participate in, contribute to, or have any obligation to contribute to, or have any other current or contingent liability or obligations (including, solely in the case of clauses (i), (ii) and (iii) below, on account of an ERISA Affiliate) under or with respect to, (i) any “defined benefit plan” as defined in Section 3(35) of ERISA, (ii) any other plan that is or was subject to Section 302 or Title IV of ERISA or Section 412 of the Code, (iii) any Multiemployer Plan, (iv) any multiple employer plan within the meaning of Section 413(c) of the Code or (v) any “multiple employer welfare arrangement” within the meaning of Section 3(40) of ERISA.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No Company Benefit Plan provides any current or potential obligation to provide post-employment or retiree health, medical or other welfare benefits coverage, other than health care continuation coverage required by Section 4980B of the Code or other applicable Law for which the recipient pays the full premium cost of coverage or coverage through the end of the calendar month in which a termination of employment occurs.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To the Knowledge of the Company, there has been no non-exempt “prohibited transaction” within the meaning of Section 4975 of the Code or Section 406 of ERISA or breach of fiduciary duty (as determined under ERISA) with respect to any Company Benefit Plan that is an “employee benefit plan” within the meaning of Section 3(3) of ERISA, and all contributions (including all employer contributions and employee salary reduction contributions), have been timely made, paid or properly accrued in all material respects accordance with the terms of the Company Benefit Plan and the requirements of applicable Law. There is no pending or, to the Knowledge of the Company, threatened in writing action, suit, litigation, arbitration, mediation, investigation, audit, administrative proceeding or other similar legal, regulatory or dispute resolution proceeding relating to any Company Benefit Plan, other than routine claims for benefits and appeals thereof.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(g)        Except as set forth in </w:t>
      </w:r>
      <w:r>
        <w:rPr>
          <w:rFonts w:ascii="Times New Roman" w:hAnsi="Times New Roman"/>
          <w:b w:val="false"/>
          <w:color w:val="000000"/>
          <w:sz w:val="20"/>
          <w:u w:val="single"/>
        </w:rPr>
        <w:t>Section 4.10(g)</w:t>
      </w:r>
      <w:r>
        <w:rPr>
          <w:rFonts w:ascii="Times New Roman" w:hAnsi="Times New Roman"/>
          <w:b w:val="false"/>
          <w:color w:val="000000"/>
          <w:sz w:val="20"/>
        </w:rPr>
        <w:t xml:space="preserve"> of the Company Disclosure Letter, neither the execution by the Company or the Company Operating Partnership of this Agreement nor the consummation of the Transactions could (either alone or in combination with any additional or subsequent events): (i) increase the amount or value of any compensation or benefits (whether in cash, property, the vesting of property or otherwise) due to any Company Service Provider; (ii) result in or cause any acceleration of the time of payment or vesting of any compensation or benefits, or trigger any funding or payment of any compensation or benefits (including funding of compensation or benefits through a trust or otherwise); (iii) result in any severance, termination or similar types of payments or benefits; (iv) result in any forgiveness of indebtedness to any Company Service Provider; (v) require a contribution by the Company or any of its ERISA Affiliates to any Company Benefit Plan; or (vi) limit or restrict the ability to merge, amend or terminate any Company Benefit Plan. No amounts paid or payable by any of the Company or any of its Subsidiaries is subject to any Tax or penalty imposed under Section 457A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(h)          Each Company Benefit Plan that constitutes in any part a “nonqualified deferred compensation plan” (within the meaning of Section 409A of the Code) been operated and administered in all material respects in operational compliance with, and is in all material respects in documentary compliance with, Section 409A of the Code and applicable guidance thereunder and no amount payable under any such Company Benefit Plan has been or is reasonably expected to be, subject to interest, penalties or additional tax under Section 409A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          No payment or benefit, individually or together with any other payment or benefit, that could be received (whether in cash, property or the vesting of property), as a result of the Transactions, either alone or in combination with another any other event, by any individual or Company Service Provider shall be nondeductible by reason of Section 280G of the Code or subject to an excise tax under Section 4999 of the Code after taking into account any payment or benefit provided, promised, granted, accelerated or contemplated by the Company or any of its Subsidiaries and, to the extent disclosed in writing to the Company or its Representatives prior to the date of this Agreement, by Parent or any of its Affiliates, or pursuant to any contract, plan, arrangement, agreement, commitment, understanding or other undertaking, entered into by any of the foregoing or their direction, in each case in connection with, contingent upon or otherwise relating to the Transactions. Neither the Company nor any of its ERISA Affiliates has any current or contingent obligation to indemnify, gross- up, reimburse or otherwise make whole any individual for any Taxes or related interest or penalties incurred by such individual, including under Section 409A or 4999 of the Code or otherwise.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(j)        To the Knowledge of the Company, each Company Partnership Unit that is intended to constitute a “profits interest” within the meaning of Rev. Proc. 93-27, 1993-2 C.B. 343 and Rev. Proc. 2001-43, 2001-2 C.B. 191 so qualifies and each holder of a Company Partnership Unit made a timely election under Section 83(b) of the Code.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(k)        Each Company RSU Award and each Company PSU Award (i) constitutes a “short-term deferral” within the meaning of, and is exempt from Section 409A of the Code pursuant to, Treasury Regulation Section 1.409A-1(b)(4), and (ii) by its terms is, and at all relevant times has been, required to be settled and paid no later than the fifteenth (15th) day of the third month following the end of the first taxable year in which the applicable award (or the relevant portion thereof) is no longer subject to a substantial risk of forfeiture. No Company RSU Award or Company PSU Award provides for, or is subject to any election permitting, payment or settlement upon or after any date or event (including a separation from service, a specified date or schedule, or a change in control) that could occur later than the end of such short-term deferral period. Accordingly, the vesting, cancellation, conversion, settlement, and payment of the Company RSU Awards and Company PSU Awards as contemplated by Section 3.1(c) will not result in the imposition of any Tax, interest, or penalty under Section 409A of the Code on any holder thereof. The execution and delivery of this Agreement and the consummation of the Transactions (including the Company Merger) constitute, and satisfy the definition of, a “change in control” (or term of similar import) under each Company Equity Plan and under each applicable award or grant agreement governing the Company RSU Awards, Company PSU Awards, and Company Restricted Stock Awards, in each case such that the treatment of such awards set forth in Section 3.1(c) is permitted by, and may be effected in accordance with, the terms of the applicable Company Equity Plan and award or grant agreement without the consent of any holder and without any acceleration, payment, or settlement that is not otherwise permitted thereunder.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4.11.       </w:t>
      </w:r>
      <w:r>
        <w:rPr>
          <w:rFonts w:ascii="Times New Roman" w:hAnsi="Times New Roman"/>
          <w:b w:val="false"/>
          <w:color w:val="000000"/>
          <w:sz w:val="20"/>
          <w:u w:val="single"/>
        </w:rPr>
        <w:t>Labor Matters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Neither the Company nor any of its Subsidiaries is a party to, bound by or negotiating with respect to any collective bargaining agreement or other Contract with a labor union or labor organization, and no labor union or labor organization is representing or, to the Knowledge of the Company, purporting to represent any employee of the Company or any of its Subsidiaries. Neither the Company nor any of its Subsidiaries is, or since November 14, 2024 has been, subject to a material labor dispute, strike or work stoppage.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Except as would not, individually or in the aggregate, reasonably be likely to have a Company Material Adverse Effect, (i) since November 14, 2024, the Company and each of its Subsidiaries has been in compliance with all applicable employment Laws and (ii) there are no claims pending or, to the Knowledge of the Company, threatened in writing alleging violation of applicable employment Law, and no such claims have been pending or, to the Knowledge of the Company, threatened in writing since November 14,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As of the date hereof, the Company has provided Parent a true and complete list of each employee of the Company or any of its Subsidiaries that specifies for each such individual, to the extent applicable, his or her: (i) name; (ii) job title; (iii) employing entity; (iv) hire date and service date (if different than hire date); (v) status as exempt or non-exempt under the Fair Labor Standards Act; (vi) current annualized salary or hourly rate of pay, as applicable; (vii) eligibility to receive other compensation (including bonus, severance, commissions, profit-sharing, pension benefits and any other non-wage compensation); (viii) leave status (including type of leave, duration of leave and expected return date); (ix) details of any applicable visa, work permit or other work authorization, including details regarding sponsoring entity and date of expiration, as applicable; and (x) primary location of employment.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4.12.      </w:t>
      </w:r>
      <w:r>
        <w:rPr>
          <w:rFonts w:ascii="Times New Roman" w:hAnsi="Times New Roman"/>
          <w:b w:val="false"/>
          <w:color w:val="000000"/>
          <w:sz w:val="20"/>
          <w:u w:val="single"/>
        </w:rPr>
        <w:t>Taxes</w:t>
      </w:r>
      <w:r>
        <w:rPr>
          <w:rFonts w:ascii="Times New Roman" w:hAnsi="Times New Roman"/>
          <w:b w:val="false"/>
          <w:color w:val="000000"/>
          <w:sz w:val="20"/>
        </w:rPr>
        <w:t xml:space="preserve">. Except as would not reasonably be expected to have, individually or in the aggregate, a Company Material Adverse Effect, provided that any breach of the representations or warranties in </w:t>
      </w:r>
      <w:r>
        <w:rPr>
          <w:rFonts w:ascii="Times New Roman" w:hAnsi="Times New Roman"/>
          <w:b w:val="false"/>
          <w:color w:val="000000"/>
          <w:sz w:val="20"/>
          <w:u w:val="single"/>
        </w:rPr>
        <w:t>Section 4.12(b)</w:t>
      </w:r>
      <w:r>
        <w:rPr>
          <w:rFonts w:ascii="Times New Roman" w:hAnsi="Times New Roman"/>
          <w:b w:val="false"/>
          <w:color w:val="000000"/>
          <w:sz w:val="20"/>
        </w:rPr>
        <w:t xml:space="preserve">, </w:t>
      </w:r>
      <w:r>
        <w:rPr>
          <w:rFonts w:ascii="Times New Roman" w:hAnsi="Times New Roman"/>
          <w:b w:val="false"/>
          <w:color w:val="000000"/>
          <w:sz w:val="20"/>
          <w:u w:val="single"/>
        </w:rPr>
        <w:t>(c)</w:t>
      </w:r>
      <w:r>
        <w:rPr>
          <w:rFonts w:ascii="Times New Roman" w:hAnsi="Times New Roman"/>
          <w:b w:val="false"/>
          <w:color w:val="000000"/>
          <w:sz w:val="20"/>
        </w:rPr>
        <w:t xml:space="preserve"> or </w:t>
      </w:r>
      <w:r>
        <w:rPr>
          <w:rFonts w:ascii="Times New Roman" w:hAnsi="Times New Roman"/>
          <w:b w:val="false"/>
          <w:color w:val="000000"/>
          <w:sz w:val="20"/>
          <w:u w:val="single"/>
        </w:rPr>
        <w:t>(s)</w:t>
      </w:r>
      <w:r>
        <w:rPr>
          <w:rFonts w:ascii="Times New Roman" w:hAnsi="Times New Roman"/>
          <w:b w:val="false"/>
          <w:color w:val="000000"/>
          <w:sz w:val="20"/>
        </w:rPr>
        <w:t xml:space="preserve"> shall be deemed to have a Company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The Company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The Company: (i) for its taxable years commencing with the Company’s short taxable year that ended on December 31, 2013,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The Company Sub-REIT: (i) for its taxable years commencing with the Company Sub-REIT’s taxable year that ended on December 31, 2020,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Each of the Company’s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The Company has made available to Parent complete and accurate copies of all U.S. federal and all other material Tax Returns filed by or on behalf of the Company or its Subsidiaries for any Tax period ending after December 31, 2016.</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Neither the Company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(g)        (i) There are no audits, investigations by any Governmental Authority or other proceedings pending or, to the Knowledge of the Company, threatened with regard to any material Taxes or Tax Returns of the Company or any of its Subsidiaries; (ii) no material deficiency for Taxes of the Company or any of its Subsidiaries has been claimed, proposed or assessed in writing or, to the Knowledge of the Company, threatened, by any Governmental Authority; (iii) neither the Company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the Company nor any of its Subsidiaries is currently the beneficiary of any extension of time within which to file any material Tax Return that remains unfiled (other than pursuant to extensions of time to file Tax Returns obtained in the ordinary course of business); and (v) neither the Company nor any of its Subsidiaries has entered into any “closing agreement” as described in Section 7121 of the Code (or any corresponding or similar provision of state, local or foreign income Tax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(h)         Since the Company’s formation, (i) neither the Company nor any of its Subsidiaries has incurred any material liability for Taxes under Sections 857(b), 857(f), 860(c) or 4981 of the Code which have not been previously paid and (ii) neither the Company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the Company, no condition or circumstance exists, which presents a material risk that any material amount of Tax described in the previous sentence will be imposed upon the Company or any of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        The Company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(j)          There are no material Tax Liens upon any property or assets of the Company or any of its Subsidiaries except for Company Permitted Liens.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(k)          Neither the Company nor any of its Subsidiaries has requested, has received or is subject to any written ruling of a Taxing Authority or has entered into any written agreement with a Taxing Authority.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(l)          There are no Tax allocation, protection or sharing agreements or similar arrangements with respect to or involving the Company or any of its Subsidiaries, and after the Closing Date neither the Company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(m)        Except as provided in </w:t>
      </w:r>
      <w:r>
        <w:rPr>
          <w:rFonts w:ascii="Times New Roman" w:hAnsi="Times New Roman"/>
          <w:b w:val="false"/>
          <w:color w:val="000000"/>
          <w:sz w:val="20"/>
          <w:u w:val="single"/>
        </w:rPr>
        <w:t>Section 4.12(m)</w:t>
      </w:r>
      <w:r>
        <w:rPr>
          <w:rFonts w:ascii="Times New Roman" w:hAnsi="Times New Roman"/>
          <w:b w:val="false"/>
          <w:color w:val="000000"/>
          <w:sz w:val="20"/>
        </w:rPr>
        <w:t xml:space="preserve"> of the Company Disclosure Letter, neither the Company nor any of its Subsidiaries (i) has been a member of an affiliated group filing a consolidated U.S. federal income Tax Return or (ii) has any material liability for the Taxes of any Person (other than the Company or any of its Subsidiaries) under Treasury Regulation Section 1.1502-6 (or any similar provision of state, local or foreign Tax Law), as a transferee or successor, or otherwise by Law or Contract.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(n)        Neither the Company nor any of its Subsidiaries has participated in any “listed transaction” within the meaning of Treasury Regulation Section 1.6011-4(b)(2).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(o)        Neither the Company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(p)        Neither the Company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(q)         No written power of attorney that has been granted by the Company or any of its Subsidiaries (other than to the Company or any of its Subsidiaries) is currently in force with respect to any matter relating to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(r)          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(s)         Neither the Company nor any of its Subsidiaries have experienced an ownership change within the meaning of Section 382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(t)         Neither the Company nor any of its Subsidiaries has taken any action or failed to take any action which action or failure would reasonably be expected to jeopardize, nor, to the Knowledge of the Company, is there any other fact or circumstance that could be reasonably expected to prevent, the Company Merger from qualifying as a reorganization within the meaning of Section 368(a)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(u)         Each of the Company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Notwithstanding any other provision of this Agreement, it is agreed and understood that no representation or warranty is made by the Company or the Company Operating Partnership in this Agreement with respect to Taxes, other than the representations and warranties of the Company in </w:t>
      </w:r>
      <w:r>
        <w:rPr>
          <w:rFonts w:ascii="Times New Roman" w:hAnsi="Times New Roman"/>
          <w:b w:val="false"/>
          <w:color w:val="000000"/>
          <w:sz w:val="20"/>
          <w:u w:val="single"/>
        </w:rPr>
        <w:t>Section 4.10</w:t>
      </w:r>
      <w:r>
        <w:rPr>
          <w:rFonts w:ascii="Times New Roman" w:hAnsi="Times New Roman"/>
          <w:b w:val="false"/>
          <w:color w:val="000000"/>
          <w:sz w:val="20"/>
        </w:rPr>
        <w:t xml:space="preserve"> and this </w:t>
      </w:r>
      <w:r>
        <w:rPr>
          <w:rFonts w:ascii="Times New Roman" w:hAnsi="Times New Roman"/>
          <w:b w:val="false"/>
          <w:color w:val="000000"/>
          <w:sz w:val="20"/>
          <w:u w:val="single"/>
        </w:rPr>
        <w:t>Section 4.12</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4.13.     </w:t>
      </w:r>
      <w:r>
        <w:rPr>
          <w:rFonts w:ascii="Times New Roman" w:hAnsi="Times New Roman"/>
          <w:b w:val="false"/>
          <w:color w:val="000000"/>
          <w:sz w:val="20"/>
          <w:u w:val="single"/>
        </w:rPr>
        <w:t>Litigation</w:t>
      </w:r>
      <w:r>
        <w:rPr>
          <w:rFonts w:ascii="Times New Roman" w:hAnsi="Times New Roman"/>
          <w:b w:val="false"/>
          <w:color w:val="000000"/>
          <w:sz w:val="20"/>
        </w:rPr>
        <w:t>. Except as has not had and would not reasonably be expected to have, individually or in the aggregate, a Company Material Adverse Effect, as of the date of this Agreement, (a) none of the Company or its Subsidiaries is subject to any Order, and (b) there is no charge, complaint, claim, action, suit, arbitration, prosecution or proceeding (whether civil, criminal or regulatory) in Law or in equity (“</w:t>
      </w:r>
      <w:r>
        <w:rPr>
          <w:rFonts w:ascii="Times New Roman" w:hAnsi="Times New Roman"/>
          <w:b w:val="false"/>
          <w:color w:val="000000"/>
          <w:sz w:val="20"/>
          <w:u w:val="single"/>
        </w:rPr>
        <w:t>Litigation</w:t>
      </w:r>
      <w:r>
        <w:rPr>
          <w:rFonts w:ascii="Times New Roman" w:hAnsi="Times New Roman"/>
          <w:b w:val="false"/>
          <w:color w:val="000000"/>
          <w:sz w:val="20"/>
        </w:rPr>
        <w:t>”) before any Governmental Authority, court or quasi-judicial or administrative agency of any federal, state, local or foreign jurisdiction, arbitrator or mediator, pending, or, to the Knowledge of the Company, threatened, against any of the Company or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4.14.       </w:t>
      </w:r>
      <w:r>
        <w:rPr>
          <w:rFonts w:ascii="Times New Roman" w:hAnsi="Times New Roman"/>
          <w:b w:val="false"/>
          <w:color w:val="000000"/>
          <w:sz w:val="20"/>
          <w:u w:val="single"/>
        </w:rPr>
        <w:t>Compliance with Laws; Permits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Except as has not had and would not reasonably be expected to have, individually or in the aggregate, a Company Material Adverse Effect, the Company and each of its Subsidiaries are, and since January 1, 2024, have been, in compliance in all respects with all applicable federal, state, local and foreign laws (including common law), statutes, codes, ordinances, rules, regulations, judgments, Orders, injunctions, decrees or agency requirements of Governmental Authorities (collectively, “</w:t>
      </w:r>
      <w:r>
        <w:rPr>
          <w:rFonts w:ascii="Times New Roman" w:hAnsi="Times New Roman"/>
          <w:b w:val="false"/>
          <w:color w:val="000000"/>
          <w:sz w:val="20"/>
          <w:u w:val="single"/>
        </w:rPr>
        <w:t>Laws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Except as has not had and would not reasonably be expected to have, individually or in the aggregate, a Company Material Adverse Effect, the Company and its Subsidiaries hold all Permits necessary for the Company and its Subsidiaries to own, lease and operate their properties and assets and to carry on and operate their businesses as currently conducted. Except as has not had, and would not reasonably be expected to have, individually or in the aggregate, a Company Material Adverse Effect, or would not reasonably be expected, individually or in the aggregate, to prevent or materially impair or delay the ability of the Company and its Subsidiaries to consummate the Transactions before the Termination Date: (i) all such Permits are in full force and effect; (ii) since January 1, 2024, the Company and each of its Subsidiaries have been in compliance with the terms of all such Permits; and (iii) there is, and since January 1, 2024 has been, no Litigation pending or, to the Knowledge of the Company, threatened in writing asserting any violation of any such Permit or seeking the revocation, cancellation, suspension, limitation or adverse modification of any such Permit.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Except as has not had, and would not reasonably be expected to have, individually or in the aggregate, a Company Material Adverse Effect, (i) since January 1, 2024 through the date of this Agreement, neither the Company nor any of its Subsidiaries has received written notice or, to the Knowledge of the Company, any other communication from any Governmental Authority alleging any breach of any Governmental Authorization necessary for the ownership and operation of their businesses, (ii) since January 1, 2024, neither the Company nor any of its Subsidiaries has received written notice or, to the Knowledge of the Company, any other communication from any Governmental Authority regarding any actual or threatened involuntary revocation, withdrawal, suspension, cancellation or termination of any such Governmental Authorization and (iii) to the Knowledge of the Company, no event has occurred and is continuing which would be grounds for revocation, withdrawal, suspension, cancellation, or termination of any such Governmental Authorization.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Other than Aurora Financial Group, Inc. (“</w:t>
      </w:r>
      <w:r>
        <w:rPr>
          <w:rFonts w:ascii="Times New Roman" w:hAnsi="Times New Roman"/>
          <w:b w:val="false"/>
          <w:color w:val="000000"/>
          <w:sz w:val="20"/>
          <w:u w:val="single"/>
        </w:rPr>
        <w:t>Aurora</w:t>
      </w:r>
      <w:r>
        <w:rPr>
          <w:rFonts w:ascii="Times New Roman" w:hAnsi="Times New Roman"/>
          <w:b w:val="false"/>
          <w:color w:val="000000"/>
          <w:sz w:val="20"/>
        </w:rPr>
        <w:t>”), no Subsidiary of the Company is required to be licensed or registered with any Governmental Authority as an owner or servicer of Mortgage Loans. Aurora holds all Governmental Authorizations to act as, owner or servicer of Mortgage Loans to the extent required to carry on their businesses as they are now being conducted, except where the failure to have any such Governmental Authorizations has not had, and would not reasonably be expected to have, individually or in the aggregate, a Company Material Adverse Effect and would not reasonably be expected, individually or in the aggregate, to prevent or materially impair or delay the ability of the Company and its Subsidiaries to consummate the Transactions before the Termination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Aurora (i) is approved and in good standing, to the extent applicable to its business, as an issuer of the Government National Mortgage Association, as a seller/servicer or servicer of the Federal National Mortgage Association and the Federal Home Loan Mortgage Corporation, and as a lender of the Federal Housing Administration and the United States Department of Veterans Affairs, and (ii) has not received any written or, to the Knowledge of the Company, any oral or other notice of any actual or threatened cancellation or suspension of, or material limitation on, its status as an approved issuer or seller/servicer, as applicable, from any of the foregoing Governmental Authorities, and to the Knowledge of the Company, no event has occurred and is continuing that would reasonably be expected to result in such cancellation, suspension or material limitation in connection with its activities as a mortgage servicer.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Except as has not had, and would not reasonably be expected to have, individually or in the aggregate, a Company Material Adverse Effect, (i) the Company and its Subsidiaries are, and since January 1, 2024 have been, in compliance with the Company’s and its Subsidiaries’ servicing or, as applicable, subservicing or master servicing, obligations under all Company Applicable Requirements, (ii) through the date of this Agreement, neither the Company nor any of its Subsidiaries has received written or, to the Knowledge of the Company, oral or other notice of any pending or threatened cancellation or termination of any Company Servicing Agreement or Company Subservicing Agreement, and (iii) there has been no servicer default or servicer termination event, and there has been no event, condition, or omission that would reasonably constitute a default or breach, under any such Company Servicing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(g)         Notwithstanding anything contained in this </w:t>
      </w:r>
      <w:r>
        <w:rPr>
          <w:rFonts w:ascii="Times New Roman" w:hAnsi="Times New Roman"/>
          <w:b w:val="false"/>
          <w:color w:val="000000"/>
          <w:sz w:val="20"/>
          <w:u w:val="single"/>
        </w:rPr>
        <w:t>Section 4.14</w:t>
      </w:r>
      <w:r>
        <w:rPr>
          <w:rFonts w:ascii="Times New Roman" w:hAnsi="Times New Roman"/>
          <w:b w:val="false"/>
          <w:color w:val="000000"/>
          <w:sz w:val="20"/>
        </w:rPr>
        <w:t xml:space="preserve">, no representation or warranty shall be deemed to be made in this </w:t>
      </w:r>
      <w:r>
        <w:rPr>
          <w:rFonts w:ascii="Times New Roman" w:hAnsi="Times New Roman"/>
          <w:b w:val="false"/>
          <w:color w:val="000000"/>
          <w:sz w:val="20"/>
          <w:u w:val="single"/>
        </w:rPr>
        <w:t>Section 4.14</w:t>
      </w:r>
      <w:r>
        <w:rPr>
          <w:rFonts w:ascii="Times New Roman" w:hAnsi="Times New Roman"/>
          <w:b w:val="false"/>
          <w:color w:val="000000"/>
          <w:sz w:val="20"/>
        </w:rPr>
        <w:t xml:space="preserve"> in respect of Tax, employee benefits or labor matters.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4.15.      </w:t>
      </w:r>
      <w:r>
        <w:rPr>
          <w:rFonts w:ascii="Times New Roman" w:hAnsi="Times New Roman"/>
          <w:b w:val="false"/>
          <w:color w:val="000000"/>
          <w:sz w:val="20"/>
          <w:u w:val="single"/>
        </w:rPr>
        <w:t>Absence of Changes</w:t>
      </w:r>
      <w:r>
        <w:rPr>
          <w:rFonts w:ascii="Times New Roman" w:hAnsi="Times New Roman"/>
          <w:b w:val="false"/>
          <w:color w:val="000000"/>
          <w:sz w:val="20"/>
        </w:rPr>
        <w:t>. Since December 31, 2025, through the date of this Agreement, except for the discussion and negotiation of this Agreement, the Company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Company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4.16.       </w:t>
      </w:r>
      <w:r>
        <w:rPr>
          <w:rFonts w:ascii="Times New Roman" w:hAnsi="Times New Roman"/>
          <w:b w:val="false"/>
          <w:color w:val="000000"/>
          <w:sz w:val="20"/>
          <w:u w:val="single"/>
        </w:rPr>
        <w:t>Real Property</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Neither the Company nor any Subsidiary of the Company owns any direct or indirect interest in any real property, other than as and to the extent disclosed in </w:t>
      </w:r>
      <w:r>
        <w:rPr>
          <w:rFonts w:ascii="Times New Roman" w:hAnsi="Times New Roman"/>
          <w:b w:val="false"/>
          <w:color w:val="000000"/>
          <w:sz w:val="20"/>
          <w:u w:val="single"/>
        </w:rPr>
        <w:t>Section 4.16(a)</w:t>
      </w:r>
      <w:r>
        <w:rPr>
          <w:rFonts w:ascii="Times New Roman" w:hAnsi="Times New Roman"/>
          <w:b w:val="false"/>
          <w:color w:val="000000"/>
          <w:sz w:val="20"/>
        </w:rPr>
        <w:t xml:space="preserve"> of the Company Disclosure Letter, and neither the Company nor any Subsidiary of the Company is a party to any Contract for the purchase or acquisition of any direct or indirect interest in any real property.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w:t>
      </w:r>
      <w:r>
        <w:rPr>
          <w:rFonts w:ascii="Times New Roman" w:hAnsi="Times New Roman"/>
          <w:b w:val="false"/>
          <w:color w:val="000000"/>
          <w:sz w:val="20"/>
          <w:u w:val="single"/>
        </w:rPr>
        <w:t>Section 4.16(b)</w:t>
      </w:r>
      <w:r>
        <w:rPr>
          <w:rFonts w:ascii="Times New Roman" w:hAnsi="Times New Roman"/>
          <w:b w:val="false"/>
          <w:color w:val="000000"/>
          <w:sz w:val="20"/>
        </w:rPr>
        <w:t xml:space="preserve"> of the Company Disclosure Letter contains an accurate and complete list of all Contracts (each, together with all amendments, modifications, supplements, renewals, extensions, guaranties and other agreements with respect thereto, collectively, a “</w:t>
      </w:r>
      <w:r>
        <w:rPr>
          <w:rFonts w:ascii="Times New Roman" w:hAnsi="Times New Roman"/>
          <w:b w:val="false"/>
          <w:color w:val="000000"/>
          <w:sz w:val="20"/>
          <w:u w:val="single"/>
        </w:rPr>
        <w:t>Real Property Lease</w:t>
      </w:r>
      <w:r>
        <w:rPr>
          <w:rFonts w:ascii="Times New Roman" w:hAnsi="Times New Roman"/>
          <w:b w:val="false"/>
          <w:color w:val="000000"/>
          <w:sz w:val="20"/>
        </w:rPr>
        <w:t>”) pursuant to which the Company or any of the Subsidiaries leases, subleases, licenses, sublicenses, uses or occupies real property as tenant, lessee or sublessee (as applicable) (the “</w:t>
      </w:r>
      <w:r>
        <w:rPr>
          <w:rFonts w:ascii="Times New Roman" w:hAnsi="Times New Roman"/>
          <w:b w:val="false"/>
          <w:color w:val="000000"/>
          <w:sz w:val="20"/>
          <w:u w:val="single"/>
        </w:rPr>
        <w:t>Leased Real Property</w:t>
      </w:r>
      <w:r>
        <w:rPr>
          <w:rFonts w:ascii="Times New Roman" w:hAnsi="Times New Roman"/>
          <w:b w:val="false"/>
          <w:color w:val="000000"/>
          <w:sz w:val="20"/>
        </w:rPr>
        <w:t>”) as of the date of this Agreement. Each Real Property Lease (assuming due power and authority of, and due execution and delivery by, the other party or parties thereto) is in full force and effect and is valid, binding and enforceable against the Company or the Subsidiaries, as applicable, and to the Knowledge of the Company, the other parties thereto, in accordance with its respective terms, except as enforceability may be limited by the Enforceability Exceptions. None of the Company, its Subsidiaries or, to the Knowledge of the Company, any other party to each Real Property Lease is in material violation or material breach of, or in material default under, nor has there occurred an event or condition that with the passage of time or giving of notice (or both) would constitute a material default under any Real Property Lease. The Company and each of its Subsidiaries, as applicable, has a good and valid leasehold interest in the Leased Real Property, as applicable, free and clear of all Liens other than Company Permitted Liens. The Leased Real Property comprises all of the real property used in the business of the Company and its Subsidiaries as currently conducted. With respect to each Real Property Lease, (i) neither the Company nor any of its Subsidiaries has subleased, licensed, sublicensed or otherwise granted any Person the right to use or occupy all or any portion of the Leased Real Property under such Real Property Lease, and (ii) neither the Company nor any of its Subsidiaries has collaterally assigned or granted any other security interest in such Real Property Lease or any interest therein.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4.17.      </w:t>
      </w:r>
      <w:r>
        <w:rPr>
          <w:rFonts w:ascii="Times New Roman" w:hAnsi="Times New Roman"/>
          <w:b w:val="false"/>
          <w:color w:val="000000"/>
          <w:sz w:val="20"/>
          <w:u w:val="single"/>
        </w:rPr>
        <w:t>Related Party Transactions</w:t>
      </w:r>
      <w:r>
        <w:rPr>
          <w:rFonts w:ascii="Times New Roman" w:hAnsi="Times New Roman"/>
          <w:b w:val="false"/>
          <w:color w:val="000000"/>
          <w:sz w:val="20"/>
        </w:rPr>
        <w:t>. Except as described in the Company SEC Documents filed or furnished on or after January 1, 2026 and prior to the date hereof, no agreements, arrangements or understandings between the Company or any of its Subsidiaries (or binding on any of their respective assets), on the one hand, and any other Person, on the other hand (other than those exclusively among the Company and any of its Subsidiaries), are in existence that are not, but are required to be, disclosed under Item 404 of Regulation S-K promulgated by the SEC.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4.18.      </w:t>
      </w:r>
      <w:r>
        <w:rPr>
          <w:rFonts w:ascii="Times New Roman" w:hAnsi="Times New Roman"/>
          <w:b w:val="false"/>
          <w:color w:val="000000"/>
          <w:sz w:val="20"/>
          <w:u w:val="single"/>
        </w:rPr>
        <w:t>Brokers and Finders</w:t>
      </w:r>
      <w:r>
        <w:rPr>
          <w:rFonts w:ascii="Times New Roman" w:hAnsi="Times New Roman"/>
          <w:b w:val="false"/>
          <w:color w:val="000000"/>
          <w:sz w:val="20"/>
        </w:rPr>
        <w:t>. Except for BTIG, LLC, neither the Company nor any of its Subsidiaries has employed any investment banker, broker or finder in connection with the Transactions who would be entitled to any fee or any commission in connection with or upon consummation of the Mergers.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4.19.      </w:t>
      </w:r>
      <w:r>
        <w:rPr>
          <w:rFonts w:ascii="Times New Roman" w:hAnsi="Times New Roman"/>
          <w:b w:val="false"/>
          <w:color w:val="000000"/>
          <w:sz w:val="20"/>
          <w:u w:val="single"/>
        </w:rPr>
        <w:t>Opinion of Financial Advisor</w:t>
      </w:r>
      <w:r>
        <w:rPr>
          <w:rFonts w:ascii="Times New Roman" w:hAnsi="Times New Roman"/>
          <w:b w:val="false"/>
          <w:color w:val="000000"/>
          <w:sz w:val="20"/>
        </w:rPr>
        <w:t>. The Company Board has received an opinion from BTIG, LLC addressed to the Company Board to the effect that as of the date of such opinion and based on and subject to the various assumptions, limitations, qualifications and other factors set forth therein, the Common Stock Merger Consideration to be received by the holders of Company Common Stock (other than the holders of Canceled Shares) pursuant to this Agreement is fair from a financial point of view to the holders of Company Common Stock (other than holders of Canceled Shares). A copy of such opinion will be promptly provided to Parent for informational purposes only.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4.20.      </w:t>
      </w:r>
      <w:r>
        <w:rPr>
          <w:rFonts w:ascii="Times New Roman" w:hAnsi="Times New Roman"/>
          <w:b w:val="false"/>
          <w:color w:val="000000"/>
          <w:sz w:val="20"/>
          <w:u w:val="single"/>
        </w:rPr>
        <w:t>No Additional Representations</w:t>
      </w:r>
      <w:r>
        <w:rPr>
          <w:rFonts w:ascii="Times New Roman" w:hAnsi="Times New Roman"/>
          <w:b w:val="false"/>
          <w:color w:val="000000"/>
          <w:sz w:val="20"/>
        </w:rPr>
        <w:t xml:space="preserve">. The Company and the Company Operating Partnership acknowledge and agree that, except for the representations and warranties expressly set forth in </w:t>
      </w:r>
      <w:r>
        <w:rPr>
          <w:rFonts w:ascii="Times New Roman" w:hAnsi="Times New Roman"/>
          <w:b w:val="false"/>
          <w:color w:val="000000"/>
          <w:sz w:val="20"/>
          <w:u w:val="single"/>
        </w:rPr>
        <w:t>Article V</w:t>
      </w:r>
      <w:r>
        <w:rPr>
          <w:rFonts w:ascii="Times New Roman" w:hAnsi="Times New Roman"/>
          <w:b w:val="false"/>
          <w:color w:val="000000"/>
          <w:sz w:val="20"/>
        </w:rPr>
        <w:t xml:space="preserve"> (as qualified by the Parent Disclosure Letter) or in any certificate delivered by Parent pursuant to this Agreement (a) Parent and Merger Sub do not make, has and have not made, and the Company and the Company Operating Partnership have not relied on, any express or implied representations or warranties relating to Parent, Merger Sub or their businesses or otherwise and (b) no Person has been authorized by Parent or Merger Sub to make any representation or warranty relating to themselves or their business or otherwise in connection with the Transactions, and if made, such representation or warranty must not be relied upon by the Company or the Company Operating Partnership as having been authorized by such party. The Company and the Company Operating Partnership further acknowledge and agree that any estimates, projections, predictions, data, financial information, memoranda, presentations or any other materials or information provided or addressed to the Company or the Company Operating Partnership or any of their Representatives are not and shall not be deemed to be or include representations or warranties unless and only to the extent that any such materials or information is the subject of any express representation or warranty set forth in </w:t>
      </w:r>
      <w:r>
        <w:rPr>
          <w:rFonts w:ascii="Times New Roman" w:hAnsi="Times New Roman"/>
          <w:b w:val="false"/>
          <w:color w:val="000000"/>
          <w:sz w:val="20"/>
          <w:u w:val="single"/>
        </w:rPr>
        <w:t xml:space="preserve">Article V </w:t>
      </w:r>
      <w:r>
        <w:rPr>
          <w:rFonts w:ascii="Times New Roman" w:hAnsi="Times New Roman"/>
          <w:b w:val="false"/>
          <w:color w:val="000000"/>
          <w:sz w:val="20"/>
        </w:rPr>
        <w:t>or in any certificate delivered by Parent pursuant to this Agreement. Without limiting the foregoing, the Company and the Company Operating Partnership acknowledge and agree that, except for any remedies available under this Agreement with respect to the representations and warranties expressly set forth in </w:t>
      </w:r>
      <w:r>
        <w:rPr>
          <w:rFonts w:ascii="Times New Roman" w:hAnsi="Times New Roman"/>
          <w:b w:val="false"/>
          <w:color w:val="000000"/>
          <w:sz w:val="20"/>
          <w:u w:val="single"/>
        </w:rPr>
        <w:t>Article V</w:t>
      </w:r>
      <w:r>
        <w:rPr>
          <w:rFonts w:ascii="Times New Roman" w:hAnsi="Times New Roman"/>
          <w:b w:val="false"/>
          <w:color w:val="000000"/>
          <w:sz w:val="20"/>
        </w:rPr>
        <w:t> (as qualified by the Parent Disclosure Letter) or in any certificate delivered by Parent pursuant to this Agreement, neither Parent, Merger Sub nor any other Person will have or be subject to any Liability or other obligation to the Company or the Company Operating Partnership or their Representatives or Affiliates or any other Person resulting from the Company’s, the Company Operating Partnership’s or their Representatives’ or Affiliates’ use of any information, documents, projections, forecasts or other material made available to the Company, the Company Operating Partnership or their Representatives or Affiliates in connection with the Transactions.</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V</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REPRESENTATIONS AND WARRANTIES OF PARENT, MERGER SUB AND PARENT MANAGER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Except as disclosed in the Parent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factual information contained within such statements) (provided, however, that nothing disclosed in the Parent SEC Documents shall be deemed to qualify or modify the representations and warranties set forth in </w:t>
      </w:r>
      <w:r>
        <w:rPr>
          <w:rFonts w:ascii="Times New Roman" w:hAnsi="Times New Roman"/>
          <w:b w:val="false"/>
          <w:color w:val="000000"/>
          <w:sz w:val="20"/>
          <w:u w:val="single"/>
        </w:rPr>
        <w:t>Section 5.1</w:t>
      </w:r>
      <w:r>
        <w:rPr>
          <w:rFonts w:ascii="Times New Roman" w:hAnsi="Times New Roman"/>
          <w:b w:val="false"/>
          <w:color w:val="000000"/>
          <w:sz w:val="20"/>
        </w:rPr>
        <w:t xml:space="preserve">, </w:t>
      </w:r>
      <w:r>
        <w:rPr>
          <w:rFonts w:ascii="Times New Roman" w:hAnsi="Times New Roman"/>
          <w:b w:val="false"/>
          <w:color w:val="000000"/>
          <w:sz w:val="20"/>
          <w:u w:val="single"/>
        </w:rPr>
        <w:t>Section 5.2</w:t>
      </w:r>
      <w:r>
        <w:rPr>
          <w:rFonts w:ascii="Times New Roman" w:hAnsi="Times New Roman"/>
          <w:b w:val="false"/>
          <w:color w:val="000000"/>
          <w:sz w:val="20"/>
        </w:rPr>
        <w:t xml:space="preserve"> or </w:t>
      </w:r>
      <w:r>
        <w:rPr>
          <w:rFonts w:ascii="Times New Roman" w:hAnsi="Times New Roman"/>
          <w:b w:val="false"/>
          <w:color w:val="000000"/>
          <w:sz w:val="20"/>
          <w:u w:val="single"/>
        </w:rPr>
        <w:t>Section 5.17</w:t>
      </w:r>
      <w:r>
        <w:rPr>
          <w:rFonts w:ascii="Times New Roman" w:hAnsi="Times New Roman"/>
          <w:b w:val="false"/>
          <w:color w:val="000000"/>
          <w:sz w:val="20"/>
        </w:rPr>
        <w:t>), or as disclosed in the disclosure schedule delivered by Parent to the Company immediately prior to the execution and delivery of this Agreement (the “</w:t>
      </w:r>
      <w:r>
        <w:rPr>
          <w:rFonts w:ascii="Times New Roman" w:hAnsi="Times New Roman"/>
          <w:b w:val="false"/>
          <w:color w:val="000000"/>
          <w:sz w:val="20"/>
          <w:u w:val="single"/>
        </w:rPr>
        <w:t>Parent Disclosure Letter</w:t>
      </w:r>
      <w:r>
        <w:rPr>
          <w:rFonts w:ascii="Times New Roman" w:hAnsi="Times New Roman"/>
          <w:b w:val="false"/>
          <w:color w:val="000000"/>
          <w:sz w:val="20"/>
        </w:rPr>
        <w:t>”), Parent and, Merger Sub, jointly and severally, and Parent Manager, severally and only with respect to itself, as applicable, represent and warrant to the Company and the Company Operating Partnership that: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5.1.         </w:t>
      </w:r>
      <w:r>
        <w:rPr>
          <w:rFonts w:ascii="Times New Roman" w:hAnsi="Times New Roman"/>
          <w:b w:val="false"/>
          <w:color w:val="000000"/>
          <w:sz w:val="20"/>
          <w:u w:val="single"/>
        </w:rPr>
        <w:t>Due Incorporation; Capitalization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Each of Parent, Merger Sub and Parent Manager is duly organized, validly existing and, where such concept is applicable, in good standing under the Laws of the jurisdiction of its incorporation or organization and has all requisite corporate power and authority to own, lease and operate its properties and assets and to carry on its business as presently conducted, except as has not had and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Each of Parent, Merger Sub and Parent Manager is duly qualified or licensed to do business in each jurisdiction in which the ownership or leasing of its property or the conduct of its business requires such qualification and/or licensing, except where any failure to be so qualified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Parent has made available to the Company prior to the date of this Agreement a true and complete copy of its Organizational Documents, in each case, as amended through the date hereof. Parent’s Organizational Documents are in full force and effect, and Parent is not in material violation of any of their provisions. All of the issued and outstanding equity interests of Merger Sub are owned by Parent free and clear of Liens.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w:t>
      </w:r>
      <w:r>
        <w:rPr>
          <w:rFonts w:ascii="Times New Roman" w:hAnsi="Times New Roman"/>
          <w:b w:val="false"/>
          <w:color w:val="000000"/>
          <w:sz w:val="20"/>
          <w:u w:val="single"/>
        </w:rPr>
        <w:t>Capitalization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          The entire authorized capital stock of Parent is (A) Four Hundred Fifty Million (450,000,000) shares of common stock, par value $0.01 per share (the “</w:t>
      </w:r>
      <w:r>
        <w:rPr>
          <w:rFonts w:ascii="Times New Roman" w:hAnsi="Times New Roman"/>
          <w:b w:val="false"/>
          <w:color w:val="000000"/>
          <w:sz w:val="20"/>
          <w:u w:val="single"/>
        </w:rPr>
        <w:t>Parent Common Stock</w:t>
      </w:r>
      <w:r>
        <w:rPr>
          <w:rFonts w:ascii="Times New Roman" w:hAnsi="Times New Roman"/>
          <w:b w:val="false"/>
          <w:color w:val="000000"/>
          <w:sz w:val="20"/>
        </w:rPr>
        <w:t>”); and (B) Fifty Million (50,000,000) shares of preferred stock, $0.01 par value per share (“</w:t>
      </w:r>
      <w:r>
        <w:rPr>
          <w:rFonts w:ascii="Times New Roman" w:hAnsi="Times New Roman"/>
          <w:b w:val="false"/>
          <w:color w:val="000000"/>
          <w:sz w:val="20"/>
          <w:u w:val="single"/>
        </w:rPr>
        <w:t>Parent Preferred Stock</w:t>
      </w:r>
      <w:r>
        <w:rPr>
          <w:rFonts w:ascii="Times New Roman" w:hAnsi="Times New Roman"/>
          <w:b w:val="false"/>
          <w:color w:val="000000"/>
          <w:sz w:val="20"/>
        </w:rPr>
        <w:t>”), of which (1) 3,000,000 shares have been designated as 8.25% Series A Cumulative Redeemable Preferred Stock, $0.01 par value per share (“</w:t>
      </w:r>
      <w:r>
        <w:rPr>
          <w:rFonts w:ascii="Times New Roman" w:hAnsi="Times New Roman"/>
          <w:b w:val="false"/>
          <w:color w:val="000000"/>
          <w:sz w:val="20"/>
          <w:u w:val="single"/>
        </w:rPr>
        <w:t>Parent Series A Preferred Stock</w:t>
      </w:r>
      <w:r>
        <w:rPr>
          <w:rFonts w:ascii="Times New Roman" w:hAnsi="Times New Roman"/>
          <w:b w:val="false"/>
          <w:color w:val="000000"/>
          <w:sz w:val="20"/>
        </w:rPr>
        <w:t>”), (2) 6,000,000 shares have been designated as 8.00% Series B Cumulative Redeemable Preferred Stock, $0.01 par value per share (“</w:t>
      </w:r>
      <w:r>
        <w:rPr>
          <w:rFonts w:ascii="Times New Roman" w:hAnsi="Times New Roman"/>
          <w:b w:val="false"/>
          <w:color w:val="000000"/>
          <w:sz w:val="20"/>
          <w:u w:val="single"/>
        </w:rPr>
        <w:t>Parent Series B Preferred Stock</w:t>
      </w:r>
      <w:r>
        <w:rPr>
          <w:rFonts w:ascii="Times New Roman" w:hAnsi="Times New Roman"/>
          <w:b w:val="false"/>
          <w:color w:val="000000"/>
          <w:sz w:val="20"/>
        </w:rPr>
        <w:t>”) and (3) 4,600,000 shares have been designated as 8.000% Series C Fixed-to-Floating Rate Cumulative Redeemable Preferred Stock, $0.01 par value per share (“</w:t>
      </w:r>
      <w:r>
        <w:rPr>
          <w:rFonts w:ascii="Times New Roman" w:hAnsi="Times New Roman"/>
          <w:b w:val="false"/>
          <w:color w:val="000000"/>
          <w:sz w:val="20"/>
          <w:u w:val="single"/>
        </w:rPr>
        <w:t>Parent Series C Preferred Stock</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        As of August 7, 2026 (the “</w:t>
      </w:r>
      <w:r>
        <w:rPr>
          <w:rFonts w:ascii="Times New Roman" w:hAnsi="Times New Roman"/>
          <w:b w:val="false"/>
          <w:color w:val="000000"/>
          <w:sz w:val="20"/>
          <w:u w:val="single"/>
        </w:rPr>
        <w:t>Parent Capitalization Date</w:t>
      </w:r>
      <w:r>
        <w:rPr>
          <w:rFonts w:ascii="Times New Roman" w:hAnsi="Times New Roman"/>
          <w:b w:val="false"/>
          <w:color w:val="000000"/>
          <w:sz w:val="20"/>
        </w:rPr>
        <w:t>”), (A) 31,803,475 shares of Parent Common Stock were issued and outstanding (including 139,169 shares of Parent Common Stock subject to outstanding unvested Parent restricted stock awards); (B) 0 shares of Parent Common Stock were held by Parent in treasury; (C) 17,386 shares of Parent Common Stock were subject to equity or equity-based awards; (D) 914,821 shares of Parent Common Stock were reserved for issuance and available for grants of future awards under Parent’s equity or equity-based award plans; (E) 1,663,193 shares of Parent Series A Preferred Stock were issued and outstanding; (F) 3,727,641 shares of Parent Series B Preferred Stock were issued and outstanding; (G) 3,728,795 shares of Parent Series C Preferred Stock were issued and outstanding; and (H) no other shares of capital stock or other voting securities were issued, reserved for issuance or outstanding, and from the Parent Capitalization Date through the date of this Agreement, Parent has not issued any shares of Parent Common Stock or any other shares of capital stock or securities convertible or exchangeable into, or exercisable for, any shares of its capital stock other than shares of Parent Common Stock pursuant to equity or equity-based awards outstanding as of the Parent Capitalization Date. All of the outstanding shares of Parent Common Stock and Parent Preferred Stock are, and all shares of Parent Common Stock and Parent Preferred Stock that may be issued prior to the Company Merger Effective Time will be, duly authorized, validly issued, fully paid and nonassessable. No shares of Parent Common Stock are subject to or were issued in violation of applicable Law or the preemptive rights of any stockholder or any purchase option, call option, right of first refusal, subscription right or any similar right under any provision of the MGCL, other applicable Laws, Parent’s Organizational Documents or any agreement to which Parent is a party or otherwise bound.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(iii)        Except as set forth in </w:t>
      </w:r>
      <w:r>
        <w:rPr>
          <w:rFonts w:ascii="Times New Roman" w:hAnsi="Times New Roman"/>
          <w:b w:val="false"/>
          <w:color w:val="000000"/>
          <w:sz w:val="20"/>
          <w:u w:val="single"/>
        </w:rPr>
        <w:t>Section 5.1(c)(i)</w:t>
      </w:r>
      <w:r>
        <w:rPr>
          <w:rFonts w:ascii="Times New Roman" w:hAnsi="Times New Roman"/>
          <w:b w:val="false"/>
          <w:color w:val="000000"/>
          <w:sz w:val="20"/>
        </w:rPr>
        <w:t xml:space="preserve"> or </w:t>
      </w:r>
      <w:r>
        <w:rPr>
          <w:rFonts w:ascii="Times New Roman" w:hAnsi="Times New Roman"/>
          <w:b w:val="false"/>
          <w:color w:val="000000"/>
          <w:sz w:val="20"/>
          <w:u w:val="single"/>
        </w:rPr>
        <w:t>Section 5.1(c)(ii)</w:t>
      </w:r>
      <w:r>
        <w:rPr>
          <w:rFonts w:ascii="Times New Roman" w:hAnsi="Times New Roman"/>
          <w:b w:val="false"/>
          <w:color w:val="000000"/>
          <w:sz w:val="20"/>
        </w:rPr>
        <w:t xml:space="preserve">, as of the Parent Capitalization Date, there are no (A) issued and outstanding shares of capital stock of or other voting or equity interests in Parent; (B) securities of Parent or its Subsidiaries convertible into or exercisable or exchangeable for shares of capital stock of or other voting or equity interests in Parent; (C) options, warrants, calls or other rights or agreements to acquire from Parent or its Subsidiaries, or other obligation of Parent or its Subsidiaries to issue, deliver, transfer or sell, or cause to be issued, delivered, transferred or sold, any shares of capital stock of or other voting or equity interests in Parent or securities convertible into or exercisable or exchangeable for shares of capital stock of or other voting or equity interests in Parent; (D) voting trusts, proxies or other similar agreements to which Parent or any of its Subsidiaries is a party or by which Parent or any of its Subsidiaries is bound with respect to the voting of any shares of capital stock of or other voting or equity interests in Parent; or (E) obligations requiring the registration for sale of any shares of capital stock of or other voting or equity interests in Parent (including the Company Operating Partnership) (the items in </w:t>
      </w:r>
      <w:r>
        <w:rPr>
          <w:rFonts w:ascii="Times New Roman" w:hAnsi="Times New Roman"/>
          <w:b w:val="false"/>
          <w:color w:val="000000"/>
          <w:sz w:val="20"/>
          <w:u w:val="single"/>
        </w:rPr>
        <w:t>clauses (A)</w:t>
      </w:r>
      <w:r>
        <w:rPr>
          <w:rFonts w:ascii="Times New Roman" w:hAnsi="Times New Roman"/>
          <w:b w:val="false"/>
          <w:color w:val="000000"/>
          <w:sz w:val="20"/>
        </w:rPr>
        <w:t xml:space="preserve">, </w:t>
      </w:r>
      <w:r>
        <w:rPr>
          <w:rFonts w:ascii="Times New Roman" w:hAnsi="Times New Roman"/>
          <w:b w:val="false"/>
          <w:color w:val="000000"/>
          <w:sz w:val="20"/>
          <w:u w:val="single"/>
        </w:rPr>
        <w:t>(B)</w:t>
      </w:r>
      <w:r>
        <w:rPr>
          <w:rFonts w:ascii="Times New Roman" w:hAnsi="Times New Roman"/>
          <w:b w:val="false"/>
          <w:color w:val="000000"/>
          <w:sz w:val="20"/>
        </w:rPr>
        <w:t xml:space="preserve"> and </w:t>
      </w:r>
      <w:r>
        <w:rPr>
          <w:rFonts w:ascii="Times New Roman" w:hAnsi="Times New Roman"/>
          <w:b w:val="false"/>
          <w:color w:val="000000"/>
          <w:sz w:val="20"/>
          <w:u w:val="single"/>
        </w:rPr>
        <w:t>(C)</w:t>
      </w:r>
      <w:r>
        <w:rPr>
          <w:rFonts w:ascii="Times New Roman" w:hAnsi="Times New Roman"/>
          <w:b w:val="false"/>
          <w:color w:val="000000"/>
          <w:sz w:val="20"/>
        </w:rPr>
        <w:t xml:space="preserve"> being referred to collectively as the “</w:t>
      </w:r>
      <w:r>
        <w:rPr>
          <w:rFonts w:ascii="Times New Roman" w:hAnsi="Times New Roman"/>
          <w:b w:val="false"/>
          <w:color w:val="000000"/>
          <w:sz w:val="20"/>
          <w:u w:val="single"/>
        </w:rPr>
        <w:t>Parent Securities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(iv)          As of the date hereof, there are no outstanding obligations of Parent or any of its Subsidiaries to repurchase, redeem or otherwise acquire any Parent Securities (other than issuances in connection with the purchase, vesting or settlement of Parent equity awards in accordance with their terms, or as set forth in Parent’s Organizational Documents). No Subsidiary of Parent owns any shares of capital stock of Parent.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5.2.         </w:t>
      </w:r>
      <w:r>
        <w:rPr>
          <w:rFonts w:ascii="Times New Roman" w:hAnsi="Times New Roman"/>
          <w:b w:val="false"/>
          <w:color w:val="000000"/>
          <w:sz w:val="20"/>
          <w:u w:val="single"/>
        </w:rPr>
        <w:t>Due Authorization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Each of Parent, Merger Sub and Parent Manager has all requisite corporate or other organizational power and authority to execute and deliver this Agreement, to perform its obligations hereunder and, subject to the filings under </w:t>
      </w:r>
      <w:r>
        <w:rPr>
          <w:rFonts w:ascii="Times New Roman" w:hAnsi="Times New Roman"/>
          <w:b w:val="false"/>
          <w:color w:val="000000"/>
          <w:sz w:val="20"/>
          <w:u w:val="single"/>
        </w:rPr>
        <w:t>Section 2.3</w:t>
      </w:r>
      <w:r>
        <w:rPr>
          <w:rFonts w:ascii="Times New Roman" w:hAnsi="Times New Roman"/>
          <w:b w:val="false"/>
          <w:color w:val="000000"/>
          <w:sz w:val="20"/>
        </w:rPr>
        <w:t>, to consummate the Transactions, and except for obtaining the Parent Stockholder Approval, no other corporate actions or proceedings on the part of Parent or its stockholders shall be necessary to authorize this Agreement and the Transactions. The execution, delivery and performance by Parent, Merger Sub and Parent Manager of this Agreement, and the consummation by them of the Company Merger, have been duly authorized by the Parent Board and the Merger Sub Sole Member and the sole member of Parent Manager and, except for filing the Certificate of Merger with the Delaware Secretary pursuant to the DLLCA and the Articles of Merger with the Maryland Department pursuant to the MGCL, no other corporate action on the part of Parent, Merger Sub or Parent Manager is necessary to authorize the execution, delivery and performance by Parent, Merger Sub or Parent Manager of this Agreement and the Transactions.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The Parent Board has unanimously (i) determined that this Agreement and the Transactions, including the Company Merger, are advisable, fair to and in the best interests of Parent and Parent’s stockholders; (ii) adopted this Agreement and approved the Transactions, including the Company Merger; (iii) directed that the Parent Common Stock Issuance be submitted for consideration at the Parent Stockholders Meeting; and (iv) resolved, subject to </w:t>
      </w:r>
      <w:r>
        <w:rPr>
          <w:rFonts w:ascii="Times New Roman" w:hAnsi="Times New Roman"/>
          <w:b w:val="false"/>
          <w:color w:val="000000"/>
          <w:sz w:val="20"/>
          <w:u w:val="single"/>
        </w:rPr>
        <w:t>Section 6.7</w:t>
      </w:r>
      <w:r>
        <w:rPr>
          <w:rFonts w:ascii="Times New Roman" w:hAnsi="Times New Roman"/>
          <w:b w:val="false"/>
          <w:color w:val="000000"/>
          <w:sz w:val="20"/>
        </w:rPr>
        <w:t>, to recommend that the Parent’s stockholders approve the Parent Common Stock Issuance (the “</w:t>
      </w:r>
      <w:r>
        <w:rPr>
          <w:rFonts w:ascii="Times New Roman" w:hAnsi="Times New Roman"/>
          <w:b w:val="false"/>
          <w:color w:val="000000"/>
          <w:sz w:val="20"/>
          <w:u w:val="single"/>
        </w:rPr>
        <w:t>Parent Recommendation</w:t>
      </w:r>
      <w:r>
        <w:rPr>
          <w:rFonts w:ascii="Times New Roman" w:hAnsi="Times New Roman"/>
          <w:b w:val="false"/>
          <w:color w:val="000000"/>
          <w:sz w:val="20"/>
        </w:rPr>
        <w:t>”), in each case, on the terms and subject to the conditions of this Agreement. The affirmative vote of a majority of the votes cast by the holders of the outstanding shares of Parent Common Stock in favor of issuing Parent Common Stock in connection with the Transactions at the meeting of the stockholders of Parent (the “</w:t>
      </w:r>
      <w:r>
        <w:rPr>
          <w:rFonts w:ascii="Times New Roman" w:hAnsi="Times New Roman"/>
          <w:b w:val="false"/>
          <w:color w:val="000000"/>
          <w:sz w:val="20"/>
          <w:u w:val="single"/>
        </w:rPr>
        <w:t>Parent Stockholder Approval</w:t>
      </w:r>
      <w:r>
        <w:rPr>
          <w:rFonts w:ascii="Times New Roman" w:hAnsi="Times New Roman"/>
          <w:b w:val="false"/>
          <w:color w:val="000000"/>
          <w:sz w:val="20"/>
        </w:rPr>
        <w:t>”) is the only vote of the stockholders of Parent or the holders of any other securities of Parent (equity or otherwise) required by any applicable Law or the Organizational Documents of Parent or the applicable rules of any exchange on which securities of Parent are traded, in order for Parent to consummate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Each of Parent, Merger Sub and Parent Manager has duly and validly executed and delivered this Agreement. Assuming the due authorization, execution and delivery hereof by the Company and the Company Operating Partnership, this Agreement constitutes a legal, valid and binding obligation of each of Parent, Merger Sub and Parent Manager, enforceable against them in accordance with its terms, subject to the Enforceability Exceptions. The shares of Parent Common Stock and the Preferred Stock Merger Consideration to be issued pursuant to the Transactions, when issued in accordance with the terms hereof, will be duly authorized, validly issued, fully paid and nonassessable and not subject to any preemptive rights.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5.3.         </w:t>
      </w:r>
      <w:r>
        <w:rPr>
          <w:rFonts w:ascii="Times New Roman" w:hAnsi="Times New Roman"/>
          <w:b w:val="false"/>
          <w:color w:val="000000"/>
          <w:sz w:val="20"/>
          <w:u w:val="single"/>
        </w:rPr>
        <w:t>Consents and Approvals; No Violations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The execution and delivery of this Agreement does not, and the consummation of the Transactions will not (with or without notice or lapse of time, or both) (i) assuming that the Parent Stockholder Approval is obtained, contravene, conflict with or result in a violation of any provision of the Organizational Documents of the Parent, Merger Sub or Parent Manager, (ii) result in a violation of, or default under, or acceleration of any material obligation or the loss of a material benefit under, or result in the creation of any Liens (other than Parent Permitted Liens) upon any of the properties or assets of Parent, Merger Sub or Parent Manager under, any provision of any material Contract pursuant to which such party is a party, or (iii) assuming the approvals, consents, clearances, waivers or authorizations referred to in </w:t>
      </w:r>
      <w:r>
        <w:rPr>
          <w:rFonts w:ascii="Times New Roman" w:hAnsi="Times New Roman"/>
          <w:b w:val="false"/>
          <w:color w:val="000000"/>
          <w:sz w:val="20"/>
          <w:u w:val="single"/>
        </w:rPr>
        <w:t>Section 5.3(b)</w:t>
      </w:r>
      <w:r>
        <w:rPr>
          <w:rFonts w:ascii="Times New Roman" w:hAnsi="Times New Roman"/>
          <w:b w:val="false"/>
          <w:color w:val="000000"/>
          <w:sz w:val="20"/>
        </w:rPr>
        <w:t xml:space="preserve"> are duly and timely obtained or made and the Parent Stockholder Approval has been obtained, contravene, conflict with or result in a violation of any Law applicable to Parent, Merger Sub or Parent Manager or any of their respective properties or assets, other than, in the case of clauses (ii) and (iii), any such contraventions, conflicts, violations, defaults, acceleration, losses or Liens that would not reasonably be expected to have, individually or in the aggregate, a Parent Material Adverse Effect or, in the case of Parent Manager, prevent or materially impair or delay the ability of Parent Manager to consummate the Transactions before the Termination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No approval, consent, clearance, waiver or authorization from any Governmental Authority is required to be obtained or made by Parent, Merger Sub or Parent Manager in connection with the execution and delivery of this Agreement by Parent, Merger Sub or Parent Manager or the consummation by Parent, Merger Sub or Parent Manager of the Transactions, except for: (i) the filing with the SEC of (A) the Proxy Statement/Prospectus (including the Form S-4)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with respect to the Partnership Merger,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Parent Material Adverse Effect or, in the case of Parent Manager, prevent or materially impair or delay the ability of Parent Manager to consummate the Transactions before the Termination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5.4.         </w:t>
      </w:r>
      <w:r>
        <w:rPr>
          <w:rFonts w:ascii="Times New Roman" w:hAnsi="Times New Roman"/>
          <w:b w:val="false"/>
          <w:color w:val="000000"/>
          <w:sz w:val="20"/>
          <w:u w:val="single"/>
        </w:rPr>
        <w:t>Financial Statements; Internal Controls and Procedures; Investment Company Act</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Since December 31, 2024, Parent has filed or furnished with the SEC all forms, reports, schedules and statements required to be filed or furnished by Parent under the Securities Act or the Exchange Act, respectively (such forms, reports, schedules and statements, as amended, collectively, the “</w:t>
      </w:r>
      <w:r>
        <w:rPr>
          <w:rFonts w:ascii="Times New Roman" w:hAnsi="Times New Roman"/>
          <w:b w:val="false"/>
          <w:color w:val="000000"/>
          <w:sz w:val="20"/>
          <w:u w:val="single"/>
        </w:rPr>
        <w:t>Parent SEC Documents</w:t>
      </w:r>
      <w:r>
        <w:rPr>
          <w:rFonts w:ascii="Times New Roman" w:hAnsi="Times New Roman"/>
          <w:b w:val="false"/>
          <w:color w:val="000000"/>
          <w:sz w:val="20"/>
        </w:rPr>
        <w:t>”). As of their respective filing dates, or, if amended prior to the date hereof, as of the date of (and giving effect to) the last such amendment made prior to the date hereof, each of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The consolidated audited and unaudited interim financial statements of Parent included or incorporated by reference in the Parent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Parent and its Subsidiaries, as of the respective dates thereof and for the respective periods indicated therein (subject, in the case of unaudited interim financial statements, to absence of notes and normal year-end adjustments). To the Knowledge of Parent, as of the date hereof, none of the Parent SEC Documents is the subject of ongoing SEC review and Parent does not have outstanding and unresolved comments from the SEC with respect to any of the Parent SEC Documents.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Other than any off-balance sheet arrangements disclosed in the Parent SEC Documents filed or furnished prior to the date hereof, neither Parent nor any Subsidiary of Parent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Parent in Parent’s published financial statements or any Parent SEC Documents.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Parent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Parent’s auditors and the board of directors of Parent have not been advised of (i) any significant deficiencies or material weaknesses in the design or operation of internal controls over financial reporting that are reasonably likely to adversely affect in any material respect Parent’s ability to record, process, summarize and report financial information or (ii) any fraud, whether or not material, that involves management or other employees who have a significant role in Parent’s internal controls over financial reporting, and, in each case, neither Parent nor any of its Representatives has failed to disclose such information to Parent’s auditors or the Parent Board.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Neither the Parent nor any of Subsidiaries of the Parent is, or as of immediately prior to the Company Merger Effective Time will be, required to be registered as an investment company under the Investment Company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5.5.       </w:t>
      </w:r>
      <w:r>
        <w:rPr>
          <w:rFonts w:ascii="Times New Roman" w:hAnsi="Times New Roman"/>
          <w:b w:val="false"/>
          <w:color w:val="000000"/>
          <w:sz w:val="20"/>
          <w:u w:val="single"/>
        </w:rPr>
        <w:t>Proxy Statement/Prospectus; Parent, Merger Sub and Parent Manager Information</w:t>
      </w:r>
      <w:r>
        <w:rPr>
          <w:rFonts w:ascii="Times New Roman" w:hAnsi="Times New Roman"/>
          <w:b w:val="false"/>
          <w:color w:val="000000"/>
          <w:sz w:val="20"/>
        </w:rPr>
        <w:t xml:space="preserve">. The Proxy Statement/Prospectus, when filed, distributed or otherwise disseminated to the Company’s stockholders or Parent’s stockholders, as applicable, will comply as to form in all material respects with the applicable requirements of the Securities Act and the Exchange Act. None of the information supplied or to be supplied by or on behalf of Parent, Merger Sub or Parent Manager specifically for inclusion or incorporation by reference in the Proxy Statement/Prospectus, at the time it (and any amendment or supplement thereto) is first mailed to the Company’s stockholders and to Parent’s stockholders and at the time of the Company Stockholders Meeting and the Parent Stockholders Meeting, will contain any untrue statement of a material fact or omit to state any material fact required to be stated therein or necessary in order to make the statements therein, in light of the circumstances under which they are made, not misleading. For the avoidance of doubt, no representation or warranty is made by Parent, Merger Sub or Parent Manager with respect to (and nothing in this </w:t>
      </w:r>
      <w:r>
        <w:rPr>
          <w:rFonts w:ascii="Times New Roman" w:hAnsi="Times New Roman"/>
          <w:b w:val="false"/>
          <w:color w:val="000000"/>
          <w:sz w:val="20"/>
          <w:u w:val="single"/>
        </w:rPr>
        <w:t>Section 5.5</w:t>
      </w:r>
      <w:r>
        <w:rPr>
          <w:rFonts w:ascii="Times New Roman" w:hAnsi="Times New Roman"/>
          <w:b w:val="false"/>
          <w:color w:val="000000"/>
          <w:sz w:val="20"/>
        </w:rPr>
        <w:t xml:space="preserve"> shall apply to) statements made or incorporated by reference in the Proxy Statement/Prospectus based on information (i) supplied by or on behalf of the Company or any of its Subsidiaries or (ii) not supplied by or on behalf of Parent and not obtained from or incorporated by reference to Parent’s filings with the SEC.</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5.6.        </w:t>
      </w:r>
      <w:r>
        <w:rPr>
          <w:rFonts w:ascii="Times New Roman" w:hAnsi="Times New Roman"/>
          <w:b w:val="false"/>
          <w:color w:val="000000"/>
          <w:sz w:val="20"/>
          <w:u w:val="single"/>
        </w:rPr>
        <w:t>No Undisclosed Liabilities</w:t>
      </w:r>
      <w:r>
        <w:rPr>
          <w:rFonts w:ascii="Times New Roman" w:hAnsi="Times New Roman"/>
          <w:b w:val="false"/>
          <w:color w:val="000000"/>
          <w:sz w:val="20"/>
        </w:rPr>
        <w:t>. There are no Liabilities of Parent or any of its Subsidiaries that would be required to be reflected on a consolidated balance sheet of Parent and its Subsidiaries prepared in accordance with GAAP, except for (a) Liabilities that are reflected or reserved against on the consolidated balance sheet of Parent and its Subsidiaries included in the Parent SEC Documents (including any notes thereto), (b) Liabilities arising in connection with the Transactions, (c) Liabilities incurred in the ordinary course of business consistent with past practice since January 1, 2026, and (d) Liabilities which have not had and would not reasonably be expected to have, individually or in the aggregate, a Parent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5.7.       </w:t>
      </w:r>
      <w:r>
        <w:rPr>
          <w:rFonts w:ascii="Times New Roman" w:hAnsi="Times New Roman"/>
          <w:b w:val="false"/>
          <w:color w:val="000000"/>
          <w:sz w:val="20"/>
          <w:u w:val="single"/>
        </w:rPr>
        <w:t>Taxes</w:t>
      </w:r>
      <w:r>
        <w:rPr>
          <w:rFonts w:ascii="Times New Roman" w:hAnsi="Times New Roman"/>
          <w:b w:val="false"/>
          <w:color w:val="000000"/>
          <w:sz w:val="20"/>
        </w:rPr>
        <w:t xml:space="preserve">. Except as would not reasonably be expected to have, individually or in the aggregate, a Parent Material Adverse Effect, provided that any breach of the representations or warranties in </w:t>
      </w:r>
      <w:r>
        <w:rPr>
          <w:rFonts w:ascii="Times New Roman" w:hAnsi="Times New Roman"/>
          <w:b w:val="false"/>
          <w:color w:val="000000"/>
          <w:sz w:val="20"/>
          <w:u w:val="single"/>
        </w:rPr>
        <w:t>Section 5.7(b)</w:t>
      </w:r>
      <w:r>
        <w:rPr>
          <w:rFonts w:ascii="Times New Roman" w:hAnsi="Times New Roman"/>
          <w:b w:val="false"/>
          <w:color w:val="000000"/>
          <w:sz w:val="20"/>
        </w:rPr>
        <w:t xml:space="preserve">, (c), (d) or </w:t>
      </w:r>
      <w:r>
        <w:rPr>
          <w:rFonts w:ascii="Times New Roman" w:hAnsi="Times New Roman"/>
          <w:b w:val="false"/>
          <w:color w:val="000000"/>
          <w:sz w:val="20"/>
          <w:u w:val="single"/>
        </w:rPr>
        <w:t>(s)</w:t>
      </w:r>
      <w:r>
        <w:rPr>
          <w:rFonts w:ascii="Times New Roman" w:hAnsi="Times New Roman"/>
          <w:b w:val="false"/>
          <w:color w:val="000000"/>
          <w:sz w:val="20"/>
        </w:rPr>
        <w:t xml:space="preserve"> shall be deemed to have a Parent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Parent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Parent: (i) for its taxable years commencing with Parent’s taxable year that ended December 31, 2011,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Mortgage Acquisition Trust I LLC: (i) for its taxable years commencing with Parent’s taxable year that ended on December 31, 2019,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WMC Residential Mortgage Sub-REIT I LLC: (i) for its taxable years commencing with Parent’s taxable year that ended on December 31, 2023,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Each of Parent’s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Parent has made available to the Company complete and accurate copies of all U.S. federal and all other material Tax Returns filed by or on behalf of Parent or its Subsidiaries for any Tax period ending after December 31, 2020.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(g)          Neither Parent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(h)        There are no audits, investigations by any Governmental Authority or other proceedings pending or, to the Knowledge of Parent, threatened with regard to any material Taxes or Tax Returns of Parent or any of its Subsidiaries; (ii) no material deficiency for Taxes of Parent or any of its Subsidiaries has been claimed, proposed or assessed in writing or, to the Knowledge of Parent, threatened, by any Governmental Authority; (iii) neither Parent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Parent nor any of its Subsidiaries is currently the beneficiary of any extension of time within which to file any material Tax Return that remains unfiled (other than pursuant to extensions of time to file Tax Returns obtained in the ordinary course of business); and (v) neither Parent nor any of its Subsidiaries has entered into any “closing agreement” as described in Section 7121 of the Code (or any corresponding or similar provision of state, local or foreign income Tax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         Since Parent’s formation, (i) neither Parent nor any of its Subsidiaries has incurred any material liability for Taxes under Sections 857(b), 857(f), 860(c) or 4981 of the Code which have not been previously paid and (ii) neither Parent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Parent, no condition or circumstance exists, which presents a material risk that any material amount of Tax described in the previous sentence will be imposed upon Parent or any of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(j)          Parent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(k)          There are no material Tax Liens upon any property or assets of Parent or any of its Subsidiaries except for Parent Permitted Liens.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(l)          Neither Parent nor any of its Subsidiaries has requested, has received or is subject to any written ruling of a Taxing Authority or has entered into any written agreement with a Taxing Authority.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(m)        There are no Tax allocation, protection or sharing agreements or similar arrangements with respect to or involving Parent or any of its Subsidiaries, and after the Closing Date neither Parent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(n)         Neither Parent nor any of its Subsidiaries (i) has been a member of an affiliated group filing a consolidated U.S. federal income Tax Return or (ii) has any material liability for the Taxes of any Person (other than Parent or any of its Subsidiaries) under Treasury Regulation Section 1.1502-6 (or any similar provision of state, local or foreign Tax Law), as a transferee or successor, or otherwise by Law or Contract.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(o)        Neither Parent nor any of its Subsidiaries has participated in any “listed transaction” within the meaning of Treasury Regulation Section 1.6011-4(b)(2).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(p)          Neither Parent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(q)          Neither Parent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(r)         No written power of attorney that has been granted by Parent or any of its Subsidiaries (other than to Parent or any of its Subsidiaries) is currently in force with respect to any matter relating to Taxes.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(s)          Neither Parent nor any of its Subsidiaries have experienced an ownership change within the meaning of Section 382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(t)          Neither Parent nor any of its Subsidiaries has taken any action or failed to take any action which action or failure would reasonably be expected to jeopardize, nor to the Knowledge of Parent is there any other fact or circumstance that could be reasonably expected to prevent, the Company Merger from qualifying as a reorganization within the meaning of Section 368(a)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(u)         Neither Parent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(v)          Each of Parent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(w)        Notwithstanding any other provision of this Agreement, it is agreed and understood that no representation or warranty is made by Parent, Merger Sub or Parent Manager in this Agreement with respect to Taxes, other than the representations and warranties of Parent in this </w:t>
      </w:r>
      <w:r>
        <w:rPr>
          <w:rFonts w:ascii="Times New Roman" w:hAnsi="Times New Roman"/>
          <w:b w:val="false"/>
          <w:color w:val="000000"/>
          <w:sz w:val="20"/>
          <w:u w:val="single"/>
        </w:rPr>
        <w:t>Section 5.7</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5.8.       </w:t>
      </w:r>
      <w:r>
        <w:rPr>
          <w:rFonts w:ascii="Times New Roman" w:hAnsi="Times New Roman"/>
          <w:b w:val="false"/>
          <w:color w:val="000000"/>
          <w:sz w:val="20"/>
          <w:u w:val="single"/>
        </w:rPr>
        <w:t>Contracts</w:t>
      </w:r>
      <w:r>
        <w:rPr>
          <w:rFonts w:ascii="Times New Roman" w:hAnsi="Times New Roman"/>
          <w:b w:val="false"/>
          <w:color w:val="000000"/>
          <w:sz w:val="20"/>
        </w:rPr>
        <w:t>. Neither Parent nor any Subsidiary of Parent is in breach of or default under any Parent Material Contract and, to the Knowledge of Parent, as of the date hereof, no other party to any Parent Material Contract is in breach of or default under any Parent Material Contract, and no event has occurred through Parent’s or any of its Subsidiaries’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Parent Material Contract, in each case except as has not had and would not reasonably be expected to have, individually or in the aggregate, a Parent Material Adverse Effect. Except as has not had and would not reasonably be expected to have, individually or in the aggregate, a Parent Material Adverse Effect, each Parent Material Contract (i) is a valid and binding obligation of Parent or the Subsidiary of Parent that is party thereto and, to the Knowledge of Parent, of each other party thereto; and (ii) is in full force and effect, subject to the Enforceability Exceptions. Neither Parent nor any of its Subsidiaries has received any written notice of any other party to a Parent Material Contract to terminate for default, convenience or otherwise, or not renew, any Parent Material Contract, in each case except as has not had and would not reasonably be expected to have, individually or in the aggregate, a Parent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5.9.        </w:t>
      </w:r>
      <w:r>
        <w:rPr>
          <w:rFonts w:ascii="Times New Roman" w:hAnsi="Times New Roman"/>
          <w:b w:val="false"/>
          <w:color w:val="000000"/>
          <w:sz w:val="20"/>
          <w:u w:val="single"/>
        </w:rPr>
        <w:t>Litigation</w:t>
      </w:r>
      <w:r>
        <w:rPr>
          <w:rFonts w:ascii="Times New Roman" w:hAnsi="Times New Roman"/>
          <w:b w:val="false"/>
          <w:color w:val="000000"/>
          <w:sz w:val="20"/>
        </w:rPr>
        <w:t>. Except as has not had and would not reasonably be expected to have, individually or in the aggregate, a Parent Material Adverse Effect, as of the date hereof, (a) none of Parent or any of its Subsidiaries is subject to any Order, and (b) there is no Litigation before any Governmental Authority, court or quasi-judicial or administrative agency of any federal, state, local or foreign jurisdiction, arbitrator or mediator, pending or, to the Knowledge of Parent, threatened, against Parent or any of its Subsidiaries.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5.10.       </w:t>
      </w:r>
      <w:r>
        <w:rPr>
          <w:rFonts w:ascii="Times New Roman" w:hAnsi="Times New Roman"/>
          <w:b w:val="false"/>
          <w:color w:val="000000"/>
          <w:sz w:val="20"/>
          <w:u w:val="single"/>
        </w:rPr>
        <w:t>Compliance with Laws; Permits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Except as would not reasonably be expected to have, individually or in the aggregate, a Parent Material Adverse Effect, Parent and each of its Subsidiaries are, and since January 1, 2024, have been, in compliance in all respects with all applicable Laws.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Except as would not reasonably be expected to have, individually or in the aggregate, a Parent Material Adverse Effect, Parent and its Subsidiaries hold all Permits necessary for Parent and its Subsidiaries to own, lease and operate their properties and assets, and to carry on and operate their businesses as currently conducted. Except as has not had, and would not reasonably be expected to have, individually or in the aggregate, a Parent Material Adverse Effect: (i) all such Permits are in full force and effect; (ii) since January 1, 2024, Parent and each of its Subsidiaries have been in compliance with the terms of all such Permits; and (iii) there is, and since January 1, 2024 has been, no Litigation pending or, to the Knowledge of Parent, threatened in writing asserting any violation of any such Permit or seeking the revocation, cancellation, suspension, limitation or adverse modification of any such Permit.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Except as has not had, and would not reasonably be expected to have, individually or in the aggregate, a Parent Material Adverse Effect, (i) since January 1, 2024 through the date of this Agreement, neither Parent nor any of its Subsidiaries has received written notice or, to the Knowledge of Parent, any other communication from any Governmental Authority alleging any breach of any Governmental Authorization necessary for the ownership and operation of their businesses, (ii) since January 1, 2024, neither Parent nor any of its Subsidiaries has received written notice or, to the Knowledge of Parent, any other communication from any Governmental Authority regarding any actual or threatened involuntary revocation, withdrawal, suspension, cancellation or termination of any such Governmental Authorization and (iii) to the Knowledge of Parent, no event has occurred and is continuing which would be grounds for revocation, withdrawal, suspension, cancellation, or termination of any such Governmental Authorization.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No Subsidiary of Parent is required as of the date hereof to be licensed or registered with any Governmental Authority as an owner or servicer of Mortgage Loans.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Except as has not had, and would not reasonably be expected to have, individually or in the aggregate, a Parent Material Adverse Effect, (i) Parent and its Subsidiaries are, and since January 1, 2024 have been, in compliance with the Parent’s and its Subsidiaries’ servicing or, as applicable, subservicing or master servicing, obligations under all Parent Applicable Requirements, (ii) through the date of this Agreement, neither Parent nor any of its Subsidiaries has received written or, to the Knowledge of Parent, oral or other notice of any pending or threatened cancellation or termination of any Parent Servicing Agreement or Parent Subservicing Agreement, and (iii) there has been no servicer default or servicer termination event, and there has been no event, condition or omission that would reasonably constitute a default or breach, under any such Parent Servicing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(f)         Notwithstanding anything contained in this </w:t>
      </w:r>
      <w:r>
        <w:rPr>
          <w:rFonts w:ascii="Times New Roman" w:hAnsi="Times New Roman"/>
          <w:b w:val="false"/>
          <w:color w:val="000000"/>
          <w:sz w:val="20"/>
          <w:u w:val="single"/>
        </w:rPr>
        <w:t>Section 5.10</w:t>
      </w:r>
      <w:r>
        <w:rPr>
          <w:rFonts w:ascii="Times New Roman" w:hAnsi="Times New Roman"/>
          <w:b w:val="false"/>
          <w:color w:val="000000"/>
          <w:sz w:val="20"/>
        </w:rPr>
        <w:t xml:space="preserve">, no representation or warranty shall be deemed to be made in this </w:t>
      </w:r>
      <w:r>
        <w:rPr>
          <w:rFonts w:ascii="Times New Roman" w:hAnsi="Times New Roman"/>
          <w:b w:val="false"/>
          <w:color w:val="000000"/>
          <w:sz w:val="20"/>
          <w:u w:val="single"/>
        </w:rPr>
        <w:t>Section 5.10</w:t>
      </w:r>
      <w:r>
        <w:rPr>
          <w:rFonts w:ascii="Times New Roman" w:hAnsi="Times New Roman"/>
          <w:b w:val="false"/>
          <w:color w:val="000000"/>
          <w:sz w:val="20"/>
        </w:rPr>
        <w:t xml:space="preserve"> in respect of Tax, employee benefits or labor matters.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5.11.       </w:t>
      </w:r>
      <w:r>
        <w:rPr>
          <w:rFonts w:ascii="Times New Roman" w:hAnsi="Times New Roman"/>
          <w:b w:val="false"/>
          <w:color w:val="000000"/>
          <w:sz w:val="20"/>
          <w:u w:val="single"/>
        </w:rPr>
        <w:t>Compensation; Benefits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Other than as set forth on </w:t>
      </w:r>
      <w:r>
        <w:rPr>
          <w:rFonts w:ascii="Times New Roman" w:hAnsi="Times New Roman"/>
          <w:b w:val="false"/>
          <w:color w:val="000000"/>
          <w:sz w:val="20"/>
          <w:u w:val="single"/>
        </w:rPr>
        <w:t>Schedule 5.11(a)</w:t>
      </w:r>
      <w:r>
        <w:rPr>
          <w:rFonts w:ascii="Times New Roman" w:hAnsi="Times New Roman"/>
          <w:b w:val="false"/>
          <w:color w:val="000000"/>
          <w:sz w:val="20"/>
        </w:rPr>
        <w:t xml:space="preserve"> of the Parent Disclosure Letter, neither Parent nor any of its Subsidiaries maintain, sponsor, contribute to or have any material liability (whether actual or contingent) with respect to, and since January 1, 2024, have never maintained, sponsored, contributed to or had any material liability (whether actual or contingent) with respect to, any material employee benefit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Neither Parent nor any of its Subsidiaries contributes to or has an obligation to contribute to, or has any actual or potential liability in respect of, (i) a plan subject to Title IV of ERISA (including a Multiemployer Plan), Section 302 of ERISA, or Section 412 of the Code, (ii) a “multiple employer plan” within the meaning of Section 210(a) of ERISA or Section 413(c) of the Code or (iii) a “multiple employer welfare arrangement” as defined in Section 3(40) of ERISA.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Neither Parent nor any of its Subsidiaries has any employees.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5.12.     </w:t>
      </w:r>
      <w:r>
        <w:rPr>
          <w:rFonts w:ascii="Times New Roman" w:hAnsi="Times New Roman"/>
          <w:b w:val="false"/>
          <w:color w:val="000000"/>
          <w:sz w:val="20"/>
          <w:u w:val="single"/>
        </w:rPr>
        <w:t>Absence of Changes</w:t>
      </w:r>
      <w:r>
        <w:rPr>
          <w:rFonts w:ascii="Times New Roman" w:hAnsi="Times New Roman"/>
          <w:b w:val="false"/>
          <w:color w:val="000000"/>
          <w:sz w:val="20"/>
        </w:rPr>
        <w:t>. Since December 31, 2025 through the date of this Agreement, except for events giving rise to, and the discussion and negotiation of, this Agreement, Parent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Parent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5.13.       </w:t>
      </w:r>
      <w:r>
        <w:rPr>
          <w:rFonts w:ascii="Times New Roman" w:hAnsi="Times New Roman"/>
          <w:b w:val="false"/>
          <w:color w:val="000000"/>
          <w:sz w:val="20"/>
          <w:u w:val="single"/>
        </w:rPr>
        <w:t>Operations of Merger Sub</w:t>
      </w:r>
      <w:r>
        <w:rPr>
          <w:rFonts w:ascii="Times New Roman" w:hAnsi="Times New Roman"/>
          <w:b w:val="false"/>
          <w:color w:val="000000"/>
          <w:sz w:val="20"/>
        </w:rPr>
        <w:t>. Merger Sub was formed specifically for the Transactions. Since its date of incorporation, Merger Sub has not, and prior to the Company Merger Effective Time will not have, carried on any business or conducted any operations other than the execution of this Agreement, the performance of its obligations hereunder and matters ancillary thereto and has, and prior to the Company Merger Effective Time will have, no assets, liabilities or obligations of any nature other than those incident to its formation and pursuant to this Agreement and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5.14.      </w:t>
      </w:r>
      <w:r>
        <w:rPr>
          <w:rFonts w:ascii="Times New Roman" w:hAnsi="Times New Roman"/>
          <w:b w:val="false"/>
          <w:color w:val="000000"/>
          <w:sz w:val="20"/>
          <w:u w:val="single"/>
        </w:rPr>
        <w:t>Ownership of Company Common Stock, Company Preferred Stock or Company Partnership Units</w:t>
      </w:r>
      <w:r>
        <w:rPr>
          <w:rFonts w:ascii="Times New Roman" w:hAnsi="Times New Roman"/>
          <w:b w:val="false"/>
          <w:color w:val="000000"/>
          <w:sz w:val="20"/>
        </w:rPr>
        <w:t xml:space="preserve">. Except as set forth on </w:t>
      </w:r>
      <w:r>
        <w:rPr>
          <w:rFonts w:ascii="Times New Roman" w:hAnsi="Times New Roman"/>
          <w:b w:val="false"/>
          <w:color w:val="000000"/>
          <w:sz w:val="20"/>
          <w:u w:val="single"/>
        </w:rPr>
        <w:t>Section 5.14</w:t>
      </w:r>
      <w:r>
        <w:rPr>
          <w:rFonts w:ascii="Times New Roman" w:hAnsi="Times New Roman"/>
          <w:b w:val="false"/>
          <w:color w:val="000000"/>
          <w:sz w:val="20"/>
        </w:rPr>
        <w:t xml:space="preserve"> of the Parent Disclosure Letter none of Parent, Merger Sub or any of their respective Subsidiaries or Affiliates beneficially owns, directly or indirectly (including pursuant to a derivative contract), any shares of Company Common Stock or Company Preferred Stock or any Company Partnership Units, or other securities convertible into, exchangeable for or exercisable for shares of Company Common Stock or Company Preferred Stock or Company Partnership Units or any other securities of the Company or any securities of any Subsidiary of the Company, and none of Parent, Merger Sub or any of their respective Subsidiaries or Affiliates has any rights to acquire, directly or indirectly, any shares of Company Common Stock or Company Preferred Stock or Company Partnership Units or any of the foregoing securities, except pursuant to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b w:val="false"/>
          <w:color w:val="000000"/>
          <w:sz w:val="20"/>
        </w:rPr>
      </w:pPr>
      <w:r>
        <w:rPr>
          <w:rFonts w:ascii="Times New Roman" w:hAnsi="Times New Roman"/>
          <w:b w:val="false"/>
          <w:color w:val="000000"/>
          <w:sz w:val="20"/>
        </w:rPr>
        <w:t xml:space="preserve">5.15.       </w:t>
      </w:r>
      <w:r>
        <w:rPr>
          <w:rFonts w:ascii="Times New Roman" w:hAnsi="Times New Roman"/>
          <w:b w:val="false"/>
          <w:color w:val="000000"/>
          <w:sz w:val="20"/>
          <w:u w:val="single"/>
        </w:rPr>
        <w:t>Available Funds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Parent’s obligations under this Agreement are not subject to a condition regarding Parent’s obtaining of funds to pay the aggregate Per Share Parent Cash Consideration. Parent has, as of the date of this Agreement, and Parent will continue to have from the date hereof through the Company Merger Effective Time, access to immediately available funds sufficient to enable Parent to make all payments contemplated by this Agreement, including the payment of the Per Share Parent Cash Consideration.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Parent Manager’s obligations under this Agreement are not subject to a condition regarding Parent Manager’s obtaining funds to pay the aggregate Per Share Additional Manager Consideration. Parent Manager has, as of the date of this Agreement, and Parent Manager will continue to have from the date hereof through the Company Merger Effective Time, access to immediately available funds sufficient to enable Parent Manager to make all payments contemplated by this Agreement, including the payment of the Per Share Additional Manager Consideration.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5.16.      </w:t>
      </w:r>
      <w:r>
        <w:rPr>
          <w:rFonts w:ascii="Times New Roman" w:hAnsi="Times New Roman"/>
          <w:b w:val="false"/>
          <w:color w:val="000000"/>
          <w:sz w:val="20"/>
          <w:u w:val="single"/>
        </w:rPr>
        <w:t>Support Agreement</w:t>
      </w:r>
      <w:r>
        <w:rPr>
          <w:rFonts w:ascii="Times New Roman" w:hAnsi="Times New Roman"/>
          <w:b w:val="false"/>
          <w:color w:val="000000"/>
          <w:sz w:val="20"/>
        </w:rPr>
        <w:t>. On or prior to the date hereof, Parent has delivered to the Company a true and complete copy of the Support Agreement, dated as of the date of this Agreement, which has been duly executed and validly delivered by AG MIT, LLC. The Support Agreement constitutes a legal, valid and binding obligation of AG MIT, LLC enforceable against AG MIT, LLC in accordance with the Support Agreement’s terms, subject to the Enforceability Exceptions. No event has occurred or circumstance exists that, with or without notice, lapse of time or both, would constitute a breach or default on the part of AG MIT, LLC under the Support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5.17.      </w:t>
      </w:r>
      <w:r>
        <w:rPr>
          <w:rFonts w:ascii="Times New Roman" w:hAnsi="Times New Roman"/>
          <w:b w:val="false"/>
          <w:color w:val="000000"/>
          <w:sz w:val="20"/>
          <w:u w:val="single"/>
        </w:rPr>
        <w:t>Brokers and Finders</w:t>
      </w:r>
      <w:r>
        <w:rPr>
          <w:rFonts w:ascii="Times New Roman" w:hAnsi="Times New Roman"/>
          <w:b w:val="false"/>
          <w:color w:val="000000"/>
          <w:sz w:val="20"/>
        </w:rPr>
        <w:t>. Except for Piper Sandler &amp; Co., neither Parent nor any of Parent’s Subsidiaries has employed any investment banker, broker or finder in connection with the Transactions who would be entitled to any fee or any commission in connection with or upon consummation of the Mergers.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5.18.      </w:t>
      </w:r>
      <w:r>
        <w:rPr>
          <w:rFonts w:ascii="Times New Roman" w:hAnsi="Times New Roman"/>
          <w:b w:val="false"/>
          <w:color w:val="000000"/>
          <w:sz w:val="20"/>
          <w:u w:val="single"/>
        </w:rPr>
        <w:t>Opinion of Financial Advisor</w:t>
      </w:r>
      <w:r>
        <w:rPr>
          <w:rFonts w:ascii="Times New Roman" w:hAnsi="Times New Roman"/>
          <w:b w:val="false"/>
          <w:color w:val="000000"/>
          <w:sz w:val="20"/>
        </w:rPr>
        <w:t>. The Parent Board has received the opinion of Piper Sandler &amp; Co. addressed to the Parent Board to the effect that, based upon and subject to the limitations, qualifications and assumptions set forth therein, as of the date of the opinion, the aggregate Per Share Parent Consideration payable pursuant to this Agreement is fair, from a financial point of view, to Parent. A copy of such opinion will be promptly provided to the Company for informational purposes only.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5.19.      </w:t>
      </w:r>
      <w:r>
        <w:rPr>
          <w:rFonts w:ascii="Times New Roman" w:hAnsi="Times New Roman"/>
          <w:b w:val="false"/>
          <w:color w:val="000000"/>
          <w:sz w:val="20"/>
          <w:u w:val="single"/>
        </w:rPr>
        <w:t>Investigation; No Other Representations</w:t>
      </w:r>
      <w:r>
        <w:rPr>
          <w:rFonts w:ascii="Times New Roman" w:hAnsi="Times New Roman"/>
          <w:b w:val="false"/>
          <w:color w:val="000000"/>
          <w:sz w:val="20"/>
        </w:rPr>
        <w:t xml:space="preserve">. Each of Parent and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certain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Parent and Merger Sub acknowledge and agree that, except for the representations and warranties expressly set forth in </w:t>
      </w:r>
      <w:r>
        <w:rPr>
          <w:rFonts w:ascii="Times New Roman" w:hAnsi="Times New Roman"/>
          <w:b w:val="false"/>
          <w:color w:val="000000"/>
          <w:sz w:val="20"/>
          <w:u w:val="single"/>
        </w:rPr>
        <w:t>Article IV</w:t>
      </w:r>
      <w:r>
        <w:rPr>
          <w:rFonts w:ascii="Times New Roman" w:hAnsi="Times New Roman"/>
          <w:b w:val="false"/>
          <w:color w:val="000000"/>
          <w:sz w:val="20"/>
        </w:rPr>
        <w:t xml:space="preserve"> (as qualified by the Company Disclosure Letter) or any certificate delivered by the Company pursuant to this Agreement (a) the Company does not make, or has not made, and neither Parent nor Merger Sub has relied on, any express or implied representations or warranties relating to the Company, its Subsidiaries or their respective businesses or otherwise; (b) no Person has been authorized by the Company to make any representation or warranty relating to it or its business or otherwise in connection with the Transactions, and if made, such representation or warranty must not be relied upon by Parent or Merger Sub as having been authorized by such party. Parent and Merger Sub further acknowledge and agree that any estimates, projections, predictions, data, financial information, memoranda, presentations or any other materials or information provided or addressed to Parent or Merger Sub or any of their Representatives are not and shall not be deemed to be or include representations or warranties unless any such materials or information is the subject of any express representation or warranty set forth in </w:t>
      </w:r>
      <w:r>
        <w:rPr>
          <w:rFonts w:ascii="Times New Roman" w:hAnsi="Times New Roman"/>
          <w:b w:val="false"/>
          <w:color w:val="000000"/>
          <w:sz w:val="20"/>
          <w:u w:val="single"/>
        </w:rPr>
        <w:t>Article IV</w:t>
      </w:r>
      <w:r>
        <w:rPr>
          <w:rFonts w:ascii="Times New Roman" w:hAnsi="Times New Roman"/>
          <w:b w:val="false"/>
          <w:color w:val="000000"/>
          <w:sz w:val="20"/>
        </w:rPr>
        <w:t xml:space="preserve"> or any certificate delivered by the Company pursuant to this Agreement. Without limiting the foregoing, each of Parent and Merger Sub acknowledge and agree that, except for any remedies available under this Agreement with respect to the representations and warranties expressly set forth in </w:t>
      </w:r>
      <w:r>
        <w:rPr>
          <w:rFonts w:ascii="Times New Roman" w:hAnsi="Times New Roman"/>
          <w:b w:val="false"/>
          <w:color w:val="000000"/>
          <w:sz w:val="20"/>
          <w:u w:val="single"/>
        </w:rPr>
        <w:t>Article IV</w:t>
      </w:r>
      <w:r>
        <w:rPr>
          <w:rFonts w:ascii="Times New Roman" w:hAnsi="Times New Roman"/>
          <w:b w:val="false"/>
          <w:color w:val="000000"/>
          <w:sz w:val="20"/>
        </w:rPr>
        <w:t xml:space="preserve"> (as qualified by the Company Disclosure Letter) or in any certificate delivered by the Company pursuant to this Agreement,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or on behalf of the Company or its Representatives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VI</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COVENANTS AND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6.1.        </w:t>
      </w:r>
      <w:r>
        <w:rPr>
          <w:rFonts w:ascii="Times New Roman" w:hAnsi="Times New Roman"/>
          <w:b w:val="false"/>
          <w:color w:val="000000"/>
          <w:sz w:val="20"/>
          <w:u w:val="single"/>
        </w:rPr>
        <w:t>Access to Information, Personnel and Facilities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From the date of this Agreement until the earlier of the Company Merger Effective Time or the date this Agreement is terminated (the “</w:t>
      </w:r>
      <w:r>
        <w:rPr>
          <w:rFonts w:ascii="Times New Roman" w:hAnsi="Times New Roman"/>
          <w:b w:val="false"/>
          <w:color w:val="000000"/>
          <w:sz w:val="20"/>
          <w:u w:val="single"/>
        </w:rPr>
        <w:t>Interim Period</w:t>
      </w:r>
      <w:r>
        <w:rPr>
          <w:rFonts w:ascii="Times New Roman" w:hAnsi="Times New Roman"/>
          <w:b w:val="false"/>
          <w:color w:val="000000"/>
          <w:sz w:val="20"/>
        </w:rPr>
        <w:t xml:space="preserve">”), subject to </w:t>
      </w:r>
      <w:r>
        <w:rPr>
          <w:rFonts w:ascii="Times New Roman" w:hAnsi="Times New Roman"/>
          <w:b w:val="false"/>
          <w:color w:val="000000"/>
          <w:sz w:val="20"/>
          <w:u w:val="single"/>
        </w:rPr>
        <w:t>Section 6.1(b)</w:t>
      </w:r>
      <w:r>
        <w:rPr>
          <w:rFonts w:ascii="Times New Roman" w:hAnsi="Times New Roman"/>
          <w:b w:val="false"/>
          <w:color w:val="000000"/>
          <w:sz w:val="20"/>
        </w:rPr>
        <w:t xml:space="preserve"> and </w:t>
      </w:r>
      <w:r>
        <w:rPr>
          <w:rFonts w:ascii="Times New Roman" w:hAnsi="Times New Roman"/>
          <w:b w:val="false"/>
          <w:color w:val="000000"/>
          <w:sz w:val="20"/>
          <w:u w:val="single"/>
        </w:rPr>
        <w:t>Section 6.1(c)</w:t>
      </w:r>
      <w:r>
        <w:rPr>
          <w:rFonts w:ascii="Times New Roman" w:hAnsi="Times New Roman"/>
          <w:b w:val="false"/>
          <w:color w:val="000000"/>
          <w:sz w:val="20"/>
        </w:rPr>
        <w:t xml:space="preserve">, Parent and the Company shall, and shall cause their respective Subsidiaries to, give the other party and its Representatives, upon reasonable notice, reasonable access during normal business hours to the books and records, real property, offices and facilities of such party and its Subsidiaries, and, during such normal business hours in the Interim Period, such party shall, and shall cause its Subsidiaries to, make the officers and employees of such party and its Subsidiaries available to the other party and its Representatives and to furnish to the other party all financial, operating and other data and information, in each case, (i) as the other party shall from time to time reasonably request for the purpose of furthering the Transactions (including for the purpose of (x) in the case of Parent, assisting Parent in confirming the satisfaction of the conditions set forth in </w:t>
      </w:r>
      <w:r>
        <w:rPr>
          <w:rFonts w:ascii="Times New Roman" w:hAnsi="Times New Roman"/>
          <w:b w:val="false"/>
          <w:color w:val="000000"/>
          <w:sz w:val="20"/>
          <w:u w:val="single"/>
        </w:rPr>
        <w:t>Section 7.1</w:t>
      </w:r>
      <w:r>
        <w:rPr>
          <w:rFonts w:ascii="Times New Roman" w:hAnsi="Times New Roman"/>
          <w:b w:val="false"/>
          <w:color w:val="000000"/>
          <w:sz w:val="20"/>
        </w:rPr>
        <w:t xml:space="preserve"> and </w:t>
      </w:r>
      <w:r>
        <w:rPr>
          <w:rFonts w:ascii="Times New Roman" w:hAnsi="Times New Roman"/>
          <w:b w:val="false"/>
          <w:color w:val="000000"/>
          <w:sz w:val="20"/>
          <w:u w:val="single"/>
        </w:rPr>
        <w:t>Section 7.2</w:t>
      </w:r>
      <w:r>
        <w:rPr>
          <w:rFonts w:ascii="Times New Roman" w:hAnsi="Times New Roman"/>
          <w:b w:val="false"/>
          <w:color w:val="000000"/>
          <w:sz w:val="20"/>
        </w:rPr>
        <w:t xml:space="preserve"> and (y) in the case of the Company, assisting the Company in confirming the satisfaction of the conditions set forth in </w:t>
      </w:r>
      <w:r>
        <w:rPr>
          <w:rFonts w:ascii="Times New Roman" w:hAnsi="Times New Roman"/>
          <w:b w:val="false"/>
          <w:color w:val="000000"/>
          <w:sz w:val="20"/>
          <w:u w:val="single"/>
        </w:rPr>
        <w:t>Section 7.1</w:t>
      </w:r>
      <w:r>
        <w:rPr>
          <w:rFonts w:ascii="Times New Roman" w:hAnsi="Times New Roman"/>
          <w:b w:val="false"/>
          <w:color w:val="000000"/>
          <w:sz w:val="20"/>
        </w:rPr>
        <w:t xml:space="preserve"> and </w:t>
      </w:r>
      <w:r>
        <w:rPr>
          <w:rFonts w:ascii="Times New Roman" w:hAnsi="Times New Roman"/>
          <w:b w:val="false"/>
          <w:color w:val="000000"/>
          <w:sz w:val="20"/>
          <w:u w:val="single"/>
        </w:rPr>
        <w:t>Section 7.3</w:t>
      </w:r>
      <w:r>
        <w:rPr>
          <w:rFonts w:ascii="Times New Roman" w:hAnsi="Times New Roman"/>
          <w:b w:val="false"/>
          <w:color w:val="000000"/>
          <w:sz w:val="20"/>
        </w:rPr>
        <w:t xml:space="preserve">) and for integration planning purposes; and (ii) to the extent that such access and disclosure would not obligate such party or any of its Subsidiaries to take any actions that would unreasonably interfere with the normal course of their businesses;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subject to </w:t>
      </w:r>
      <w:r>
        <w:rPr>
          <w:rFonts w:ascii="Times New Roman" w:hAnsi="Times New Roman"/>
          <w:b w:val="false"/>
          <w:color w:val="000000"/>
          <w:sz w:val="20"/>
          <w:u w:val="single"/>
        </w:rPr>
        <w:t>Section 6.21(g)</w:t>
      </w:r>
      <w:r>
        <w:rPr>
          <w:rFonts w:ascii="Times New Roman" w:hAnsi="Times New Roman"/>
          <w:b w:val="false"/>
          <w:color w:val="000000"/>
          <w:sz w:val="20"/>
        </w:rPr>
        <w:t>, in no event shall access to any personnel of the Company and its Subsidiaries be made available to Parent or any of its Representatives for the purpose of negotiating and/or entering into any new employment or compensation arrangements without the Company’s prior written consent, not to be unreasonably withheld, conditioned or delayed.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Nothing in </w:t>
      </w:r>
      <w:r>
        <w:rPr>
          <w:rFonts w:ascii="Times New Roman" w:hAnsi="Times New Roman"/>
          <w:b w:val="false"/>
          <w:color w:val="000000"/>
          <w:sz w:val="20"/>
          <w:u w:val="single"/>
        </w:rPr>
        <w:t>Section 6.1(a)</w:t>
      </w:r>
      <w:r>
        <w:rPr>
          <w:rFonts w:ascii="Times New Roman" w:hAnsi="Times New Roman"/>
          <w:b w:val="false"/>
          <w:color w:val="000000"/>
          <w:sz w:val="20"/>
        </w:rPr>
        <w:t xml:space="preserve"> shall require Parent or the Company to provide access or to disclose any information to the other party hereto or its Representatives if such access or disclosure, (i) jeopardizes the health and safety of any officer or employee of such party or any of its Subsidiaries; (ii) constitutes a violation of applicable Laws; (iii) causes a breach of, or material default pursuant to, any binding agreement entered into by such party or its Subsidiaries prior to the date of this Agreement; (iv) would reasonably be expected to result in a loss or impairment of the protection of any attorney-client or work product privilege; (v) would result in the disclosure of Trade Secrets of any Person; or (vi) relates to the Company and the Company Board’s evaluation or negotiation of the Transactions or any other transaction or strategic alternatives review process;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in such instances such party shall inform the other party of the general nature of the information being withheld and, upon the other party’s request, exercise commercially reasonable efforts to provide such information, in whole or in part, in a manner that would not result in any of the outcomes described in this sentence. If any of the information or material furnished pursuant to </w:t>
      </w:r>
      <w:r>
        <w:rPr>
          <w:rFonts w:ascii="Times New Roman" w:hAnsi="Times New Roman"/>
          <w:b w:val="false"/>
          <w:color w:val="000000"/>
          <w:sz w:val="20"/>
          <w:u w:val="single"/>
        </w:rPr>
        <w:t>Section 6.1(a)</w:t>
      </w:r>
      <w:r>
        <w:rPr>
          <w:rFonts w:ascii="Times New Roman" w:hAnsi="Times New Roman"/>
          <w:b w:val="false"/>
          <w:color w:val="000000"/>
          <w:sz w:val="20"/>
        </w:rPr>
        <w:t xml:space="preserve"> 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Parent or the Company that is entitled to protection under the attorney-client privilege, work product doctrine or other applicable privilege shall remain entitled to such protection under these privileges, this Agreement and the joint defense doctrine. In no event shall the work papers of Parent’s, the Company’s and their respective Subsidiaries’ independent accountants and auditors be accessible to the other party or any of its Representatives unless and until such accountants and auditors have provided a consent related thereto in form and substance reasonably acceptable to such auditors or independent accountants.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All information provided by Parent or the Company shall be held in confidence in accordance with the Confidentiality Agreement, which Confidentiality Agreement will remain in full force and effect until Closing and shall automatically terminate on and with effect from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6.2.         </w:t>
      </w:r>
      <w:r>
        <w:rPr>
          <w:rFonts w:ascii="Times New Roman" w:hAnsi="Times New Roman"/>
          <w:b w:val="false"/>
          <w:color w:val="000000"/>
          <w:sz w:val="20"/>
          <w:u w:val="single"/>
        </w:rPr>
        <w:t>Conduct of Company Business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During the Interim Period, other than (i) as required, contemplated or permitted by this Agreement, (ii) with the prior written consent of Parent (not to be unreasonably withheld, conditioned or delayed), (iii) as required by or reasonably responsive to a request or requirement of a Governmental Authority, applicable Law or the rules and regulations of the NYSE or (iv) as set forth in </w:t>
      </w:r>
      <w:r>
        <w:rPr>
          <w:rFonts w:ascii="Times New Roman" w:hAnsi="Times New Roman"/>
          <w:b w:val="false"/>
          <w:color w:val="000000"/>
          <w:sz w:val="20"/>
          <w:u w:val="single"/>
        </w:rPr>
        <w:t>Section 6.2(a)</w:t>
      </w:r>
      <w:r>
        <w:rPr>
          <w:rFonts w:ascii="Times New Roman" w:hAnsi="Times New Roman"/>
          <w:b w:val="false"/>
          <w:color w:val="000000"/>
          <w:sz w:val="20"/>
        </w:rPr>
        <w:t xml:space="preserve"> of the Company Disclosure Letter (the exceptions in </w:t>
      </w:r>
      <w:r>
        <w:rPr>
          <w:rFonts w:ascii="Times New Roman" w:hAnsi="Times New Roman"/>
          <w:b w:val="false"/>
          <w:color w:val="000000"/>
          <w:sz w:val="20"/>
          <w:u w:val="single"/>
        </w:rPr>
        <w:t>clauses (i)-(iv)</w:t>
      </w:r>
      <w:r>
        <w:rPr>
          <w:rFonts w:ascii="Times New Roman" w:hAnsi="Times New Roman"/>
          <w:b w:val="false"/>
          <w:color w:val="000000"/>
          <w:sz w:val="20"/>
        </w:rPr>
        <w:t>, the “</w:t>
      </w:r>
      <w:r>
        <w:rPr>
          <w:rFonts w:ascii="Times New Roman" w:hAnsi="Times New Roman"/>
          <w:b w:val="false"/>
          <w:color w:val="000000"/>
          <w:sz w:val="20"/>
          <w:u w:val="single"/>
        </w:rPr>
        <w:t>Interim Covenant Exceptions</w:t>
      </w:r>
      <w:r>
        <w:rPr>
          <w:rFonts w:ascii="Times New Roman" w:hAnsi="Times New Roman"/>
          <w:b w:val="false"/>
          <w:color w:val="000000"/>
          <w:sz w:val="20"/>
        </w:rPr>
        <w:t xml:space="preserve">”), the Company shall, and shall cause its Subsidiaries to, use its commercially reasonable efforts to (A) conduct its business in all material respects in the ordinary course consistent with past practice and to maintain and preserve intact, in all material respects, its business organization, its existing relationships with its key business relationships, vendors and counterparties, and to maintain all material Permits and (B) maintain the Company’s and Company Sub-REIT’s status as a REIT;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no action by the Company or its Subsidiaries with respect to matters specifically addressed by any provision of </w:t>
      </w:r>
      <w:r>
        <w:rPr>
          <w:rFonts w:ascii="Times New Roman" w:hAnsi="Times New Roman"/>
          <w:b w:val="false"/>
          <w:color w:val="000000"/>
          <w:sz w:val="20"/>
          <w:u w:val="single"/>
        </w:rPr>
        <w:t>Section 6.2(b)</w:t>
      </w:r>
      <w:r>
        <w:rPr>
          <w:rFonts w:ascii="Times New Roman" w:hAnsi="Times New Roman"/>
          <w:b w:val="false"/>
          <w:color w:val="000000"/>
          <w:sz w:val="20"/>
        </w:rPr>
        <w:t xml:space="preserve"> (subject to the exceptions set forth therein) shall be deemed a breach of this sentence, unless such action would constitute a breach of such other provision.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During the Interim Period, the Company shall not, and shall cause its Subsidiaries not to, other than pursuant to any Interim Covenant Exception or as set forth in </w:t>
      </w:r>
      <w:r>
        <w:rPr>
          <w:rFonts w:ascii="Times New Roman" w:hAnsi="Times New Roman"/>
          <w:b w:val="false"/>
          <w:color w:val="000000"/>
          <w:sz w:val="20"/>
          <w:u w:val="single"/>
        </w:rPr>
        <w:t>Section 6.2(b)</w:t>
      </w:r>
      <w:r>
        <w:rPr>
          <w:rFonts w:ascii="Times New Roman" w:hAnsi="Times New Roman"/>
          <w:b w:val="false"/>
          <w:color w:val="000000"/>
          <w:sz w:val="20"/>
        </w:rPr>
        <w:t xml:space="preserve"> of the Company Disclosure Letter: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(A) declare, set aside or pay any dividends on, or make any other distribution (whether in cash, stock, property or otherwise) in respect of any outstanding capital stock of, or other equity interests in, the Company or any of its Subsidiaries, except for: (1) quarterly dividends payable in respect of the Company Common Stock at a rate not to exceed $0.10 per share of Company Common Stock; (2) regular quarterly dividends payable in respect of (x) the Company Preferred Stock as required by their terms and consistent with past practice and (y) the issued and outstanding preferred stock of the Company Sub-REIT as required by their terms and consistent with past practice; (3) dividends or other distributions to the Company by any directly or indirectly wholly owned Subsidiary of the Company; (4) without duplication of the amounts described in </w:t>
      </w:r>
      <w:r>
        <w:rPr>
          <w:rFonts w:ascii="Times New Roman" w:hAnsi="Times New Roman"/>
          <w:b w:val="false"/>
          <w:color w:val="000000"/>
          <w:sz w:val="20"/>
          <w:u w:val="single"/>
        </w:rPr>
        <w:t>clauses (1)</w:t>
      </w:r>
      <w:r>
        <w:rPr>
          <w:rFonts w:ascii="Times New Roman" w:hAnsi="Times New Roman"/>
          <w:b w:val="false"/>
          <w:color w:val="000000"/>
          <w:sz w:val="20"/>
        </w:rPr>
        <w:t xml:space="preserve"> through </w:t>
      </w:r>
      <w:r>
        <w:rPr>
          <w:rFonts w:ascii="Times New Roman" w:hAnsi="Times New Roman"/>
          <w:b w:val="false"/>
          <w:color w:val="000000"/>
          <w:sz w:val="20"/>
          <w:u w:val="single"/>
        </w:rPr>
        <w:t>(3)</w:t>
      </w:r>
      <w:r>
        <w:rPr>
          <w:rFonts w:ascii="Times New Roman" w:hAnsi="Times New Roman"/>
          <w:b w:val="false"/>
          <w:color w:val="000000"/>
          <w:sz w:val="20"/>
        </w:rPr>
        <w:t xml:space="preserve">, any dividends or other distributions necessary for the Company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the Company or such Subsidiary; or (5) any dividend to the extent authorized, declared and paid in accordance with </w:t>
      </w:r>
      <w:r>
        <w:rPr>
          <w:rFonts w:ascii="Times New Roman" w:hAnsi="Times New Roman"/>
          <w:b w:val="false"/>
          <w:color w:val="000000"/>
          <w:sz w:val="20"/>
          <w:u w:val="single"/>
        </w:rPr>
        <w:t>Section 6.19</w:t>
      </w:r>
      <w:r>
        <w:rPr>
          <w:rFonts w:ascii="Times New Roman" w:hAnsi="Times New Roman"/>
          <w:b w:val="false"/>
          <w:color w:val="000000"/>
          <w:sz w:val="20"/>
        </w:rPr>
        <w: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except as required by the Organizational Documents of the Company or any Subsidiary of the Company (including the Company Operating Partnership Agreement in respect of the Company Operating Partnership) or any Company Equity Plan, in each case, existing as of the date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offer, issue, deliver, grant or sell, or authorize or propose to offer, issue, deliver, grant or sell, any capital stock of, or other equity interests in, the Company or any of its Subsidiaries or any securities convertible into or exchangeable for, or any rights, warrants or options to acquire, any such capital stock or equity interests, or accelerate vesting of any awards granted under the Company Equity Plans, other than: (A) the issuance or delivery of Company Common Stock upon the vesting or lapse of any restrictions on Company Equity Awards granted under the Company Equity Plans that are outstanding on the date hereof; and (B) shares of capital stock or other ownership interests of any Subsidiary of the Company issued as a dividend made in accordance with </w:t>
      </w:r>
      <w:r>
        <w:rPr>
          <w:rFonts w:ascii="Times New Roman" w:hAnsi="Times New Roman"/>
          <w:b w:val="false"/>
          <w:color w:val="000000"/>
          <w:sz w:val="20"/>
          <w:u w:val="single"/>
        </w:rPr>
        <w:t>Section 6.2(b)(i)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(iii)        (A) amend the Company’s Organizational Documents; or (B) other than amendments that are ministerial in nature, amend the Organizational Documents of any of the Company’s Subsidiaries (including the Company Operating Partnership Agreement in respect of the Company Operating Partnership);</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(iv)        (A)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(1) transactions between the Company and a wholly owned Subsidiary of the Company or between or among wholly owned Subsidiaries of the Company; or (2) acquisitions of assets in the ordinary course of business, including the acquisition of any mortgage-backed securities, “To Be Announced” agency mortgage-backed securities, mortgage servicing rights, U.S. Treasuries or other assets or securities permitted under the Company’s investment guidelines in effect on the date hereof, including derivative securities and other instruments used for the purpose of hedging interest rate risk (collectively, “</w:t>
      </w:r>
      <w:r>
        <w:rPr>
          <w:rFonts w:ascii="Times New Roman" w:hAnsi="Times New Roman"/>
          <w:b w:val="false"/>
          <w:color w:val="000000"/>
          <w:sz w:val="20"/>
          <w:u w:val="single"/>
        </w:rPr>
        <w:t>Company Portfolio Securities</w:t>
      </w:r>
      <w:r>
        <w:rPr>
          <w:rFonts w:ascii="Times New Roman" w:hAnsi="Times New Roman"/>
          <w:b w:val="false"/>
          <w:color w:val="000000"/>
          <w:sz w:val="20"/>
        </w:rPr>
        <w:t>”), in each case, in the ordinary course of business and in accordance with the Company’s investment guidelines in effect on the date hereof;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(v)         sell, lease or otherwise dispose of, or agree to sell, lease or otherwise dispose of, any material portion of its assets, other than sales, leases or dispositions of assets (A) that involve a sale price consistent with the terms set forth in </w:t>
      </w:r>
      <w:r>
        <w:rPr>
          <w:rFonts w:ascii="Times New Roman" w:hAnsi="Times New Roman"/>
          <w:b w:val="false"/>
          <w:color w:val="000000"/>
          <w:sz w:val="20"/>
          <w:u w:val="single"/>
        </w:rPr>
        <w:t>Section 6.2(b)(v)</w:t>
      </w:r>
      <w:r>
        <w:rPr>
          <w:rFonts w:ascii="Times New Roman" w:hAnsi="Times New Roman"/>
          <w:b w:val="false"/>
          <w:color w:val="000000"/>
          <w:sz w:val="20"/>
        </w:rPr>
        <w:t xml:space="preserve"> of the Company Disclosure Letter or (B) that are Company Portfolio Securities in the ordinary course of business and in accordance with the Company’s investment guidelines in effect on the date hereof (but excluding any bulk sales of mortgage servicing rights);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         adopt a plan of complete or partial liquidation or dissolution of the Company or any of its Subsidiaries;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(vii)       change in any material respect its material accounting principles, practices or methods in a manner that would materially affect the consolidated assets, liabilities or results of operations of the Company and its Subsidiaries, except as required by GAAP or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(viii)       except (A) if required by Law or (B) if and to the extent necessary (1) to preserve the Company’s qualification as a REIT or the qualification of any Subsidiary of the Company (including the Company Sub-REIT) as a REIT under the Code or (2) to qualify or preserve the status of any Subsidiary of the Company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the Company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(ix)        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the Company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Company Benefit Plan or amend any Company Benefit Plan in existence on the date of this Agreement if such amendment would have the effect of enhancing or increasing any benefits thereunder;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no action will be a violation of this </w:t>
      </w:r>
      <w:r>
        <w:rPr>
          <w:rFonts w:ascii="Times New Roman" w:hAnsi="Times New Roman"/>
          <w:b w:val="false"/>
          <w:color w:val="000000"/>
          <w:sz w:val="20"/>
          <w:u w:val="single"/>
        </w:rPr>
        <w:t>Section 6.2(b)(ix)</w:t>
      </w:r>
      <w:r>
        <w:rPr>
          <w:rFonts w:ascii="Times New Roman" w:hAnsi="Times New Roman"/>
          <w:b w:val="false"/>
          <w:color w:val="000000"/>
          <w:sz w:val="20"/>
        </w:rPr>
        <w:t xml:space="preserve"> if it is (1) taken in order to comply with applicable Law; (2) required by, and taken pursuant to, a Company Equity Plan or Benefit Plan existing on the date hereof; (3) required to be taken pursuant to the Company Executive Severance Plan and Company Severance Plan; or (4) as set forth in </w:t>
      </w:r>
      <w:r>
        <w:rPr>
          <w:rFonts w:ascii="Times New Roman" w:hAnsi="Times New Roman"/>
          <w:b w:val="false"/>
          <w:color w:val="000000"/>
          <w:sz w:val="20"/>
          <w:u w:val="single"/>
        </w:rPr>
        <w:t>Section 6.2(b)</w:t>
      </w:r>
      <w:r>
        <w:rPr>
          <w:rFonts w:ascii="Times New Roman" w:hAnsi="Times New Roman"/>
          <w:b w:val="false"/>
          <w:color w:val="000000"/>
          <w:sz w:val="20"/>
        </w:rPr>
        <w:t xml:space="preserve"> of the Company Disclosure Letter;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         make any loans, advances or capital contributions to, or investments in, any other Person, except for (A) advances made in connection with Company Portfolio Securities in the ordinary course of business; (B) reverse purchase transactions involving Company Portfolio Securities in the ordinary course of business; (C) funding of commitments in the ordinary course of business in accordance with the terms of any agreements in effect as of the date hereof; (D) for loans among the Company and its wholly owned Subsidiaries or among the Company’s wholly owned Subsidiaries in the ordinary course of business; (E) advances for reimbursable employee or personnel expenses in the ordinary course of business consistent with past practice; (F) as required under the terms of any indemnification agreement in effect on the date hereof; or (G) as required under the Organizational Documents of the Company or its applicable Subsidiary as in effect as of the date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(xi)        (A) enter into any contract that would be a Company Material Contract, except in the ordinary course of business and as would not prevent or materially delay the consummation of the Transactions, or (B) modify, amend, terminate or assign, or waive or assign any material rights under, any Company Material Contract in any material respect except in the ordinary course of business and which would not reasonably be expected to prevent or materially delay the consummation of the Transactions, and, for the avoidance of doubt, with respect to </w:t>
      </w:r>
      <w:r>
        <w:rPr>
          <w:rFonts w:ascii="Times New Roman" w:hAnsi="Times New Roman"/>
          <w:b w:val="false"/>
          <w:color w:val="000000"/>
          <w:sz w:val="20"/>
          <w:u w:val="single"/>
        </w:rPr>
        <w:t>clauses (A)</w:t>
      </w:r>
      <w:r>
        <w:rPr>
          <w:rFonts w:ascii="Times New Roman" w:hAnsi="Times New Roman"/>
          <w:b w:val="false"/>
          <w:color w:val="000000"/>
          <w:sz w:val="20"/>
        </w:rPr>
        <w:t xml:space="preserve"> and </w:t>
      </w:r>
      <w:r>
        <w:rPr>
          <w:rFonts w:ascii="Times New Roman" w:hAnsi="Times New Roman"/>
          <w:b w:val="false"/>
          <w:color w:val="000000"/>
          <w:sz w:val="20"/>
          <w:u w:val="single"/>
        </w:rPr>
        <w:t>(B)</w:t>
      </w:r>
      <w:r>
        <w:rPr>
          <w:rFonts w:ascii="Times New Roman" w:hAnsi="Times New Roman"/>
          <w:b w:val="false"/>
          <w:color w:val="000000"/>
          <w:sz w:val="20"/>
        </w:rPr>
        <w:t xml:space="preserve">, except for (1) repurchase or reverse repurchase agreements and/or master repurchase agreements to finance the purchase price of assets in the ordinary course of business or refinance the Company’s or any of its Subsidiaries’ repurchase obligations pursuant to such agreements when due in the ordinary course of business; (2) any contracts to execute dollar roll financing transactions pursuant to the Company’s or any of its Subsidiaries’ master securities forward transactions agreements to finance the purchase or sale price of “To Be Announced” agency mortgage-backed securities in the ordinary course of business; (3) any derivative financial agreements or instruments (including any swaps, swap options, futures, caps and short positions) entered into or incurred by the Company or any Subsidiary of the Company in the ordinary course of business for the purpose of fixing or hedging interest rate risk and not for speculative purposes; (4) to the extent not prohibited by other provisions in this </w:t>
      </w:r>
      <w:r>
        <w:rPr>
          <w:rFonts w:ascii="Times New Roman" w:hAnsi="Times New Roman"/>
          <w:b w:val="false"/>
          <w:color w:val="000000"/>
          <w:sz w:val="20"/>
          <w:u w:val="single"/>
        </w:rPr>
        <w:t>Section 6.2(b)</w:t>
      </w:r>
      <w:r>
        <w:rPr>
          <w:rFonts w:ascii="Times New Roman" w:hAnsi="Times New Roman"/>
          <w:b w:val="false"/>
          <w:color w:val="000000"/>
          <w:sz w:val="20"/>
        </w:rPr>
        <w:t>, contracts providing for the acquisition, purchase, sale or divestiture of debt securities by the Company or any of its Subsidiaries in the ordinary course of business and that are materially consistent with the contracts or forms thereof provided to Parent prior to the date hereof; (5) any termination, renewal or extension in accordance with the terms of any existing Company Material Contract that occurs automatically without any action (other than notice of renewal or extension) by Company or any Subsidiary of the Company; (6) any trade agreements entered into, modified, amended, terminated or assigned in the ordinary course of business; and (7) any master securities lending agreements, master securities forward transaction agreements and ISDA master agreements entered into, amended, terminated or assigned in the ordinary course of business;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(xii)       other than the settlement of any Litigation (A) reflected or reserved against on the most recent balance sheet of the Company (or in the notes thereto) filed with the SEC prior to the date hereof and not in excess of the amount reflected or reserved for such matter or (B) in connection with any stockholder litigation against the Company and/or its employees, officers or directors relating to this Agreement, the Mergers and/or the other Transactions in accordance with </w:t>
      </w:r>
      <w:r>
        <w:rPr>
          <w:rFonts w:ascii="Times New Roman" w:hAnsi="Times New Roman"/>
          <w:b w:val="false"/>
          <w:color w:val="000000"/>
          <w:sz w:val="20"/>
          <w:u w:val="single"/>
        </w:rPr>
        <w:t>Section 6.14</w:t>
      </w:r>
      <w:r>
        <w:rPr>
          <w:rFonts w:ascii="Times New Roman" w:hAnsi="Times New Roman"/>
          <w:b w:val="false"/>
          <w:color w:val="000000"/>
          <w:sz w:val="20"/>
        </w:rPr>
        <w:t>, settle, or offer or propose to settle, any Litigation against the Company or any of its Subsidiaries (excluding any audit, claim or other proceeding in respect of Taxes) that would result in (1) the payment of monetary damages or other transfer of value by the Company or any of its Subsidiaries exceeding $250,000 individually or $1,000,000 in the aggregate or (2) any material restriction on the Company or any of its Subsidiaries, or any admission of wrongdoing by the Company or any of its Subsidiaries;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(xiii)      take any action, or fail to take any action, which action or failure could reasonably be expected to cause the Company to fail to qualify as a REIT or any of its Subsidiaries to fail to qualify as a REIT or to cease to be treated as any of (A) a partnership or disregarded entity for U.S. federal income tax purposes or (B) a REIT, Qualified REIT Subsidiary or Taxable REIT Subsidiary under the applicable provisions of Section 856 of the Code, as the case may be;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(xiv)      take any action, or fail to take any action, which action or failure would reasonably be expected to prevent or impede the Company Merger from qualifying as a reorganization within the meaning of Section 368(a) of the Code;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(xv)        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foregoing shall not restrict (A) the incurrence of any indebtedness among the Company and its wholly owned Subsidiaries or among the Company’s wholly owned Subsidiaries; (B) transactions pursuant to the Company’s master repurchase agreements or other financing agreements to finance the purchase price of assets in the ordinary course of business or refinance the Company’s repurchase obligations pursuant to such master repurchase agreements when due in the ordinary course of business; (C) guarantees by the Company of indebtedness of its Subsidiaries or guarantees by the Subsidiaries of the Company of indebtedness of the Company or any other Subsidiaries of the Company, which indebtedness is incurred in compliance with the immediately preceding </w:t>
      </w:r>
      <w:r>
        <w:rPr>
          <w:rFonts w:ascii="Times New Roman" w:hAnsi="Times New Roman"/>
          <w:b w:val="false"/>
          <w:color w:val="000000"/>
          <w:sz w:val="20"/>
          <w:u w:val="single"/>
        </w:rPr>
        <w:t>clause (B)</w:t>
      </w:r>
      <w:r>
        <w:rPr>
          <w:rFonts w:ascii="Times New Roman" w:hAnsi="Times New Roman"/>
          <w:b w:val="false"/>
          <w:color w:val="000000"/>
          <w:sz w:val="20"/>
        </w:rPr>
        <w:t>; (D) dollar roll financing transactions pursuant to the Company’s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the Company or any of its Subsidiaries for the purpose of fixing or hedging interest rate and not for speculative purposes;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(xvi)       enter into any new line of business;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(xvii)     take any action, or fail to take any action, which action or failure would reasonably be expected to cause the Company or any of its Subsidiaries to be required to be registered as an investment company under the Investment Company Act;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(xviii)    other than with Subsidiaries of the Company, enter into any material transactions or contracts with any Affiliates of the Company;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(xix)       agree or enter into any arrangement or understanding to take any action that is prohibited by this </w:t>
      </w:r>
      <w:r>
        <w:rPr>
          <w:rFonts w:ascii="Times New Roman" w:hAnsi="Times New Roman"/>
          <w:b w:val="false"/>
          <w:color w:val="000000"/>
          <w:sz w:val="20"/>
          <w:u w:val="single"/>
        </w:rPr>
        <w:t>Section 6.2(b)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Notwithstanding anything to the contrary set forth in this Agreement, nothing in this Agreement shall prohibit the Company or any of its Subsidiaries (including the Company Operating Partnership) from taking any action, at any time or from time to time, that in the reasonable judgment of the Company, upon advice of counsel, is reasonably necessary for the Company or the Company Sub-REIT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the Company’s stockholders in accordance with this Agreement or otherwise, or (iii) avoid being required to register as an investment company under the Investment Company Act;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prior to taking any action under this paragraph, the Company shall provide Parent with reasonable advance notice of any proposed action and shall in good faith discuss such proposed action with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6.3.         </w:t>
      </w:r>
      <w:r>
        <w:rPr>
          <w:rFonts w:ascii="Times New Roman" w:hAnsi="Times New Roman"/>
          <w:b w:val="false"/>
          <w:color w:val="000000"/>
          <w:sz w:val="20"/>
          <w:u w:val="single"/>
        </w:rPr>
        <w:t>Conduct of Parent Business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During the Interim Period, other than (i) as required, contemplated or permitted by this Agreement, (ii) with the prior written consent of the Company (not to be unreasonably withheld, conditioned or delayed), (iii) as required by or reasonably responsive to a request or requirement of a Governmental Authority, applicable Law or the rules and regulations of the NYSE; or (iv) as set forth in </w:t>
      </w:r>
      <w:r>
        <w:rPr>
          <w:rFonts w:ascii="Times New Roman" w:hAnsi="Times New Roman"/>
          <w:b w:val="false"/>
          <w:color w:val="000000"/>
          <w:sz w:val="20"/>
          <w:u w:val="single"/>
        </w:rPr>
        <w:t>Section 6.3(a)</w:t>
      </w:r>
      <w:r>
        <w:rPr>
          <w:rFonts w:ascii="Times New Roman" w:hAnsi="Times New Roman"/>
          <w:b w:val="false"/>
          <w:color w:val="000000"/>
          <w:sz w:val="20"/>
        </w:rPr>
        <w:t xml:space="preserve"> of the Parent Disclosure Letter (the exceptions in </w:t>
      </w:r>
      <w:r>
        <w:rPr>
          <w:rFonts w:ascii="Times New Roman" w:hAnsi="Times New Roman"/>
          <w:b w:val="false"/>
          <w:color w:val="000000"/>
          <w:sz w:val="20"/>
          <w:u w:val="single"/>
        </w:rPr>
        <w:t>clauses (i)-(iv)</w:t>
      </w:r>
      <w:r>
        <w:rPr>
          <w:rFonts w:ascii="Times New Roman" w:hAnsi="Times New Roman"/>
          <w:b w:val="false"/>
          <w:color w:val="000000"/>
          <w:sz w:val="20"/>
        </w:rPr>
        <w:t>, the “</w:t>
      </w:r>
      <w:r>
        <w:rPr>
          <w:rFonts w:ascii="Times New Roman" w:hAnsi="Times New Roman"/>
          <w:b w:val="false"/>
          <w:color w:val="000000"/>
          <w:sz w:val="20"/>
          <w:u w:val="single"/>
        </w:rPr>
        <w:t>Parent Interim Covenant Exceptions</w:t>
      </w:r>
      <w:r>
        <w:rPr>
          <w:rFonts w:ascii="Times New Roman" w:hAnsi="Times New Roman"/>
          <w:b w:val="false"/>
          <w:color w:val="000000"/>
          <w:sz w:val="20"/>
        </w:rPr>
        <w:t xml:space="preserve">”), Parent shall, and shall cause its Subsidiaries to, use its commercially reasonable efforts to (A) conduct its business in all material respects in the ordinary course and to maintain and preserve intact, in all material respects, its business organization, its existing relationships with its key business relationships, vendors and counterparties, and to maintain all material Permits; and (B) maintain Parent’s status as a REIT;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no action by Parent or its Subsidiaries with respect to matters specifically addressed by any provision of </w:t>
      </w:r>
      <w:r>
        <w:rPr>
          <w:rFonts w:ascii="Times New Roman" w:hAnsi="Times New Roman"/>
          <w:b w:val="false"/>
          <w:color w:val="000000"/>
          <w:sz w:val="20"/>
          <w:u w:val="single"/>
        </w:rPr>
        <w:t>Section 6.3(b)</w:t>
      </w:r>
      <w:r>
        <w:rPr>
          <w:rFonts w:ascii="Times New Roman" w:hAnsi="Times New Roman"/>
          <w:b w:val="false"/>
          <w:color w:val="000000"/>
          <w:sz w:val="20"/>
        </w:rPr>
        <w:t xml:space="preserve"> (subject to the exceptions set forth therein) shall be deemed a breach of this sentence, unless such action would constitute a breach of such other provision.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During the Interim Period, Parent shall not, and shall cause its Subsidiaries not to, other than pursuant to any Parent Interim Covenant Exception or as set forth in </w:t>
      </w:r>
      <w:r>
        <w:rPr>
          <w:rFonts w:ascii="Times New Roman" w:hAnsi="Times New Roman"/>
          <w:b w:val="false"/>
          <w:color w:val="000000"/>
          <w:sz w:val="20"/>
          <w:u w:val="single"/>
        </w:rPr>
        <w:t>Section 6.3(b)</w:t>
      </w:r>
      <w:r>
        <w:rPr>
          <w:rFonts w:ascii="Times New Roman" w:hAnsi="Times New Roman"/>
          <w:b w:val="false"/>
          <w:color w:val="000000"/>
          <w:sz w:val="20"/>
        </w:rPr>
        <w:t xml:space="preserve"> of the Parent Disclosure Letter: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(A) declare, set aside or pay any dividends on, or make any other distribution (whether in cash, stock, property or otherwise) in respect of any outstanding capital stock of, or other equity interests in, Parent or any of its Subsidiaries, except for: (1) quarterly dividends payable in respect of the Parent Common Stock at a rate not to exceed $0.24 per share of Parent Common Stock; (2) regular quarterly dividends payable in respect of the Parent Preferred Stock as required by their terms and consistent with past practice; (3) dividends or other distributions to Parent by any directly or indirectly wholly owned Subsidiary of Parent; (4) without duplication of the amounts described in </w:t>
      </w:r>
      <w:r>
        <w:rPr>
          <w:rFonts w:ascii="Times New Roman" w:hAnsi="Times New Roman"/>
          <w:b w:val="false"/>
          <w:color w:val="000000"/>
          <w:sz w:val="20"/>
          <w:u w:val="single"/>
        </w:rPr>
        <w:t>clauses (1)</w:t>
      </w:r>
      <w:r>
        <w:rPr>
          <w:rFonts w:ascii="Times New Roman" w:hAnsi="Times New Roman"/>
          <w:b w:val="false"/>
          <w:color w:val="000000"/>
          <w:sz w:val="20"/>
        </w:rPr>
        <w:t xml:space="preserve"> through </w:t>
      </w:r>
      <w:r>
        <w:rPr>
          <w:rFonts w:ascii="Times New Roman" w:hAnsi="Times New Roman"/>
          <w:b w:val="false"/>
          <w:color w:val="000000"/>
          <w:sz w:val="20"/>
          <w:u w:val="single"/>
        </w:rPr>
        <w:t>(3)</w:t>
      </w:r>
      <w:r>
        <w:rPr>
          <w:rFonts w:ascii="Times New Roman" w:hAnsi="Times New Roman"/>
          <w:b w:val="false"/>
          <w:color w:val="000000"/>
          <w:sz w:val="20"/>
        </w:rPr>
        <w:t xml:space="preserve">, any dividends or other distributions necessary for Parent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Parent or such Subsidiary; or (5) any dividend to the extent authorized, declared and paid in accordance with </w:t>
      </w:r>
      <w:r>
        <w:rPr>
          <w:rFonts w:ascii="Times New Roman" w:hAnsi="Times New Roman"/>
          <w:b w:val="false"/>
          <w:color w:val="000000"/>
          <w:sz w:val="20"/>
          <w:u w:val="single"/>
        </w:rPr>
        <w:t>Section 6.19</w:t>
      </w:r>
      <w:r>
        <w:rPr>
          <w:rFonts w:ascii="Times New Roman" w:hAnsi="Times New Roman"/>
          <w:b w:val="false"/>
          <w:color w:val="000000"/>
          <w:sz w:val="20"/>
        </w:rPr>
        <w: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except as required by the Organizational Documents of Parent or any Subsidiary of Parent, in each case, existing as of the date hereof (or granted following the date of this Agreement in accordance with the terms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offer, issue, deliver, grant or sell, or authorize or propose to offer, issue, deliver, grant or sell, any capital stock of, or other equity interests in, Parent or any of its Subsidiaries or any securities convertible into or exchangeable for, or any rights, warrants or options to acquire, any such capital stock or equity interests, other than: (A) the issuance or delivery of Parent Common Stock upon the vesting or lapse of any restrictions on awards granted under any stock or other equity award plans of Parent and outstanding on the date hereof or issued in compliance with </w:t>
      </w:r>
      <w:r>
        <w:rPr>
          <w:rFonts w:ascii="Times New Roman" w:hAnsi="Times New Roman"/>
          <w:b w:val="false"/>
          <w:color w:val="000000"/>
          <w:sz w:val="20"/>
          <w:u w:val="single"/>
        </w:rPr>
        <w:t>clause (B)</w:t>
      </w:r>
      <w:r>
        <w:rPr>
          <w:rFonts w:ascii="Times New Roman" w:hAnsi="Times New Roman"/>
          <w:b w:val="false"/>
          <w:color w:val="000000"/>
          <w:sz w:val="20"/>
        </w:rPr>
        <w:t xml:space="preserve"> below; (B) issuances of awards granted under any stock or other equity award plans of Parent to employees, officers, directors and other service providers in the ordinary course of business; and (C) shares of Parent Common Stock, Parent Preferred Stock or capital stock or other ownership interests of any Subsidiary of Parent issued as a dividend made in accordance with </w:t>
      </w:r>
      <w:r>
        <w:rPr>
          <w:rFonts w:ascii="Times New Roman" w:hAnsi="Times New Roman"/>
          <w:b w:val="false"/>
          <w:color w:val="000000"/>
          <w:sz w:val="20"/>
          <w:u w:val="single"/>
        </w:rPr>
        <w:t>Section 6.3(b)(i);</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(iii)        amend Parent’s or Merger Sub’s respective Organizational Documents;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(iv)        (A)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Parent to consummate the Transactions before the Termination Date;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(v)         sell, lease or otherwise dispose of, or agree to sell, lease or otherwise dispose of, any material portion of its assets, other than sales, leases or dispositions of assets (A) in connection with securitizations (including exercising call options), (B) in connection with commercial loans, (C) in connection with the purchase of a material amount of assets, (D) in the ordinary course of business, (E) that involve a sale price consistent with the terms set forth in </w:t>
      </w:r>
      <w:r>
        <w:rPr>
          <w:rFonts w:ascii="Times New Roman" w:hAnsi="Times New Roman"/>
          <w:b w:val="false"/>
          <w:color w:val="000000"/>
          <w:sz w:val="20"/>
          <w:u w:val="single"/>
        </w:rPr>
        <w:t>Section 6.3(b)(v)</w:t>
      </w:r>
      <w:r>
        <w:rPr>
          <w:rFonts w:ascii="Times New Roman" w:hAnsi="Times New Roman"/>
          <w:b w:val="false"/>
          <w:color w:val="000000"/>
          <w:sz w:val="20"/>
        </w:rPr>
        <w:t xml:space="preserve"> of the Parent Disclosure Letter or (F) that are mortgage-backed securities, “To Be Announced” agency mortgage-backed securities, mortgage servicing rights, U.S. Treasuries or other assets or securities permitted under Parent’s investment guidelines in effect on the date hereof, including derivative securities and other instruments used for the purpose of hedging interest rate risk in the ordinary course of business (but excluding any bulk sales of mortgage servicing rights), solely to the extent that, in the case of each of the foregoing clauses (A) through (F), such matters do not violate Parent’s investment guidelines and policies in effect on the date hereof and would not reasonably be expected to prevent or materially impair or delay the ability of Parent to consummate the Transactions before the Termination Date;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        adopt a plan of complete or partial liquidation or dissolution of Parent or any of its Subsidiaries, other than such transactions among Parent and any wholly owned Subsidiary of Parent or between or among wholly owned Subsidiaries of Parent;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(vii)       change in any material respect its material accounting principles, practices or methods in a manner that would materially affect the consolidated assets, liabilities or results of operations of Parent and its Subsidiaries, except as required by GAAP or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(viii)      except (A) if required by Law or (B) if and to the extent necessary (1) to preserve Parent’s qualification as a REIT or the qualification of any Subsidiary of Parent as a REIT under the Code or (2) to qualify or preserve the status of any Subsidiary of Parent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Parent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(ix)        take any action, or fail to take any action, which action or failure would reasonably be expected to cause Parent to fail to qualify as a REIT or any of its Subsidiaries fail to qualify as a REIT or to cease to be treated as any of (A) a partnership or disregarded entity for U.S. federal income tax purposes or (B) a REIT, Qualified REIT Subsidiary or Taxable REIT Subsidiary under the applicable provisions of Section 856 of the Code, as the case may be;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         take any action, or fail to take any action, which action or failure would reasonably be expected to prevent or impede the Company Merger from qualifying as a reorganization within the meaning of Section 368(a) of the Code;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(xi)         take any action, or fail to take any action, which action or failure would reasonably be expected to cause Parent or any of its Subsidiaries to be required to be registered as an investment company under the Investment Company Act;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(xii)        agree or enter into any arrangement or understanding to take any action that is prohibited by this </w:t>
      </w:r>
      <w:r>
        <w:rPr>
          <w:rFonts w:ascii="Times New Roman" w:hAnsi="Times New Roman"/>
          <w:b w:val="false"/>
          <w:color w:val="000000"/>
          <w:sz w:val="20"/>
          <w:u w:val="single"/>
        </w:rPr>
        <w:t>Section 6.3(b)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Notwithstanding anything to the contrary set forth in this Agreement, nothing in this Agreement shall prohibit Parent or any of its Subsidiaries from taking any action, at any time or from time to time, that in the reasonable judgment of Parent, upon advice of counsel, is reasonably necessary for Parent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Parent’s stockholders in accordance with this Agreement or otherwise, or (iii) avoid being required to register as an investment company under the Investment Company Act;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prior to taking any action under this paragraph, Parent shall provide the Company with reasonable advance notice of any proposed action and shall in good faith discuss such proposed action with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Except as required by this Agreement or as required by applicable Law, during the Interim Period, Parent shall not, and shall not permit any of its Subsidiaries to, (i) acquire or agree to acquire by merging or consolidating with, or by purchasing a material portion of the assets of or equity in, any Person (a “</w:t>
      </w:r>
      <w:r>
        <w:rPr>
          <w:rFonts w:ascii="Times New Roman" w:hAnsi="Times New Roman"/>
          <w:b w:val="false"/>
          <w:color w:val="000000"/>
          <w:sz w:val="20"/>
          <w:u w:val="single"/>
        </w:rPr>
        <w:t>Specified Acquisition</w:t>
      </w:r>
      <w:r>
        <w:rPr>
          <w:rFonts w:ascii="Times New Roman" w:hAnsi="Times New Roman"/>
          <w:b w:val="false"/>
          <w:color w:val="000000"/>
          <w:sz w:val="20"/>
        </w:rPr>
        <w:t>”)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Parent to procure, any authorizations, consents, orders, declarations or approvals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Parent to otherwise perform its covenants and agreements under this Agreement or to consummate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6.4.        </w:t>
      </w:r>
      <w:r>
        <w:rPr>
          <w:rFonts w:ascii="Times New Roman" w:hAnsi="Times New Roman"/>
          <w:b w:val="false"/>
          <w:color w:val="000000"/>
          <w:sz w:val="20"/>
          <w:u w:val="single"/>
        </w:rPr>
        <w:t>Obligations of Merger Sub</w:t>
      </w:r>
      <w:r>
        <w:rPr>
          <w:rFonts w:ascii="Times New Roman" w:hAnsi="Times New Roman"/>
          <w:b w:val="false"/>
          <w:color w:val="000000"/>
          <w:sz w:val="20"/>
        </w:rPr>
        <w:t>. Parent shall cause Merger Sub to perform its obligations under this Agreement and to consummate the Company Merger on the terms and conditions set forth in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6.5.         </w:t>
      </w:r>
      <w:r>
        <w:rPr>
          <w:rFonts w:ascii="Times New Roman" w:hAnsi="Times New Roman"/>
          <w:b w:val="false"/>
          <w:color w:val="000000"/>
          <w:sz w:val="20"/>
          <w:u w:val="single"/>
        </w:rPr>
        <w:t>Company No Solicitation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w:t>
      </w:r>
      <w:r>
        <w:rPr>
          <w:rFonts w:ascii="Times New Roman" w:hAnsi="Times New Roman"/>
          <w:b w:val="false"/>
          <w:i/>
          <w:color w:val="000000"/>
          <w:sz w:val="20"/>
        </w:rPr>
        <w:t>No Solicitation or Negotiation</w:t>
      </w:r>
      <w:r>
        <w:rPr>
          <w:rFonts w:ascii="Times New Roman" w:hAnsi="Times New Roman"/>
          <w:b w:val="false"/>
          <w:color w:val="000000"/>
          <w:sz w:val="20"/>
        </w:rPr>
        <w:t xml:space="preserve">. Except as expressly permitted by this </w:t>
      </w:r>
      <w:r>
        <w:rPr>
          <w:rFonts w:ascii="Times New Roman" w:hAnsi="Times New Roman"/>
          <w:b w:val="false"/>
          <w:color w:val="000000"/>
          <w:sz w:val="20"/>
          <w:u w:val="single"/>
        </w:rPr>
        <w:t>Section 6.5</w:t>
      </w:r>
      <w:r>
        <w:rPr>
          <w:rFonts w:ascii="Times New Roman" w:hAnsi="Times New Roman"/>
          <w:b w:val="false"/>
          <w:color w:val="000000"/>
          <w:sz w:val="20"/>
        </w:rPr>
        <w:t xml:space="preserve">, from the date hereof until the earlier to occur of the termination of this Agreement pursuant to </w:t>
      </w:r>
      <w:r>
        <w:rPr>
          <w:rFonts w:ascii="Times New Roman" w:hAnsi="Times New Roman"/>
          <w:b w:val="false"/>
          <w:color w:val="000000"/>
          <w:sz w:val="20"/>
          <w:u w:val="single"/>
        </w:rPr>
        <w:t>Article VIII</w:t>
      </w:r>
      <w:r>
        <w:rPr>
          <w:rFonts w:ascii="Times New Roman" w:hAnsi="Times New Roman"/>
          <w:b w:val="false"/>
          <w:color w:val="000000"/>
          <w:sz w:val="20"/>
        </w:rPr>
        <w:t xml:space="preserve"> and the Company Merger Effective Time, the Company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Company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Company Takeover Proposal (other than, in response to an unsolicited inquiry that did not arise from a material breach of this </w:t>
      </w:r>
      <w:r>
        <w:rPr>
          <w:rFonts w:ascii="Times New Roman" w:hAnsi="Times New Roman"/>
          <w:b w:val="false"/>
          <w:color w:val="000000"/>
          <w:sz w:val="20"/>
          <w:u w:val="single"/>
        </w:rPr>
        <w:t>Section 6.5(a)</w:t>
      </w:r>
      <w:r>
        <w:rPr>
          <w:rFonts w:ascii="Times New Roman" w:hAnsi="Times New Roman"/>
          <w:b w:val="false"/>
          <w:color w:val="000000"/>
          <w:sz w:val="20"/>
        </w:rPr>
        <w:t xml:space="preserve">, solely to ascertain facts from the Person making such Company Takeover Proposal, consistent with the Company Board’s fiduciary duties, about such Company Takeover Proposal and the Person that made it, and to refer the inquiring Person to this </w:t>
      </w:r>
      <w:r>
        <w:rPr>
          <w:rFonts w:ascii="Times New Roman" w:hAnsi="Times New Roman"/>
          <w:b w:val="false"/>
          <w:color w:val="000000"/>
          <w:sz w:val="20"/>
          <w:u w:val="single"/>
        </w:rPr>
        <w:t>Section 6.5</w:t>
      </w:r>
      <w:r>
        <w:rPr>
          <w:rFonts w:ascii="Times New Roman" w:hAnsi="Times New Roman"/>
          <w:b w:val="false"/>
          <w:color w:val="000000"/>
          <w:sz w:val="20"/>
        </w:rPr>
        <w:t xml:space="preserve">). The Company shall, and the Company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Company Takeover Proposal. As promptly as practicable after the execution of this Agreement (and, in the case of </w:t>
      </w:r>
      <w:r>
        <w:rPr>
          <w:rFonts w:ascii="Times New Roman" w:hAnsi="Times New Roman"/>
          <w:b w:val="false"/>
          <w:color w:val="000000"/>
          <w:sz w:val="20"/>
          <w:u w:val="single"/>
        </w:rPr>
        <w:t>clause (B)</w:t>
      </w:r>
      <w:r>
        <w:rPr>
          <w:rFonts w:ascii="Times New Roman" w:hAnsi="Times New Roman"/>
          <w:b w:val="false"/>
          <w:color w:val="000000"/>
          <w:sz w:val="20"/>
        </w:rPr>
        <w:t>, within twenty-four (24) hours thereafter), the Company shall (A) request in writing that each Person that has heretofore executed a confidentiality agreement within the four month period immediately preceding the date hereof in connection with its consideration of a Company Takeover Proposal or potential Company Takeover Proposal promptly destroy or return to the Company all non-public information heretofore furnished by the Company or any of its Representatives to such person or any of its Representatives in accordance with the terms of such confidentiality agreement and (B) terminate access to any physical or electronic data rooms relating to a possible Company Takeover Proposal by such Person and its Representatives.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w:t>
      </w:r>
      <w:r>
        <w:rPr>
          <w:rFonts w:ascii="Times New Roman" w:hAnsi="Times New Roman"/>
          <w:b w:val="false"/>
          <w:i/>
          <w:color w:val="000000"/>
          <w:sz w:val="20"/>
        </w:rPr>
        <w:t>Superior Proposals</w:t>
      </w:r>
      <w:r>
        <w:rPr>
          <w:rFonts w:ascii="Times New Roman" w:hAnsi="Times New Roman"/>
          <w:b w:val="false"/>
          <w:color w:val="000000"/>
          <w:sz w:val="20"/>
        </w:rPr>
        <w:t xml:space="preserve">. Notwithstanding anything to the contrary contained in this Agreement, if at any time from and after the date hereof and prior to obtaining the Company Stockholder Approval, the Company receives from any Person a Company Takeover Proposal that did not result from a material breach of </w:t>
      </w:r>
      <w:r>
        <w:rPr>
          <w:rFonts w:ascii="Times New Roman" w:hAnsi="Times New Roman"/>
          <w:b w:val="false"/>
          <w:color w:val="000000"/>
          <w:sz w:val="20"/>
          <w:u w:val="single"/>
        </w:rPr>
        <w:t>Section 6.5(a)</w:t>
      </w:r>
      <w:r>
        <w:rPr>
          <w:rFonts w:ascii="Times New Roman" w:hAnsi="Times New Roman"/>
          <w:b w:val="false"/>
          <w:color w:val="000000"/>
          <w:sz w:val="20"/>
        </w:rPr>
        <w:t>, and if the Company Board determines in good faith, after consultation with its independent financial advisor and outside legal counsel, that such Company Takeover Proposal constitutes or would reasonably be expected to lead to a Company Superior Proposal, then the Company and its Representatives may, in response to such Company Takeover Proposal, (A) furnish, pursuant to an Acceptable Confidentiality Agreement, information (including non-public information) with respect to the Company and its Subsidiaries and afford access to the business, properties, assets, books, records or other non-public information, or to any personnel, of the Company or any of its Subsidiaries to the Person that has made such written Company Takeover Proposal and its Representatives, prospective debt and equity financing sources and/or their respective Representatives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Company shall, prior to or substantially concurrently with the delivery to such Person, provide to Parent any information concerning the Company or any of its Subsidiaries that is provided or made available to such Person or its Representatives, prospective debt and equity financing sources and/or their respective Representatives unless such information has been previously provided to Parent) and (B) engage in or otherwise participate in discussions or negotiations with the Person making such Company Takeover Proposal and its Representatives, prospective debt and equity financing sources and/or their respective Representatives regarding such Company Takeover Proposal;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Company and its Representatives may contact any Person in writing (with a request that any response from such Person be in writing) with respect to a Company Takeover Proposal to clarify any terms and conditions thereof which are necessary to determine whether the Company Takeover Proposal constitutes or would reasonably be expected to lead to a Company Superior Proposal without the Company Board being required to make such determination prior to taking such action. The Company shall promptly (and in any event within twenty-four (24) hours) notify Parent in writing if the Company Board makes the determinations set forth in this </w:t>
      </w:r>
      <w:r>
        <w:rPr>
          <w:rFonts w:ascii="Times New Roman" w:hAnsi="Times New Roman"/>
          <w:b w:val="false"/>
          <w:color w:val="000000"/>
          <w:sz w:val="20"/>
          <w:u w:val="single"/>
        </w:rPr>
        <w:t>Section 6.5(b)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w:t>
      </w:r>
      <w:r>
        <w:rPr>
          <w:rFonts w:ascii="Times New Roman" w:hAnsi="Times New Roman"/>
          <w:b w:val="false"/>
          <w:i/>
          <w:color w:val="000000"/>
          <w:sz w:val="20"/>
        </w:rPr>
        <w:t>Notice</w:t>
      </w:r>
      <w:r>
        <w:rPr>
          <w:rFonts w:ascii="Times New Roman" w:hAnsi="Times New Roman"/>
          <w:b w:val="false"/>
          <w:color w:val="000000"/>
          <w:sz w:val="20"/>
        </w:rPr>
        <w:t xml:space="preserve">. At any time after the date hereof and until the earlier to occur of the termination of this Agreement pursuant to </w:t>
      </w:r>
      <w:r>
        <w:rPr>
          <w:rFonts w:ascii="Times New Roman" w:hAnsi="Times New Roman"/>
          <w:b w:val="false"/>
          <w:color w:val="000000"/>
          <w:sz w:val="20"/>
          <w:u w:val="single"/>
        </w:rPr>
        <w:t>Article VIII</w:t>
      </w:r>
      <w:r>
        <w:rPr>
          <w:rFonts w:ascii="Times New Roman" w:hAnsi="Times New Roman"/>
          <w:b w:val="false"/>
          <w:color w:val="000000"/>
          <w:sz w:val="20"/>
        </w:rPr>
        <w:t xml:space="preserve"> and the Company Merger Effective Time, the Company shall promptly (and in no event later than forty-eight (48) hours after receipt) notify Parent (orally or in writing) in the event that the Company or any of its Subsidiaries or its or their Representatives receives a Company Takeover Proposal, any inquiry, proposal, offer or request for information that would reasonably be expected to lead to a Company Takeover Proposal or any amendment or modification to the material terms of any Company Takeover Proposal, including the identity of the Person making the Company Takeover Proposal, a copy of any agreements or draft documents relating thereto and copies of any correspondence between the Company or its Representatives and the Person (or its Representatives) submitting such Company Takeover Proposal, inquiry, proposal offer or request relating thereto. The Company shall keep Parent reasonably informed on a prompt and current basis with respect to the status and material terms of any such Company Takeover Proposal, inquiry, proposal, offer or request and any material changes to the status of any such discussions or negotiations and promptly (and in any event within forty-eight (48) hours after receipt) provide Parent with copies of any correspondence, agreements or draft documents provided by the Company or such Person or their respective Representatives with respect thereto, in each case to the extent not previously made available to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w:t>
      </w:r>
      <w:r>
        <w:rPr>
          <w:rFonts w:ascii="Times New Roman" w:hAnsi="Times New Roman"/>
          <w:b w:val="false"/>
          <w:i/>
          <w:color w:val="000000"/>
          <w:sz w:val="20"/>
        </w:rPr>
        <w:t>Change in Recommendation or Termination in Response to Company Superior Proposal</w:t>
      </w:r>
      <w:r>
        <w:rPr>
          <w:rFonts w:ascii="Times New Roman" w:hAnsi="Times New Roman"/>
          <w:b w:val="false"/>
          <w:color w:val="000000"/>
          <w:sz w:val="20"/>
        </w:rPr>
        <w:t xml:space="preserve">. Notwithstanding anything else in this Agreement to the contrary, from the date hereof, except as expressly permitted by this </w:t>
      </w:r>
      <w:r>
        <w:rPr>
          <w:rFonts w:ascii="Times New Roman" w:hAnsi="Times New Roman"/>
          <w:b w:val="false"/>
          <w:color w:val="000000"/>
          <w:sz w:val="20"/>
          <w:u w:val="single"/>
        </w:rPr>
        <w:t>Section 6.5(d)</w:t>
      </w:r>
      <w:r>
        <w:rPr>
          <w:rFonts w:ascii="Times New Roman" w:hAnsi="Times New Roman"/>
          <w:b w:val="false"/>
          <w:color w:val="000000"/>
          <w:sz w:val="20"/>
        </w:rPr>
        <w:t xml:space="preserve">, neither the Company Board nor any committee thereof shall (i) (A) change, qualify, withhold, withdraw or modify, or authorize or resolve to or publicly propose or announce its intention to change, qualify, withhold, withdraw or modify, in each case in any manner adverse to Parent in any material respect, the Company Recommendation, or fail to include the Company Recommendation in the Proxy Statement/Prospectus in accordance with </w:t>
      </w:r>
      <w:r>
        <w:rPr>
          <w:rFonts w:ascii="Times New Roman" w:hAnsi="Times New Roman"/>
          <w:b w:val="false"/>
          <w:color w:val="000000"/>
          <w:sz w:val="20"/>
          <w:u w:val="single"/>
        </w:rPr>
        <w:t>Section 6.8(a)</w:t>
      </w:r>
      <w:r>
        <w:rPr>
          <w:rFonts w:ascii="Times New Roman" w:hAnsi="Times New Roman"/>
          <w:b w:val="false"/>
          <w:color w:val="000000"/>
          <w:sz w:val="20"/>
        </w:rPr>
        <w:t xml:space="preserve">; (B) adopt, approve, endorse or recommend to the stockholders of the Company, or resolve to or publicly propose or announce its intention to adopt, approve, endorse or recommend to the stockholders of the Company, a Company Takeover Proposal; (C) within ten (10) Business Days of Parent’s written request, fail to make or reaffirm the Company Recommendation following the date any Company Takeover Proposal or any material modification thereto is first published or sent or given to the stockholders of the Company;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Parent may not make any such request on more than one occasion in respect of any Company Takeover Proposal or more than one occasion in respect of any material modification of a Company Takeover Proposal; or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 w:hAnsi="Times New Roman"/>
          <w:b w:val="false"/>
          <w:color w:val="000000"/>
          <w:sz w:val="20"/>
          <w:u w:val="single"/>
        </w:rPr>
        <w:t>clause (i)</w:t>
      </w:r>
      <w:r>
        <w:rPr>
          <w:rFonts w:ascii="Times New Roman" w:hAnsi="Times New Roman"/>
          <w:b w:val="false"/>
          <w:color w:val="000000"/>
          <w:sz w:val="20"/>
        </w:rPr>
        <w:t xml:space="preserve"> being referred to as a “</w:t>
      </w:r>
      <w:r>
        <w:rPr>
          <w:rFonts w:ascii="Times New Roman" w:hAnsi="Times New Roman"/>
          <w:b w:val="false"/>
          <w:color w:val="000000"/>
          <w:sz w:val="20"/>
          <w:u w:val="single"/>
        </w:rPr>
        <w:t>Company Change of Recommendation</w:t>
      </w:r>
      <w:r>
        <w:rPr>
          <w:rFonts w:ascii="Times New Roman" w:hAnsi="Times New Roman"/>
          <w:b w:val="false"/>
          <w:color w:val="000000"/>
          <w:sz w:val="20"/>
        </w:rPr>
        <w:t xml:space="preserve">”); or (ii) authorize, cause or direct the Company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Company Takeover Proposal (other than an Acceptable Confidentiality Agreement entered into in accordance with </w:t>
      </w:r>
      <w:r>
        <w:rPr>
          <w:rFonts w:ascii="Times New Roman" w:hAnsi="Times New Roman"/>
          <w:b w:val="false"/>
          <w:color w:val="000000"/>
          <w:sz w:val="20"/>
          <w:u w:val="single"/>
        </w:rPr>
        <w:t>Section 6.5(b)</w:t>
      </w:r>
      <w:r>
        <w:rPr>
          <w:rFonts w:ascii="Times New Roman" w:hAnsi="Times New Roman"/>
          <w:b w:val="false"/>
          <w:color w:val="000000"/>
          <w:sz w:val="20"/>
        </w:rPr>
        <w:t xml:space="preserve">). Notwithstanding anything to the contrary set forth in this Agreement, prior to obtaining the Company Stockholder Approval, the Company Board may, in response to a Company Takeover Proposal received by the Company after the date of this Agreement that did not result from a material breach of </w:t>
      </w:r>
      <w:r>
        <w:rPr>
          <w:rFonts w:ascii="Times New Roman" w:hAnsi="Times New Roman"/>
          <w:b w:val="false"/>
          <w:color w:val="000000"/>
          <w:sz w:val="20"/>
          <w:u w:val="single"/>
        </w:rPr>
        <w:t>Section 6.5(a)</w:t>
      </w:r>
      <w:r>
        <w:rPr>
          <w:rFonts w:ascii="Times New Roman" w:hAnsi="Times New Roman"/>
          <w:b w:val="false"/>
          <w:color w:val="000000"/>
          <w:sz w:val="20"/>
        </w:rPr>
        <w:t xml:space="preserve"> which the Company Board determines in good faith, after consultation with its independent financial advisor and outside legal counsel, (x) constitutes a Company Superior Proposal and (y) that failure to take the following actions would reasonably be expected to be inconsistent with its fiduciary duties under applicable Law, make a Company Change of Recommendation in respect of such Company Superior Proposal and/or cause the Company to terminate this Agreement in accordance with </w:t>
      </w:r>
      <w:r>
        <w:rPr>
          <w:rFonts w:ascii="Times New Roman" w:hAnsi="Times New Roman"/>
          <w:b w:val="false"/>
          <w:color w:val="000000"/>
          <w:sz w:val="20"/>
          <w:u w:val="single"/>
        </w:rPr>
        <w:t>Section 8.1(d)(ii)</w:t>
      </w:r>
      <w:r>
        <w:rPr>
          <w:rFonts w:ascii="Times New Roman" w:hAnsi="Times New Roman"/>
          <w:b w:val="false"/>
          <w:color w:val="000000"/>
          <w:sz w:val="20"/>
        </w:rPr>
        <w:t xml:space="preserv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prior to taking any such action, (A) the Company shall have given Parent at least five (5) Business Days’ prior written notice of its intention to take such action, which notice shall include a summary of the material terms and conditions of such Company Superior Proposal, the identity of the Person making such Company Superior Proposal and a copy of the Company Superior Proposal and a copy of any proposed agreements providing for such Company Superior Proposal (including any financing documents); (B) during such five (5) Business Day period following the date on which such notice is received, the Company shall and shall cause its Representatives to, negotiate with Parent in good faith (to the extent Parent wishes to negotiate) to make such adjustments to the terms and conditions of this Agreement as Parent may propose; (C) upon the end of such five (5) Business Day period (or such subsequent notice period as contemplated by </w:t>
      </w:r>
      <w:r>
        <w:rPr>
          <w:rFonts w:ascii="Times New Roman" w:hAnsi="Times New Roman"/>
          <w:b w:val="false"/>
          <w:color w:val="000000"/>
          <w:sz w:val="20"/>
          <w:u w:val="single"/>
        </w:rPr>
        <w:t>clause (D)</w:t>
      </w:r>
      <w:r>
        <w:rPr>
          <w:rFonts w:ascii="Times New Roman" w:hAnsi="Times New Roman"/>
          <w:b w:val="false"/>
          <w:color w:val="000000"/>
          <w:sz w:val="20"/>
        </w:rPr>
        <w:t xml:space="preserve"> below this proviso), the Company Board shall have considered in good faith any revisions to the terms of this Agreement proposed in writing by Parent, and shall have determined, after consultation with its independent financial advisor and outside legal counsel, that the Company Superior Proposal continues to constitute a Company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Company Superior Proposal, the Company shall, in each case, have delivered to Parent an additional notice consistent with that described in </w:t>
      </w:r>
      <w:r>
        <w:rPr>
          <w:rFonts w:ascii="Times New Roman" w:hAnsi="Times New Roman"/>
          <w:b w:val="false"/>
          <w:color w:val="000000"/>
          <w:sz w:val="20"/>
          <w:u w:val="single"/>
        </w:rPr>
        <w:t>clause (A)</w:t>
      </w:r>
      <w:r>
        <w:rPr>
          <w:rFonts w:ascii="Times New Roman" w:hAnsi="Times New Roman"/>
          <w:b w:val="false"/>
          <w:color w:val="000000"/>
          <w:sz w:val="20"/>
        </w:rPr>
        <w:t xml:space="preserve"> above of this proviso and a new notice period under </w:t>
      </w:r>
      <w:r>
        <w:rPr>
          <w:rFonts w:ascii="Times New Roman" w:hAnsi="Times New Roman"/>
          <w:b w:val="false"/>
          <w:color w:val="000000"/>
          <w:sz w:val="20"/>
          <w:u w:val="single"/>
        </w:rPr>
        <w:t>clause (A)</w:t>
      </w:r>
      <w:r>
        <w:rPr>
          <w:rFonts w:ascii="Times New Roman" w:hAnsi="Times New Roman"/>
          <w:b w:val="false"/>
          <w:color w:val="000000"/>
          <w:sz w:val="20"/>
        </w:rPr>
        <w:t xml:space="preserve"> of this proviso shall commence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notice period thereunder shall only be three (3) Business Days) during which time the Company shall be required to comply with the requirements of this </w:t>
      </w:r>
      <w:r>
        <w:rPr>
          <w:rFonts w:ascii="Times New Roman" w:hAnsi="Times New Roman"/>
          <w:b w:val="false"/>
          <w:color w:val="000000"/>
          <w:sz w:val="20"/>
          <w:u w:val="single"/>
        </w:rPr>
        <w:t>Section 6.5(d)</w:t>
      </w:r>
      <w:r>
        <w:rPr>
          <w:rFonts w:ascii="Times New Roman" w:hAnsi="Times New Roman"/>
          <w:b w:val="false"/>
          <w:color w:val="000000"/>
          <w:sz w:val="20"/>
        </w:rPr>
        <w:t xml:space="preserve"> anew with respect to such additional notice, including </w:t>
      </w:r>
      <w:r>
        <w:rPr>
          <w:rFonts w:ascii="Times New Roman" w:hAnsi="Times New Roman"/>
          <w:b w:val="false"/>
          <w:color w:val="000000"/>
          <w:sz w:val="20"/>
          <w:u w:val="single"/>
        </w:rPr>
        <w:t>clauses (A)</w:t>
      </w:r>
      <w:r>
        <w:rPr>
          <w:rFonts w:ascii="Times New Roman" w:hAnsi="Times New Roman"/>
          <w:b w:val="false"/>
          <w:color w:val="000000"/>
          <w:sz w:val="20"/>
        </w:rPr>
        <w:t xml:space="preserve"> through </w:t>
      </w:r>
      <w:r>
        <w:rPr>
          <w:rFonts w:ascii="Times New Roman" w:hAnsi="Times New Roman"/>
          <w:b w:val="false"/>
          <w:color w:val="000000"/>
          <w:sz w:val="20"/>
          <w:u w:val="single"/>
        </w:rPr>
        <w:t>(D)</w:t>
      </w:r>
      <w:r>
        <w:rPr>
          <w:rFonts w:ascii="Times New Roman" w:hAnsi="Times New Roman"/>
          <w:b w:val="false"/>
          <w:color w:val="000000"/>
          <w:sz w:val="20"/>
        </w:rPr>
        <w:t xml:space="preserve"> above of this proviso.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w:t>
      </w:r>
      <w:r>
        <w:rPr>
          <w:rFonts w:ascii="Times New Roman" w:hAnsi="Times New Roman"/>
          <w:b w:val="false"/>
          <w:i/>
          <w:color w:val="000000"/>
          <w:sz w:val="20"/>
        </w:rPr>
        <w:t>Company Change</w:t>
      </w:r>
      <w:r>
        <w:rPr>
          <w:rFonts w:ascii="Times New Roman" w:hAnsi="Times New Roman"/>
          <w:b w:val="false"/>
          <w:color w:val="000000"/>
          <w:sz w:val="20"/>
        </w:rPr>
        <w:t xml:space="preserve"> </w:t>
      </w:r>
      <w:r>
        <w:rPr>
          <w:rFonts w:ascii="Times New Roman" w:hAnsi="Times New Roman"/>
          <w:b w:val="false"/>
          <w:i/>
          <w:color w:val="000000"/>
          <w:sz w:val="20"/>
        </w:rPr>
        <w:t>of Recommendation in Response to Company Intervening Event</w:t>
      </w:r>
      <w:r>
        <w:rPr>
          <w:rFonts w:ascii="Times New Roman" w:hAnsi="Times New Roman"/>
          <w:b w:val="false"/>
          <w:color w:val="000000"/>
          <w:sz w:val="20"/>
        </w:rPr>
        <w:t xml:space="preserve">. Notwithstanding anything to the contrary set forth in this Agreement, prior to obtaining the Company Stockholder Approval, the Company Board may, in response to a Company Intervening Event, make a Company Change of Recommendation, and the Company Board determines in good faith, after consultation with the Company’s independent financial advisor and outside legal counsel, that the failure of the Company Board to take such action would reasonably be expected to be inconsistent with its fiduciary duties under applicable Law;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the Company Board shall not be entitled to effect such a Company Change of Recommendation until (i) the Company shall have given Parent at least five (5) Business Days’ prior written notice of its intention to effect such a Company Change of Recommendation, which notice shall specify the reasons therefor and include a reasonable description of such Company Intervening Event; (ii) during the five (5) Business Day period following the date on which such notice is received, the Company shall and shall cause its Representatives to negotiate in good faith with Parent (to the extent Parent wishes to negotiate), to make adjustments to the terms and conditions of this Agreement; and (iii) following the end of such five (5) 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Change of Recommendation in response to such Company Intervening Event would reasonably be expected to be inconsistent with its fiduciary duties under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(f)         Nothing contained in this </w:t>
      </w:r>
      <w:r>
        <w:rPr>
          <w:rFonts w:ascii="Times New Roman" w:hAnsi="Times New Roman"/>
          <w:b w:val="false"/>
          <w:color w:val="000000"/>
          <w:sz w:val="20"/>
          <w:u w:val="single"/>
        </w:rPr>
        <w:t>Section 6.5</w:t>
      </w:r>
      <w:r>
        <w:rPr>
          <w:rFonts w:ascii="Times New Roman" w:hAnsi="Times New Roman"/>
          <w:b w:val="false"/>
          <w:color w:val="000000"/>
          <w:sz w:val="20"/>
        </w:rPr>
        <w:t xml:space="preserve"> shall prohibit the Company, the Company Board or a committee thereof from (i) taking and disclosing to the stockholders of the Company a position contemplated by Rule 14e-2(a) or Rule 14d-9 promulgated under the Exchange Act;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w:t>
      </w:r>
      <w:r>
        <w:rPr>
          <w:rFonts w:ascii="Times New Roman" w:hAnsi="Times New Roman"/>
          <w:b w:val="false"/>
          <w:color w:val="000000"/>
          <w:sz w:val="20"/>
          <w:u w:val="single"/>
        </w:rPr>
        <w:t>Section 6.5</w:t>
      </w:r>
      <w:r>
        <w:rPr>
          <w:rFonts w:ascii="Times New Roman" w:hAnsi="Times New Roman"/>
          <w:b w:val="false"/>
          <w:color w:val="000000"/>
          <w:sz w:val="20"/>
        </w:rPr>
        <w:t>; or (v) making any “stop, look and listen” communication to the stockholders of the Company pursuant to Rule 14d</w:t>
        <w:noBreakHyphen/>
        <w:t xml:space="preserve">9(f) under the Exchange Act (or any substantially similar communication);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this </w:t>
      </w:r>
      <w:r>
        <w:rPr>
          <w:rFonts w:ascii="Times New Roman" w:hAnsi="Times New Roman"/>
          <w:b w:val="false"/>
          <w:color w:val="000000"/>
          <w:sz w:val="20"/>
          <w:u w:val="single"/>
        </w:rPr>
        <w:t>Section 6.5(f)</w:t>
      </w:r>
      <w:r>
        <w:rPr>
          <w:rFonts w:ascii="Times New Roman" w:hAnsi="Times New Roman"/>
          <w:b w:val="false"/>
          <w:color w:val="000000"/>
          <w:sz w:val="20"/>
        </w:rPr>
        <w:t xml:space="preserve"> shall not be deemed to permit the Company Board or any committee thereof to make a Company Change of Recommendation other than in accordance with </w:t>
      </w:r>
      <w:r>
        <w:rPr>
          <w:rFonts w:ascii="Times New Roman" w:hAnsi="Times New Roman"/>
          <w:b w:val="false"/>
          <w:color w:val="000000"/>
          <w:sz w:val="20"/>
          <w:u w:val="single"/>
        </w:rPr>
        <w:t>Section 6.5(d)</w:t>
      </w:r>
      <w:r>
        <w:rPr>
          <w:rFonts w:ascii="Times New Roman" w:hAnsi="Times New Roman"/>
          <w:b w:val="false"/>
          <w:color w:val="000000"/>
          <w:sz w:val="20"/>
        </w:rPr>
        <w:t xml:space="preserve"> or </w:t>
      </w:r>
      <w:r>
        <w:rPr>
          <w:rFonts w:ascii="Times New Roman" w:hAnsi="Times New Roman"/>
          <w:b w:val="false"/>
          <w:color w:val="000000"/>
          <w:sz w:val="20"/>
          <w:u w:val="single"/>
        </w:rPr>
        <w:t>Section 6.5(e)</w:t>
      </w:r>
      <w:r>
        <w:rPr>
          <w:rFonts w:ascii="Times New Roman" w:hAnsi="Times New Roman"/>
          <w:b w:val="false"/>
          <w:color w:val="000000"/>
          <w:sz w:val="20"/>
        </w:rPr>
        <w:t>. In addition, it is understood and agreed that, for purposes of this Agreement, a factually accurate required public statement by the Company or the Company Board (or a committee thereof) that solely describes the Company’s receipt of a Company Takeover Proposal, the identity of the Person making such Company Takeover Proposal, the material terms of such Company Takeover Proposal and the operation of this Agreement with respect thereto will not be deemed to be (A) changing, qualifying, withholding, withdrawing or modifying, or a proposal by the Company Board (or a committee thereof) to change, qualify, withhold, withdraw or modify, the Company Recommendation; (B) an adoption, approval or recommendation with respect to such Company Takeover Proposal; or (C) a Company Change of Recommendation.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6.6.         </w:t>
      </w:r>
      <w:r>
        <w:rPr>
          <w:rFonts w:ascii="Times New Roman" w:hAnsi="Times New Roman"/>
          <w:b w:val="false"/>
          <w:color w:val="000000"/>
          <w:sz w:val="20"/>
          <w:u w:val="single"/>
        </w:rPr>
        <w:t>Parent No-Solicitation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w:t>
      </w:r>
      <w:r>
        <w:rPr>
          <w:rFonts w:ascii="Times New Roman" w:hAnsi="Times New Roman"/>
          <w:b w:val="false"/>
          <w:i/>
          <w:color w:val="000000"/>
          <w:sz w:val="20"/>
        </w:rPr>
        <w:t>No Solicitation or Negotiation</w:t>
      </w:r>
      <w:r>
        <w:rPr>
          <w:rFonts w:ascii="Times New Roman" w:hAnsi="Times New Roman"/>
          <w:b w:val="false"/>
          <w:color w:val="000000"/>
          <w:sz w:val="20"/>
        </w:rPr>
        <w:t xml:space="preserve">. Except as expressly permitted by this </w:t>
      </w:r>
      <w:r>
        <w:rPr>
          <w:rFonts w:ascii="Times New Roman" w:hAnsi="Times New Roman"/>
          <w:b w:val="false"/>
          <w:color w:val="000000"/>
          <w:sz w:val="20"/>
          <w:u w:val="single"/>
        </w:rPr>
        <w:t>Section 6.6</w:t>
      </w:r>
      <w:r>
        <w:rPr>
          <w:rFonts w:ascii="Times New Roman" w:hAnsi="Times New Roman"/>
          <w:b w:val="false"/>
          <w:color w:val="000000"/>
          <w:sz w:val="20"/>
        </w:rPr>
        <w:t xml:space="preserve">, from the date hereof until the earlier to occur of the termination of this Agreement pursuant to Article VIII and the Company Merger Effective Time, Parent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Parent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Parent Takeover Proposal (other than, in response to an unsolicited inquiry that did not arise from a material breach of this </w:t>
      </w:r>
      <w:r>
        <w:rPr>
          <w:rFonts w:ascii="Times New Roman" w:hAnsi="Times New Roman"/>
          <w:b w:val="false"/>
          <w:color w:val="000000"/>
          <w:sz w:val="20"/>
          <w:u w:val="single"/>
        </w:rPr>
        <w:t>Section 6.6(a)</w:t>
      </w:r>
      <w:r>
        <w:rPr>
          <w:rFonts w:ascii="Times New Roman" w:hAnsi="Times New Roman"/>
          <w:b w:val="false"/>
          <w:color w:val="000000"/>
          <w:sz w:val="20"/>
        </w:rPr>
        <w:t xml:space="preserve">, solely to ascertain facts from the Person making such Parent Takeover Proposal, consistent with the Parent Board’s fiduciary duties, about such Parent Takeover Proposal and the Person that made it, and to refer the inquiring Person to this </w:t>
      </w:r>
      <w:r>
        <w:rPr>
          <w:rFonts w:ascii="Times New Roman" w:hAnsi="Times New Roman"/>
          <w:b w:val="false"/>
          <w:color w:val="000000"/>
          <w:sz w:val="20"/>
          <w:u w:val="single"/>
        </w:rPr>
        <w:t>Section 6.6</w:t>
      </w:r>
      <w:r>
        <w:rPr>
          <w:rFonts w:ascii="Times New Roman" w:hAnsi="Times New Roman"/>
          <w:b w:val="false"/>
          <w:color w:val="000000"/>
          <w:sz w:val="20"/>
        </w:rPr>
        <w:t>). Parent shall, and Parent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Parent Takeover Proposal.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w:t>
      </w:r>
      <w:r>
        <w:rPr>
          <w:rFonts w:ascii="Times New Roman" w:hAnsi="Times New Roman"/>
          <w:b w:val="false"/>
          <w:i/>
          <w:color w:val="000000"/>
          <w:sz w:val="20"/>
        </w:rPr>
        <w:t>Superior Proposals</w:t>
      </w:r>
      <w:r>
        <w:rPr>
          <w:rFonts w:ascii="Times New Roman" w:hAnsi="Times New Roman"/>
          <w:b w:val="false"/>
          <w:color w:val="000000"/>
          <w:sz w:val="20"/>
        </w:rPr>
        <w:t xml:space="preserve">. Notwithstanding anything to the contrary contained in this Agreement, if at any time from and after the date hereof and prior to obtaining Parent Stockholder Approval, Parent receives from any Person a Parent Takeover Proposal that did not result from a material breach of </w:t>
      </w:r>
      <w:r>
        <w:rPr>
          <w:rFonts w:ascii="Times New Roman" w:hAnsi="Times New Roman"/>
          <w:b w:val="false"/>
          <w:color w:val="000000"/>
          <w:sz w:val="20"/>
          <w:u w:val="single"/>
        </w:rPr>
        <w:t>Section 6.6</w:t>
      </w:r>
      <w:r>
        <w:rPr>
          <w:rFonts w:ascii="Times New Roman" w:hAnsi="Times New Roman"/>
          <w:b w:val="false"/>
          <w:color w:val="000000"/>
          <w:sz w:val="20"/>
        </w:rPr>
        <w:t>, and if Parent Board determines in good faith, after consultation with its independent financial advisor and outside legal counsel, that such Parent Takeover Proposal constitutes or would reasonably be expected to lead to a Parent Superior Proposal, then Parent and its Representatives may, in response to such Parent Takeover Proposal, (A) furnish, pursuant to an Acceptable Confidentiality Agreement, information (including non-public information) with respect to Parent and its Subsidiaries and afford access to the business, properties, assets, books, records or other non-public information, or to any personnel, of Parent or any of its Subsidiaries to the Person that has made such written Parent Takeover Proposal and its Representatives, prospective debt and equity financing sources and/or their respective Representatives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Parent shall, prior to or substantially concurrently with the delivery to such Person, provide to the Company any information concerning Parent or any of its Subsidiaries that is provided or made available to such Person or its Representatives, prospective debt and equity financing sources and/or their respective Representatives unless such information has been previously provided to the Company) and (B) engage in or otherwise participate in discussions or negotiations with the Person making such Parent Takeover Proposal and its Representatives, prospective debt and equity financing sources and/or their respective Representatives regarding such Parent Takeover Proposal;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Parent and its Representatives may contact any Person in writing (with a request that any response from such Person be in writing) with respect to a Parent Takeover Proposal to clarify any terms and conditions thereof which are necessary to determine whether Parent Takeover Proposal constitutes or would reasonably be expected to lead to a Parent Superior Proposal without the Parent Board being required to make such determination prior to taking such action. Parent shall promptly (and in any event within twenty-four (24) hours) notify the Company in writing if Parent Board makes the determinations set forth in this </w:t>
      </w:r>
      <w:r>
        <w:rPr>
          <w:rFonts w:ascii="Times New Roman" w:hAnsi="Times New Roman"/>
          <w:b w:val="false"/>
          <w:color w:val="000000"/>
          <w:sz w:val="20"/>
          <w:u w:val="single"/>
        </w:rPr>
        <w:t>Section 6.6(b)</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w:t>
      </w:r>
      <w:r>
        <w:rPr>
          <w:rFonts w:ascii="Times New Roman" w:hAnsi="Times New Roman"/>
          <w:b w:val="false"/>
          <w:i/>
          <w:color w:val="000000"/>
          <w:sz w:val="20"/>
        </w:rPr>
        <w:t>Notice</w:t>
      </w:r>
      <w:r>
        <w:rPr>
          <w:rFonts w:ascii="Times New Roman" w:hAnsi="Times New Roman"/>
          <w:b w:val="false"/>
          <w:color w:val="000000"/>
          <w:sz w:val="20"/>
        </w:rPr>
        <w:t>. At any time after the date hereof and until the earlier to occur of the termination of this Agreement pursuant to Article VIII and the Company Merger Effective Time, Parent shall promptly (and in no event later than forty-eight (48) hours after receipt) notify the Company (orally or in writing) in the event that Parent or any of its Subsidiaries or its or their Representatives receives a Parent Takeover Proposal, any inquiry, proposal, offer or request for information that would reasonably be expected to lead to a Parent Takeover Proposal or any amendment or modification to the material terms of any Parent Takeover Proposal, including the identity of the Person making such Parent Takeover Proposal, a copy of any agreements or draft documents related thereto and copies of any correspondence between Parent or its Representatives and the Person (or its Representatives) submitting such Parent Takeover Proposal, inquiry, proposal offer or request relating thereto. Parent shall keep the Company reasonably informed on a prompt and current basis with respect to the status and material terms of any such Parent Takeover Proposal, inquiry, proposal, offer or request and any material changes to the status of any such discussions or negotiations and promptly (and in any event within forty-eight (48) hours after receipt) provide the Company with copies of any correspondence, agreements or draft documents provided by Parent or such Person or their respective Representatives with respect thereto, in each case to the extent not previously made available to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w:t>
      </w:r>
      <w:r>
        <w:rPr>
          <w:rFonts w:ascii="Times New Roman" w:hAnsi="Times New Roman"/>
          <w:b w:val="false"/>
          <w:i/>
          <w:color w:val="000000"/>
          <w:sz w:val="20"/>
        </w:rPr>
        <w:t>Change in Recommendation or Termination in Response to Parent Superior Proposal</w:t>
      </w:r>
      <w:r>
        <w:rPr>
          <w:rFonts w:ascii="Times New Roman" w:hAnsi="Times New Roman"/>
          <w:b w:val="false"/>
          <w:color w:val="000000"/>
          <w:sz w:val="20"/>
        </w:rPr>
        <w:t xml:space="preserve">. Notwithstanding anything else in this Agreement to the contrary, from the date hereof, except as expressly permitted by this </w:t>
      </w:r>
      <w:r>
        <w:rPr>
          <w:rFonts w:ascii="Times New Roman" w:hAnsi="Times New Roman"/>
          <w:b w:val="false"/>
          <w:color w:val="000000"/>
          <w:sz w:val="20"/>
          <w:u w:val="single"/>
        </w:rPr>
        <w:t>Section 6.6(d)</w:t>
      </w:r>
      <w:r>
        <w:rPr>
          <w:rFonts w:ascii="Times New Roman" w:hAnsi="Times New Roman"/>
          <w:b w:val="false"/>
          <w:color w:val="000000"/>
          <w:sz w:val="20"/>
        </w:rPr>
        <w:t xml:space="preserve">, neither the Parent Board nor any committee thereof shall (i) (A) change, qualify, withhold, withdraw or modify, or authorize or resolve to or publicly propose or announce its intention to change, qualify, withhold, withdraw or modify, in each case in any manner adverse to the Company in any material respect, the Parent Recommendation, or fail to include the Parent Recommendation in the Proxy Statement/Prospectus in accordance with </w:t>
      </w:r>
      <w:r>
        <w:rPr>
          <w:rFonts w:ascii="Times New Roman" w:hAnsi="Times New Roman"/>
          <w:b w:val="false"/>
          <w:color w:val="000000"/>
          <w:sz w:val="20"/>
          <w:u w:val="single"/>
        </w:rPr>
        <w:t>Section 6.8(d)</w:t>
      </w:r>
      <w:r>
        <w:rPr>
          <w:rFonts w:ascii="Times New Roman" w:hAnsi="Times New Roman"/>
          <w:b w:val="false"/>
          <w:color w:val="000000"/>
          <w:sz w:val="20"/>
        </w:rPr>
        <w:t xml:space="preserve">; (B) adopt, approve, endorse or recommend to the stockholders of Parent, or resolve to or publicly propose or announce its intention to adopt, approve, endorse or recommend to the stockholders of Parent, a Parent Takeover Proposal; (C) within ten (10) Business Days of the Company’s written request, fail to make or reaffirm the Parent Recommendation following the date any Parent Takeover Proposal or any material modification thereto is first published or sent or given to the stockholders of Parent;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Company may not make any such request on more than one occasion in respect of any Parent Takeover Proposal or more than one occasion in respect of any material modification of a Parent Takeover Proposal; or (D) fail to recommend, in a Solicitation/Recommendation Statement on Schedule 14D-9 against any Parent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 w:hAnsi="Times New Roman"/>
          <w:b w:val="false"/>
          <w:color w:val="000000"/>
          <w:sz w:val="20"/>
          <w:u w:val="single"/>
        </w:rPr>
        <w:t>clause (i)</w:t>
      </w:r>
      <w:r>
        <w:rPr>
          <w:rFonts w:ascii="Times New Roman" w:hAnsi="Times New Roman"/>
          <w:b w:val="false"/>
          <w:color w:val="000000"/>
          <w:sz w:val="20"/>
        </w:rPr>
        <w:t xml:space="preserve"> being referred to as a “</w:t>
      </w:r>
      <w:r>
        <w:rPr>
          <w:rFonts w:ascii="Times New Roman" w:hAnsi="Times New Roman"/>
          <w:b w:val="false"/>
          <w:color w:val="000000"/>
          <w:sz w:val="20"/>
          <w:u w:val="single"/>
        </w:rPr>
        <w:t>Parent Change of Recommendation</w:t>
      </w:r>
      <w:r>
        <w:rPr>
          <w:rFonts w:ascii="Times New Roman" w:hAnsi="Times New Roman"/>
          <w:b w:val="false"/>
          <w:color w:val="000000"/>
          <w:sz w:val="20"/>
        </w:rPr>
        <w:t xml:space="preserve">”); or (ii) authorize, cause or direct Parent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Parent Takeover Proposal (other than an Acceptable Confidentiality Agreement entered into in accordance with </w:t>
      </w:r>
      <w:r>
        <w:rPr>
          <w:rFonts w:ascii="Times New Roman" w:hAnsi="Times New Roman"/>
          <w:b w:val="false"/>
          <w:color w:val="000000"/>
          <w:sz w:val="20"/>
          <w:u w:val="single"/>
        </w:rPr>
        <w:t>Section 6.6(b)</w:t>
      </w:r>
      <w:r>
        <w:rPr>
          <w:rFonts w:ascii="Times New Roman" w:hAnsi="Times New Roman"/>
          <w:b w:val="false"/>
          <w:color w:val="000000"/>
          <w:sz w:val="20"/>
        </w:rPr>
        <w:t xml:space="preserve">). Notwithstanding anything to the contrary set forth in this Agreement, prior to obtaining the Parent Stockholder Approval, the Parent Board may, in response to a Parent Takeover Proposal received by Parent after the date of this Agreement that did not result from a material breach of </w:t>
      </w:r>
      <w:r>
        <w:rPr>
          <w:rFonts w:ascii="Times New Roman" w:hAnsi="Times New Roman"/>
          <w:b w:val="false"/>
          <w:color w:val="000000"/>
          <w:sz w:val="20"/>
          <w:u w:val="single"/>
        </w:rPr>
        <w:t>Section 6.6(a)</w:t>
      </w:r>
      <w:r>
        <w:rPr>
          <w:rFonts w:ascii="Times New Roman" w:hAnsi="Times New Roman"/>
          <w:b w:val="false"/>
          <w:color w:val="000000"/>
          <w:sz w:val="20"/>
        </w:rPr>
        <w:t xml:space="preserve"> which the Parent Board determines in good faith, after consultation with its independent financial advisor and outside legal counsel, (x) constitutes a Parent Superior Proposal and (y) that failure to take the following actions would reasonably be expected to be inconsistent with its fiduciary duties under applicable Law, make a Parent Change of Recommendation in respect of such Parent Superior Proposal and/or cause Parent to terminate this Agreement in accordance with </w:t>
      </w:r>
      <w:r>
        <w:rPr>
          <w:rFonts w:ascii="Times New Roman" w:hAnsi="Times New Roman"/>
          <w:b w:val="false"/>
          <w:color w:val="000000"/>
          <w:sz w:val="20"/>
          <w:u w:val="single"/>
        </w:rPr>
        <w:t>Section 8.1(e)(ii)</w:t>
      </w:r>
      <w:r>
        <w:rPr>
          <w:rFonts w:ascii="Times New Roman" w:hAnsi="Times New Roman"/>
          <w:b w:val="false"/>
          <w:color w:val="000000"/>
          <w:sz w:val="20"/>
        </w:rPr>
        <w:t xml:space="preserv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prior to taking any such action, (A) Parent shall have given the Company at least five (5) Business Days’ prior written notice of its intention to take such action, which notice shall include a summary of the material terms and conditions of such Parent Superior Proposal, the identity of the Person making such Parent Superior Proposal and a copy of the Parent Superior Proposal and a copy of any proposed agreements providing for such Parent Superior Proposal (including any financing documents); (B) during such five (5) Business Day period following the date on which such notice is received, Parent shall and shall cause its Representatives to, negotiate with the Company in good faith (to the extent the Company wishes to negotiate) to make such adjustments to the terms and conditions of this Agreement as the Company may propose; (C) upon the end of such five (5) Business Day period (or such subsequent notice period as contemplated by </w:t>
      </w:r>
      <w:r>
        <w:rPr>
          <w:rFonts w:ascii="Times New Roman" w:hAnsi="Times New Roman"/>
          <w:b w:val="false"/>
          <w:color w:val="000000"/>
          <w:sz w:val="20"/>
          <w:u w:val="single"/>
        </w:rPr>
        <w:t>clause (D)</w:t>
      </w:r>
      <w:r>
        <w:rPr>
          <w:rFonts w:ascii="Times New Roman" w:hAnsi="Times New Roman"/>
          <w:b w:val="false"/>
          <w:color w:val="000000"/>
          <w:sz w:val="20"/>
        </w:rPr>
        <w:t xml:space="preserve"> below this proviso), the Parent Board shall have considered in good faith any revisions to the terms of this Agreement proposed in writing by the Company, and shall have determined, after consultation with its independent financial advisor and outside legal counsel, that the Parent Superior Proposal continues to constitute a Parent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Parent Superior Proposal, Parent shall, in each case, have delivered to the Company an additional notice consistent with that described in </w:t>
      </w:r>
      <w:r>
        <w:rPr>
          <w:rFonts w:ascii="Times New Roman" w:hAnsi="Times New Roman"/>
          <w:b w:val="false"/>
          <w:color w:val="000000"/>
          <w:sz w:val="20"/>
          <w:u w:val="single"/>
        </w:rPr>
        <w:t>clause (A)</w:t>
      </w:r>
      <w:r>
        <w:rPr>
          <w:rFonts w:ascii="Times New Roman" w:hAnsi="Times New Roman"/>
          <w:b w:val="false"/>
          <w:color w:val="000000"/>
          <w:sz w:val="20"/>
        </w:rPr>
        <w:t xml:space="preserve"> above of this proviso and a new notice period under </w:t>
      </w:r>
      <w:r>
        <w:rPr>
          <w:rFonts w:ascii="Times New Roman" w:hAnsi="Times New Roman"/>
          <w:b w:val="false"/>
          <w:color w:val="000000"/>
          <w:sz w:val="20"/>
          <w:u w:val="single"/>
        </w:rPr>
        <w:t>clause (A)</w:t>
      </w:r>
      <w:r>
        <w:rPr>
          <w:rFonts w:ascii="Times New Roman" w:hAnsi="Times New Roman"/>
          <w:b w:val="false"/>
          <w:color w:val="000000"/>
          <w:sz w:val="20"/>
        </w:rPr>
        <w:t xml:space="preserve"> of this proviso shall commence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notice period thereunder shall only be three (3) Business Days) during which time Parent shall be required to comply with the requirements of this </w:t>
      </w:r>
      <w:r>
        <w:rPr>
          <w:rFonts w:ascii="Times New Roman" w:hAnsi="Times New Roman"/>
          <w:b w:val="false"/>
          <w:color w:val="000000"/>
          <w:sz w:val="20"/>
          <w:u w:val="single"/>
        </w:rPr>
        <w:t>Section 6.6(d)</w:t>
      </w:r>
      <w:r>
        <w:rPr>
          <w:rFonts w:ascii="Times New Roman" w:hAnsi="Times New Roman"/>
          <w:b w:val="false"/>
          <w:color w:val="000000"/>
          <w:sz w:val="20"/>
        </w:rPr>
        <w:t xml:space="preserve"> anew with respect to such additional notice, including </w:t>
      </w:r>
      <w:r>
        <w:rPr>
          <w:rFonts w:ascii="Times New Roman" w:hAnsi="Times New Roman"/>
          <w:b w:val="false"/>
          <w:color w:val="000000"/>
          <w:sz w:val="20"/>
          <w:u w:val="single"/>
        </w:rPr>
        <w:t>clauses (A)</w:t>
      </w:r>
      <w:r>
        <w:rPr>
          <w:rFonts w:ascii="Times New Roman" w:hAnsi="Times New Roman"/>
          <w:b w:val="false"/>
          <w:color w:val="000000"/>
          <w:sz w:val="20"/>
        </w:rPr>
        <w:t xml:space="preserve"> through </w:t>
      </w:r>
      <w:r>
        <w:rPr>
          <w:rFonts w:ascii="Times New Roman" w:hAnsi="Times New Roman"/>
          <w:b w:val="false"/>
          <w:color w:val="000000"/>
          <w:sz w:val="20"/>
          <w:u w:val="single"/>
        </w:rPr>
        <w:t>(D)</w:t>
      </w:r>
      <w:r>
        <w:rPr>
          <w:rFonts w:ascii="Times New Roman" w:hAnsi="Times New Roman"/>
          <w:b w:val="false"/>
          <w:color w:val="000000"/>
          <w:sz w:val="20"/>
        </w:rPr>
        <w:t xml:space="preserve"> above of this proviso.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w:t>
      </w:r>
      <w:r>
        <w:rPr>
          <w:rFonts w:ascii="Times New Roman" w:hAnsi="Times New Roman"/>
          <w:b w:val="false"/>
          <w:i/>
          <w:color w:val="000000"/>
          <w:sz w:val="20"/>
        </w:rPr>
        <w:t>Parent Change of Recommendation in Response to Parent Intervening Event</w:t>
      </w:r>
      <w:r>
        <w:rPr>
          <w:rFonts w:ascii="Times New Roman" w:hAnsi="Times New Roman"/>
          <w:b w:val="false"/>
          <w:color w:val="000000"/>
          <w:sz w:val="20"/>
        </w:rPr>
        <w:t xml:space="preserve">. Notwithstanding anything to the contrary set forth in this Agreement, prior to obtaining Parent Stockholder Approval, the Parent Board may, in response to a Parent Intervening Event, make a Parent Change of Recommendation, and the Parent Board determines in good faith, after consultation with Parent’s independent financial advisor and outside legal counsel, that the failure of the Parent Board to take such action would reasonably be expected to be inconsistent with its fiduciary duties under applicable Law;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the Parent Board shall not be entitled to effect such a Parent Change of Recommendation until (i) Parent shall have given the Company at least five (5) Business Days’ prior written notice of its intention to effect such a Parent Change of Recommendation, which notice shall specify the reasons therefor and include a reasonable description of such Parent Intervening Event; (ii) during the five (5) Business Day period following the date on which such notice is received, Parent shall and shall cause its Representatives to negotiate in good faith with the Company (to the extent the Company wishes to negotiate), to make adjustments to the terms and conditions of this Agreement; and (iii) following the end of such five (5) Business Day period, the Parent Board, after consultation with Parent’s independent financial advisor and outside legal counsel and taking into account any revisions to the terms and conditions of this Agreement proposed by the Company, shall have determined in good faith that the failure of the Parent Board to make such a Parent Change of Recommendation in response to such Parent Intervening Event would reasonably be expected to be inconsistent with its fiduciary duties under applicable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(f)          Nothing contained in this </w:t>
      </w:r>
      <w:r>
        <w:rPr>
          <w:rFonts w:ascii="Times New Roman" w:hAnsi="Times New Roman"/>
          <w:b w:val="false"/>
          <w:color w:val="000000"/>
          <w:sz w:val="20"/>
          <w:u w:val="single"/>
        </w:rPr>
        <w:t>Section 6.6</w:t>
      </w:r>
      <w:r>
        <w:rPr>
          <w:rFonts w:ascii="Times New Roman" w:hAnsi="Times New Roman"/>
          <w:b w:val="false"/>
          <w:color w:val="000000"/>
          <w:sz w:val="20"/>
        </w:rPr>
        <w:t xml:space="preserve"> shall prohibit Parent, the Parent Board or a committee thereof from (i) taking and disclosing to the stockholders of Parent a position contemplated by Rule 14e-2(a) or Rule 14d-9 promulgated under the Exchange Act; (ii) making any disclosure to the stockholders of Parent that is required by Law or stock exchange rule or listing agreement; (iii) complying with Item 1012(a) of Regulation M-A promulgated under the Exchange Act; (iv) informing any Person of the existence of the provisions contained in this </w:t>
      </w:r>
      <w:r>
        <w:rPr>
          <w:rFonts w:ascii="Times New Roman" w:hAnsi="Times New Roman"/>
          <w:b w:val="false"/>
          <w:color w:val="000000"/>
          <w:sz w:val="20"/>
          <w:u w:val="single"/>
        </w:rPr>
        <w:t>Section 6.6</w:t>
      </w:r>
      <w:r>
        <w:rPr>
          <w:rFonts w:ascii="Times New Roman" w:hAnsi="Times New Roman"/>
          <w:b w:val="false"/>
          <w:color w:val="000000"/>
          <w:sz w:val="20"/>
        </w:rPr>
        <w:t xml:space="preserve">; or (v) making any “stop, look and listen” communication to the stockholders of Parent pursuant to Rule 14d-9(f) under the Exchange Act (or any substantially similar communication);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this </w:t>
      </w:r>
      <w:r>
        <w:rPr>
          <w:rFonts w:ascii="Times New Roman" w:hAnsi="Times New Roman"/>
          <w:b w:val="false"/>
          <w:color w:val="000000"/>
          <w:sz w:val="20"/>
          <w:u w:val="single"/>
        </w:rPr>
        <w:t>Section 6.6(f)</w:t>
      </w:r>
      <w:r>
        <w:rPr>
          <w:rFonts w:ascii="Times New Roman" w:hAnsi="Times New Roman"/>
          <w:b w:val="false"/>
          <w:color w:val="000000"/>
          <w:sz w:val="20"/>
        </w:rPr>
        <w:t xml:space="preserve"> shall not be deemed to permit the Parent Board or any committee thereof to make a Parent Change of Recommendation other than in accordance with </w:t>
      </w:r>
      <w:r>
        <w:rPr>
          <w:rFonts w:ascii="Times New Roman" w:hAnsi="Times New Roman"/>
          <w:b w:val="false"/>
          <w:color w:val="000000"/>
          <w:sz w:val="20"/>
          <w:u w:val="single"/>
        </w:rPr>
        <w:t>Section 6.6(d)</w:t>
      </w:r>
      <w:r>
        <w:rPr>
          <w:rFonts w:ascii="Times New Roman" w:hAnsi="Times New Roman"/>
          <w:b w:val="false"/>
          <w:color w:val="000000"/>
          <w:sz w:val="20"/>
        </w:rPr>
        <w:t xml:space="preserve"> or </w:t>
      </w:r>
      <w:r>
        <w:rPr>
          <w:rFonts w:ascii="Times New Roman" w:hAnsi="Times New Roman"/>
          <w:b w:val="false"/>
          <w:color w:val="000000"/>
          <w:sz w:val="20"/>
          <w:u w:val="single"/>
        </w:rPr>
        <w:t>Section 6.6(e)</w:t>
      </w:r>
      <w:r>
        <w:rPr>
          <w:rFonts w:ascii="Times New Roman" w:hAnsi="Times New Roman"/>
          <w:b w:val="false"/>
          <w:color w:val="000000"/>
          <w:sz w:val="20"/>
        </w:rPr>
        <w:t>. In addition, it is understood and agreed that, for purposes of this Agreement, a factually accurate required public statement by Parent or the Parent Board (or a committee thereof) that solely describes Parent’s receipt of a Parent Takeover Proposal, the identity of the Person making such Parent Takeover Proposal, the material terms of such Parent Takeover Proposal and the operation of this Agreement with respect thereto will not be deemed to be (A) changing, qualifying, withholding, withdrawing or modifying, or a proposal by the Parent Board (or a committee thereof) to change, qualify, withhold, withdraw or modify, the Parent Recommendation; (B) an adoption, approval or recommendation with respect to such Parent Takeover Proposal; or (C) a Parent Change of Recommendation.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6.7.        </w:t>
      </w:r>
      <w:r>
        <w:rPr>
          <w:rFonts w:ascii="Times New Roman" w:hAnsi="Times New Roman"/>
          <w:b w:val="false"/>
          <w:color w:val="000000"/>
          <w:sz w:val="20"/>
          <w:u w:val="single"/>
        </w:rPr>
        <w:t>Form S-4 and Joint Proxy Statement</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As promptly as reasonably practicable after the execution of this Agreement, Parent and the Company shall prepare, and Parent shall file with the SEC, a registration statement on Form S-4 of Parent relating to the Parent Common Stock Issuance (as amended or supplemented from time to time, the “</w:t>
      </w:r>
      <w:r>
        <w:rPr>
          <w:rFonts w:ascii="Times New Roman" w:hAnsi="Times New Roman"/>
          <w:b w:val="false"/>
          <w:color w:val="000000"/>
          <w:sz w:val="20"/>
          <w:u w:val="single"/>
        </w:rPr>
        <w:t>Form S-4</w:t>
      </w:r>
      <w:r>
        <w:rPr>
          <w:rFonts w:ascii="Times New Roman" w:hAnsi="Times New Roman"/>
          <w:b w:val="false"/>
          <w:color w:val="000000"/>
          <w:sz w:val="20"/>
        </w:rPr>
        <w:t>”), in which the Joint Proxy Statement shall be included as a prospectus (collectively, the “</w:t>
      </w:r>
      <w:r>
        <w:rPr>
          <w:rFonts w:ascii="Times New Roman" w:hAnsi="Times New Roman"/>
          <w:b w:val="false"/>
          <w:color w:val="000000"/>
          <w:sz w:val="20"/>
          <w:u w:val="single"/>
        </w:rPr>
        <w:t>Proxy Statement/Prospectus</w:t>
      </w:r>
      <w:r>
        <w:rPr>
          <w:rFonts w:ascii="Times New Roman" w:hAnsi="Times New Roman"/>
          <w:b w:val="false"/>
          <w:color w:val="000000"/>
          <w:sz w:val="20"/>
        </w:rPr>
        <w:t>”). Each of Parent and the Company shall use commercially reasonable efforts to have the Form S-4 declared effective under the Securities Act and for the Proxy Statement/Prospectus to be cleared by the SEC and its staff under the Exchange Act, in each case, as promptly as reasonably practicable after such filing and to keep the Form S-4 effective for as long as is necessary to consummate the Company Merger. Parent and the Company shall use reasonable efforts to respond as promptly as practicable to any comments of the SEC staff in respect of the Proxy Statement/Prospectus and to cause the definitive Proxy Statement/Prospectus to be mailed to the Company’s stockholders as promptly as practicable following the effectiveness of the Form S-4 under the Securities Act. The Company will furnish Parent all information reasonably requested by Parent relating to the Company required by applicable Law to be set forth in the Proxy Statement/Prospectus. Parent and Merger Sub will furnish the Company with all information reasonably requested by the Company relating to Parent and Merger Sub required by applicable Law to be set forth in the Proxy Statement/Prospectus. Each of Parent and the Company shall promptly notify the other party upon the receipt of any comments from the SEC or its staff or any request from the SEC or its staff for amendments or supplements to the Proxy Statement/Prospectus and the receiving party shall provide the other party with copies of all correspondence between the receiving party and its Representatives, on the one hand, and the SEC and its staff, on the other hand, relating to the Proxy Statement/Prospectus. Each of Parent and the Company shall provide the other party a reasonable opportunity to review and propose comments on the Proxy Statement/Prospectus prior to the filing thereof (and any amendments or supplements thereto) or any responses or other communications to the SEC or its staff and shall in good faith consider such comments reasonably proposed by the other party for inclusion therein. Each of Parent and the Company shall use its reasonable best efforts to resolve all SEC comments with respect to the Proxy Statement/Prospectus as promptly as practicable after receipt thereof and shall provide all cooperation reasonably requested by the other party in connection therewith.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If at any time prior to the Company Stockholders Meeting any information relating to the Company or Parent, or any of their respective Affiliates, is discovered by a party hereto, which information should be set forth in an amendment or supplement to the Proxy Statement/Prospectus, the party hereto that discovers such information shall promptly notify the other party hereto and Parent and the Company shall use reasonable best efforts to prepare and mail to the Company’s stockholders such an amendment or supplement, in each case, to the extent required by applicable Law. Each of Parent and the Company further agrees to use reasonable best efforts to cause the Proxy Statement/Prospectus as so corrected or supplemented promptly to be filed with the SEC and to be disseminated to the Company’s stockholders, in each case as and to the extent required by applicable Law.</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If at any time prior to the Parent Stockholders Meeting any information relating to Parent or the Company, or any of their respective Affiliates, is discovered by a party hereto, which information should be set forth in an amendment or supplement to the Proxy Statement/Prospectus, the party hereto that discovers such information shall promptly notify the other party hereto and the Company and Parent shall use reasonable best efforts to prepare and mail to Parent’s stockholders such an amendment or supplement, in each case, to the extent required by applicable Law. Each of the Company and Parent further agrees to use reasonable best efforts to cause the Proxy Statement/Prospectus as so corrected or supplemented promptly to be filed with the SEC and to be disseminated to the Parent’s stockholders, in each case as and to the extent required by applicable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6.8.        </w:t>
      </w:r>
      <w:r>
        <w:rPr>
          <w:rFonts w:ascii="Times New Roman" w:hAnsi="Times New Roman"/>
          <w:b w:val="false"/>
          <w:color w:val="000000"/>
          <w:sz w:val="20"/>
          <w:u w:val="single"/>
        </w:rPr>
        <w:t>Stockholders Meetings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Subject to the other provisions of this Agreement, the Company shall (i) take all actions required under the MGCL and the Articles of Incorporation and Bylaws to duly call, give notice of, convene and hold a meeting of its stockholders as promptly as reasonably practicable after the Form S-4 becomes effective for the purpose of obtaining the Company Stockholder Approval (the “</w:t>
      </w:r>
      <w:r>
        <w:rPr>
          <w:rFonts w:ascii="Times New Roman" w:hAnsi="Times New Roman"/>
          <w:b w:val="false"/>
          <w:color w:val="000000"/>
          <w:sz w:val="20"/>
          <w:u w:val="single"/>
        </w:rPr>
        <w:t>Company Stockholders Meeting</w:t>
      </w:r>
      <w:r>
        <w:rPr>
          <w:rFonts w:ascii="Times New Roman" w:hAnsi="Times New Roman"/>
          <w:b w:val="false"/>
          <w:color w:val="000000"/>
          <w:sz w:val="20"/>
        </w:rPr>
        <w:t xml:space="preserve">”); and (ii) subject to a Company Change of Recommendation pursuant to, and in accordance with, </w:t>
      </w:r>
      <w:r>
        <w:rPr>
          <w:rFonts w:ascii="Times New Roman" w:hAnsi="Times New Roman"/>
          <w:b w:val="false"/>
          <w:color w:val="000000"/>
          <w:sz w:val="20"/>
          <w:u w:val="single"/>
        </w:rPr>
        <w:t>Section 6.5</w:t>
      </w:r>
      <w:r>
        <w:rPr>
          <w:rFonts w:ascii="Times New Roman" w:hAnsi="Times New Roman"/>
          <w:b w:val="false"/>
          <w:color w:val="000000"/>
          <w:sz w:val="20"/>
        </w:rPr>
        <w:t>, include in the Proxy Statement/Prospectus the Company Recommendation and use reasonable best efforts to solicit from the Company’s stockholders proxies in favor of the approval of this Agreement and approval of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Notwithstanding anything to the contrary in this Agreement, (i) if the Company reasonably determines in good faith that the Company Stockholder Approval is unlikely to be obtained at the Company Stockholders Meeting, including due to an absence of quorum, then prior to the vote contemplated having been taken, the Company shall have the right, after consultation with Parent, to adjourn, delay or postpone the Company Stockholders Meeting (for a period of not more than thirty (30) calendar days for each such adjournment, delay or postponement) for the purpose of soliciting additional votes in favor of obtaining the Company Stockholder Approval; and (ii) if requested by Parent on no more than two occasions, the Company shall adjourn, delay or postpone the Company Stockholders Meeting (for a period of not more than thirty (30) calendar days each), if Parent reasonably determines in good faith that the Company Stockholder Approval is unlikely to be obtained at the Company Stockholders Meeting. If requested by Parent, the Company shall promptly provide to Parent all voting tabulation reports relating to the Company Stockholders Meeting that have been prepared by the Company or the Company’s transfer agent, proxy solicitor or other Representatives.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Notwithstanding any Company Change of Recommendation, but subject to </w:t>
      </w:r>
      <w:r>
        <w:rPr>
          <w:rFonts w:ascii="Times New Roman" w:hAnsi="Times New Roman"/>
          <w:b w:val="false"/>
          <w:color w:val="000000"/>
          <w:sz w:val="20"/>
          <w:u w:val="single"/>
        </w:rPr>
        <w:t>Section 6.5(d)</w:t>
      </w:r>
      <w:r>
        <w:rPr>
          <w:rFonts w:ascii="Times New Roman" w:hAnsi="Times New Roman"/>
          <w:b w:val="false"/>
          <w:color w:val="000000"/>
          <w:sz w:val="20"/>
        </w:rPr>
        <w:t>, unless this Agreement has been terminated in accordance with its terms, the Company Stockholders Meeting shall be convened and this Agreement shall be submitted to the Company’s stockholders at the Company Stockholders Meeting.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Subject to the other provisions of this Agreement, Parent shall (i) take all actions required under the MGCL and its Organizational Documents to duly call, give notice of, convene and hold a meeting of its stockholders as promptly as reasonably practicable after the Form S-4 becomes effective for the purpose of obtaining the Parent Stockholder Approval (the “</w:t>
      </w:r>
      <w:r>
        <w:rPr>
          <w:rFonts w:ascii="Times New Roman" w:hAnsi="Times New Roman"/>
          <w:b w:val="false"/>
          <w:color w:val="000000"/>
          <w:sz w:val="20"/>
          <w:u w:val="single"/>
        </w:rPr>
        <w:t>Parent Stockholders Meeting</w:t>
      </w:r>
      <w:r>
        <w:rPr>
          <w:rFonts w:ascii="Times New Roman" w:hAnsi="Times New Roman"/>
          <w:b w:val="false"/>
          <w:color w:val="000000"/>
          <w:sz w:val="20"/>
        </w:rPr>
        <w:t xml:space="preserve">”); and (ii) subject to a Parent Change of Recommendation pursuant to, and in accordance with, </w:t>
      </w:r>
      <w:r>
        <w:rPr>
          <w:rFonts w:ascii="Times New Roman" w:hAnsi="Times New Roman"/>
          <w:b w:val="false"/>
          <w:color w:val="000000"/>
          <w:sz w:val="20"/>
          <w:u w:val="single"/>
        </w:rPr>
        <w:t>Section 6.6</w:t>
      </w:r>
      <w:r>
        <w:rPr>
          <w:rFonts w:ascii="Times New Roman" w:hAnsi="Times New Roman"/>
          <w:b w:val="false"/>
          <w:color w:val="000000"/>
          <w:sz w:val="20"/>
        </w:rPr>
        <w:t>, include in the Proxy Statement/Prospectus the Parent Recommendation and use reasonable best efforts to solicit from Parent’s stockholders proxies in favor of the approval of the Parent Common Stock Issuance.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Notwithstanding anything to the contrary in this Agreement, (i) if Parent reasonably determines in good faith that the Parent Stockholder Approval is unlikely to be obtained at the Parent Stockholders Meeting, including due to an absence of quorum, then prior to the vote contemplated having been taken, Parent shall have the right, after consultation with the Company, to adjourn, delay or postpone the Parent Stockholders Meeting (for a period of not more than thirty (30) calendar days for each such adjournment, delay or postponement) for the purpose of soliciting additional votes in favor of obtaining the Parent Stockholder Approval; and (ii) if requested by the Company on no more than two occasions, Parent shall adjourn, delay or postpone the Parent Stockholders Meeting (for a period of not more than thirty (30) calendar days each), if the Company reasonably determines in good faith that the Parent Stockholder Approval is unlikely to be obtained at the Parent Stockholders Meeting. If requested by the Company, Parent shall promptly provide to the Company all voting tabulation reports relating to the Parent Stockholders Meeting that have been prepared by the Parent or Parent’s transfer agent, proxy solicitor or other Representatives.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(f)          Notwithstanding any Parent Change of Recommendation, but subject to </w:t>
      </w:r>
      <w:r>
        <w:rPr>
          <w:rFonts w:ascii="Times New Roman" w:hAnsi="Times New Roman"/>
          <w:b w:val="false"/>
          <w:color w:val="000000"/>
          <w:sz w:val="20"/>
          <w:u w:val="single"/>
        </w:rPr>
        <w:t>Section 6.6(d)</w:t>
      </w:r>
      <w:r>
        <w:rPr>
          <w:rFonts w:ascii="Times New Roman" w:hAnsi="Times New Roman"/>
          <w:b w:val="false"/>
          <w:color w:val="000000"/>
          <w:sz w:val="20"/>
        </w:rPr>
        <w:t>, unless this Agreement has been terminated in accordance with its terms, the Parent Stockholders Meeting shall be convened and this Agreement shall be submitted to the Parent’s stockholders at the Parent Stockholders Meeting.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(g)         The parties shall use their reasonable best efforts to hold the Company Stockholders Meeting and the Parent Stockholders Meeting on the same day.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6.9.        </w:t>
      </w:r>
      <w:r>
        <w:rPr>
          <w:rFonts w:ascii="Times New Roman" w:hAnsi="Times New Roman"/>
          <w:b w:val="false"/>
          <w:color w:val="000000"/>
          <w:sz w:val="20"/>
          <w:u w:val="single"/>
        </w:rPr>
        <w:t>Efforts.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Subject to the terms and conditions of this Agreement, the parties shall, and shall cause their respective Affiliates to, use their reasonable best efforts to take, or cause to be taken, all actions, and to do, or cause to be done, all things necessary, proper or advisable under any applicable Laws to consummate and make effective in the most expeditious manner possible the Transactions and to cause the conditions to the Transactions set forth in </w:t>
      </w:r>
      <w:r>
        <w:rPr>
          <w:rFonts w:ascii="Times New Roman" w:hAnsi="Times New Roman"/>
          <w:b w:val="false"/>
          <w:color w:val="000000"/>
          <w:sz w:val="20"/>
          <w:u w:val="single"/>
        </w:rPr>
        <w:t>Article VII</w:t>
      </w:r>
      <w:r>
        <w:rPr>
          <w:rFonts w:ascii="Times New Roman" w:hAnsi="Times New Roman"/>
          <w:b w:val="false"/>
          <w:color w:val="000000"/>
          <w:sz w:val="20"/>
        </w:rPr>
        <w:t xml:space="preserve"> to be satisfied as promptly as practicable, including using reasonable best efforts to accomplish the following as promptly as reasonably practicable: (i) the preparation and filing of all forms, registrations and notifications to or with any Governmental Authority required to be filed to consummate the Transactions; (ii) satisfaction of the conditions to consummating the Transactions; and (iii) taking all actions, subject to the limitations of this </w:t>
      </w:r>
      <w:r>
        <w:rPr>
          <w:rFonts w:ascii="Times New Roman" w:hAnsi="Times New Roman"/>
          <w:b w:val="false"/>
          <w:color w:val="000000"/>
          <w:sz w:val="20"/>
          <w:u w:val="single"/>
        </w:rPr>
        <w:t>Section 6.9</w:t>
      </w:r>
      <w:r>
        <w:rPr>
          <w:rFonts w:ascii="Times New Roman" w:hAnsi="Times New Roman"/>
          <w:b w:val="false"/>
          <w:color w:val="000000"/>
          <w:sz w:val="20"/>
        </w:rPr>
        <w:t>, necessary, proper or advisable to obtain (and to cooperate with each other in obtaining) any consent, authorization, expiration or termination of a waiting period, permit, Order or approval of, waiver or any exemption by, any Governmental Authority required to be obtained or made by Parent or Merger Sub or any of their respective Subsidiaries in connection with the Transactions or the taking of any action contemplated by this Agreement; provided, that, notwithstanding anything to the contrary in this Agreement,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the Company and its Subsidiaries shall not take any of the actions referred to in the proceeding proviso (or agree to take such actions) without Parent’s prior written consent.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To the extent reasonably practicable, the parties and their Representatives shall have the right to review in advance and each of the parties will consult the others on, all the information relating to the other and each of their Affiliates that appears in any filing, consent, authorization, approval, notice made with, or written materials submitted to, any Governmental Authority in connection with the Mergers and the other Transactions. Parent and the Company shall each keep the other apprised of the status of matters relating to the completion of the Transactions and work cooperatively in connection with obtaining all required consents, authorizations, Orders or approvals of, or any exemptions by, any Governmental Authority undertaken pursuant to the provisions of this </w:t>
      </w:r>
      <w:r>
        <w:rPr>
          <w:rFonts w:ascii="Times New Roman" w:hAnsi="Times New Roman"/>
          <w:b w:val="false"/>
          <w:color w:val="000000"/>
          <w:sz w:val="20"/>
          <w:u w:val="single"/>
        </w:rPr>
        <w:t>Section 6.9</w:t>
      </w:r>
      <w:r>
        <w:rPr>
          <w:rFonts w:ascii="Times New Roman" w:hAnsi="Times New Roman"/>
          <w:b w:val="false"/>
          <w:color w:val="000000"/>
          <w:sz w:val="20"/>
        </w:rPr>
        <w:t xml:space="preserve">. In that regard, each party hereto shall promptly consult with the other parties hereto with respect to and provide any necessary information and assistance as the other parties hereto may reasonably request with respect to (and, in the case of correspondence, provide the other parties hereto (or their counsel) with copies of) all notices, submissions or filings made by or on behalf of such party hereto or any of its Affiliates with any Governmental Authority or any other information supplied by or on behalf of such party hereto or any of its Affiliates to, or correspondence with, any Person in connection with this Agreement and the Transactions. Each party hereto shall promptly inform the other parties hereto, and if in writing, furnish the other parties hereto with copies of (or, in the case of oral communications, advise the other parties hereto orally of) any communication from or to any Governmental Authority regarding the Transactions, and permit the other parties hereto to review and discuss in advance, and consider in good faith the views of the other parties hereto in connection with, any proposed communication or submission with any such Governmental Authority. No party hereto or any of its Affiliates shall participate in any meeting or teleconference with any Governmental Authority in connection with this Agreement and the Transactions, including any consents, authorizations, approvals, notices with respect to Business Permits, unless it consults with the other parties hereto in advance and, to the extent not prohibited by such Governmental Authority, gives the other parties hereto the opportunity to attend and participate thereat. Notwithstanding the foregoing, Parent and the Company may, as each deems advisable and necessary, reasonably designate any competitively sensitive material provided to the other under this </w:t>
      </w:r>
      <w:r>
        <w:rPr>
          <w:rFonts w:ascii="Times New Roman" w:hAnsi="Times New Roman"/>
          <w:b w:val="false"/>
          <w:color w:val="000000"/>
          <w:sz w:val="20"/>
          <w:u w:val="single"/>
        </w:rPr>
        <w:t>Section 6.9(b)</w:t>
      </w:r>
      <w:r>
        <w:rPr>
          <w:rFonts w:ascii="Times New Roman" w:hAnsi="Times New Roman"/>
          <w:b w:val="false"/>
          <w:color w:val="000000"/>
          <w:sz w:val="20"/>
        </w:rPr>
        <w:t xml:space="preserve"> as “Outside Counsel Only Material.”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Notwithstanding anything to the contrary contained in this </w:t>
      </w:r>
      <w:r>
        <w:rPr>
          <w:rFonts w:ascii="Times New Roman" w:hAnsi="Times New Roman"/>
          <w:b w:val="false"/>
          <w:color w:val="000000"/>
          <w:sz w:val="20"/>
          <w:u w:val="single"/>
        </w:rPr>
        <w:t>Section 6.9</w:t>
      </w:r>
      <w:r>
        <w:rPr>
          <w:rFonts w:ascii="Times New Roman" w:hAnsi="Times New Roman"/>
          <w:b w:val="false"/>
          <w:color w:val="000000"/>
          <w:sz w:val="20"/>
        </w:rPr>
        <w:t xml:space="preserve">, materials provided pursuant to this </w:t>
      </w:r>
      <w:r>
        <w:rPr>
          <w:rFonts w:ascii="Times New Roman" w:hAnsi="Times New Roman"/>
          <w:b w:val="false"/>
          <w:color w:val="000000"/>
          <w:sz w:val="20"/>
          <w:u w:val="single"/>
        </w:rPr>
        <w:t>Section 6.9</w:t>
      </w:r>
      <w:r>
        <w:rPr>
          <w:rFonts w:ascii="Times New Roman" w:hAnsi="Times New Roman"/>
          <w:b w:val="false"/>
          <w:color w:val="000000"/>
          <w:sz w:val="20"/>
        </w:rPr>
        <w:t xml:space="preserve"> may be redacted (i) to remove references concerning the valuation or future plans of the Company and the Transactions; (ii) as necessary to comply with existing contractual obligations; and (iii) as necessary to address reasonable privilege concerns;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that a party redacting materials shall use its reasonable best efforts to make appropriate substitute arrangements to permit reasonable disclosure of such information not in violation of any applicable Law, existing contractual obligation, or privilege.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Without limiting the generality of </w:t>
      </w:r>
      <w:r>
        <w:rPr>
          <w:rFonts w:ascii="Times New Roman" w:hAnsi="Times New Roman"/>
          <w:b w:val="false"/>
          <w:color w:val="000000"/>
          <w:sz w:val="20"/>
          <w:u w:val="single"/>
        </w:rPr>
        <w:t>Section 6.9(a)</w:t>
      </w:r>
      <w:r>
        <w:rPr>
          <w:rFonts w:ascii="Times New Roman" w:hAnsi="Times New Roman"/>
          <w:b w:val="false"/>
          <w:color w:val="000000"/>
          <w:sz w:val="20"/>
        </w:rPr>
        <w:t>, the Company and Parent shall, and shall cause their applicable Subsidiaries to, make or file,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The Company and Parent shall, and shall cause their respective Affiliates to, as promptly as practicable, respond to inquiries from Governmental Authorities, or provide any supplemental information that may be requested by Governmental Authorities, in connection with filings, forms, applications, registrations and notifications made with such Governmental Authorities. Neither the Company nor Parent will withdraw any such filings, forms, applications, registrations or notifications, nor extend the timing for any review period by any Governmental Authority in connection with obtaining any approval, consent, clearance, waiver or authorization from any Governmental Authority, including with respect to the Business Permits (including, for the avoidance of doubt, the Required Regulatory Approvals), without the prior written consent of the other party 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Without limiting the generality of </w:t>
      </w:r>
      <w:r>
        <w:rPr>
          <w:rFonts w:ascii="Times New Roman" w:hAnsi="Times New Roman"/>
          <w:b w:val="false"/>
          <w:color w:val="000000"/>
          <w:sz w:val="20"/>
          <w:u w:val="single"/>
        </w:rPr>
        <w:t>Section 6.9(a)</w:t>
      </w:r>
      <w:r>
        <w:rPr>
          <w:rFonts w:ascii="Times New Roman" w:hAnsi="Times New Roman"/>
          <w:b w:val="false"/>
          <w:color w:val="000000"/>
          <w:sz w:val="20"/>
        </w:rPr>
        <w:t>, if requested in writing by Parent, the Company shall, and shall causes its Affiliates to, use its reasonable best efforts to assist Parent in obtaining, effective no earlier than the Closing, any amendment, agreement, consent or waiver under the documentation relating to the Company Facilities (collectively, the “</w:t>
      </w:r>
      <w:r>
        <w:rPr>
          <w:rFonts w:ascii="Times New Roman" w:hAnsi="Times New Roman"/>
          <w:b w:val="false"/>
          <w:color w:val="000000"/>
          <w:sz w:val="20"/>
          <w:u w:val="single"/>
        </w:rPr>
        <w:t>Facility Documentation</w:t>
      </w:r>
      <w:r>
        <w:rPr>
          <w:rFonts w:ascii="Times New Roman" w:hAnsi="Times New Roman"/>
          <w:b w:val="false"/>
          <w:color w:val="000000"/>
          <w:sz w:val="20"/>
        </w:rPr>
        <w:t>”), in connection with the consummation of the Transactions, including with respect to a change in control of the Company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Parent.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6.10.      </w:t>
      </w:r>
      <w:r>
        <w:rPr>
          <w:rFonts w:ascii="Times New Roman" w:hAnsi="Times New Roman"/>
          <w:b w:val="false"/>
          <w:color w:val="000000"/>
          <w:sz w:val="20"/>
          <w:u w:val="single"/>
        </w:rPr>
        <w:t>Public Announcements</w:t>
      </w:r>
      <w:r>
        <w:rPr>
          <w:rFonts w:ascii="Times New Roman" w:hAnsi="Times New Roman"/>
          <w:b w:val="false"/>
          <w:color w:val="000000"/>
          <w:sz w:val="20"/>
        </w:rPr>
        <w:t xml:space="preserve">. The Company, Parent and Parent Manager agree that the initial press release to be issued with respect to the execution and delivery of this Agreement shall be joint and in a form agreed to by the parties hereto and the parties hereto shall consult with each other before issuing any subsequent press release or making any other public announcement with respect to this Agreement and the Transactions and shall not issue any such press release or make any such public announcement without the prior consent of the other party hereto (which shall not be unreasonably withheld, conditioned or delayed);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(a) a party hereto may, without the prior consent of any other party hereto (but after prior consultation, to the extent practicable in the circumstances) issue such press release or make such public announcement to the extent required by applicable Law or the applicable rules of any stock exchange or by any regulatory authority; (b) each of the Company, Parent and Parent Manager may make press releases or public communications concerning this Agreement and the Transactions that consist solely of information previously disclosed in previous press releases or announcements made by Parent, Parent Manager and/or the Company in compliance with this </w:t>
      </w:r>
      <w:r>
        <w:rPr>
          <w:rFonts w:ascii="Times New Roman" w:hAnsi="Times New Roman"/>
          <w:b w:val="false"/>
          <w:color w:val="000000"/>
          <w:sz w:val="20"/>
          <w:u w:val="single"/>
        </w:rPr>
        <w:t>Section 6.10</w:t>
      </w:r>
      <w:r>
        <w:rPr>
          <w:rFonts w:ascii="Times New Roman" w:hAnsi="Times New Roman"/>
          <w:b w:val="false"/>
          <w:color w:val="000000"/>
          <w:sz w:val="20"/>
        </w:rPr>
        <w:t xml:space="preserve">; and (c) each of the Company, Parent and Parent Manager may make any public statements in response to questions by the press, analysts or investors or those participating in investor calls or industry conferences, so long as such statements consist solely of information previously disclosed in previous press releases, public disclosures or public statements made by Parent, Parent Manager and/or the Company in compliance with this </w:t>
      </w:r>
      <w:r>
        <w:rPr>
          <w:rFonts w:ascii="Times New Roman" w:hAnsi="Times New Roman"/>
          <w:b w:val="false"/>
          <w:color w:val="000000"/>
          <w:sz w:val="20"/>
          <w:u w:val="single"/>
        </w:rPr>
        <w:t>Section 6.10</w:t>
      </w:r>
      <w:r>
        <w:rPr>
          <w:rFonts w:ascii="Times New Roman" w:hAnsi="Times New Roman"/>
          <w:b w:val="false"/>
          <w:color w:val="000000"/>
          <w:sz w:val="20"/>
        </w:rPr>
        <w:t xml:space="preserv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further</w:t>
      </w:r>
      <w:r>
        <w:rPr>
          <w:rFonts w:ascii="Times New Roman" w:hAnsi="Times New Roman"/>
          <w:b w:val="false"/>
          <w:color w:val="000000"/>
          <w:sz w:val="20"/>
        </w:rPr>
        <w:t xml:space="preserve">, that subject to compliance with </w:t>
      </w:r>
      <w:r>
        <w:rPr>
          <w:rFonts w:ascii="Times New Roman" w:hAnsi="Times New Roman"/>
          <w:b w:val="false"/>
          <w:color w:val="000000"/>
          <w:sz w:val="20"/>
          <w:u w:val="single"/>
        </w:rPr>
        <w:t>Section 6.5</w:t>
      </w:r>
      <w:r>
        <w:rPr>
          <w:rFonts w:ascii="Times New Roman" w:hAnsi="Times New Roman"/>
          <w:b w:val="false"/>
          <w:color w:val="000000"/>
          <w:sz w:val="20"/>
        </w:rPr>
        <w:t xml:space="preserve"> or </w:t>
      </w:r>
      <w:r>
        <w:rPr>
          <w:rFonts w:ascii="Times New Roman" w:hAnsi="Times New Roman"/>
          <w:b w:val="false"/>
          <w:color w:val="000000"/>
          <w:sz w:val="20"/>
          <w:u w:val="single"/>
        </w:rPr>
        <w:t>Section 6.6</w:t>
      </w:r>
      <w:r>
        <w:rPr>
          <w:rFonts w:ascii="Times New Roman" w:hAnsi="Times New Roman"/>
          <w:b w:val="false"/>
          <w:color w:val="000000"/>
          <w:sz w:val="20"/>
        </w:rPr>
        <w:t>, respectively, the Company and Parent may issue press releases or make public announcements with respect to any Company Takeover Proposal or Parent Takeover Proposal, respectively, from and after the receipt thereof without consulting with, or obtaining the prior consent of,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6.11.      </w:t>
      </w:r>
      <w:r>
        <w:rPr>
          <w:rFonts w:ascii="Times New Roman" w:hAnsi="Times New Roman"/>
          <w:b w:val="false"/>
          <w:color w:val="000000"/>
          <w:sz w:val="20"/>
          <w:u w:val="single"/>
        </w:rPr>
        <w:t>Indemnification and Insurance</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From and after the Company Merger Effective Time, each of the Surviving Entity and Parent shall, to the same extent permitted by the Organizational Documents of the Company and its Subsidiaries in effect on the date hereof: (i) indemnify and hold harmless each Person who is at the date hereof, was previously, or during the period from the date hereof through the Company Merger Effective Time will be, serving as a director, officer, employee or agent of the Company or any of its Subsidiaries (including the Company Operating Partnership)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the Company or any of its Subsidiaries (including the Company Operating Partnership) (collectively, the “</w:t>
      </w:r>
      <w:r>
        <w:rPr>
          <w:rFonts w:ascii="Times New Roman" w:hAnsi="Times New Roman"/>
          <w:b w:val="false"/>
          <w:color w:val="000000"/>
          <w:sz w:val="20"/>
          <w:u w:val="single"/>
        </w:rPr>
        <w:t>Covered Persons</w:t>
      </w:r>
      <w:r>
        <w:rPr>
          <w:rFonts w:ascii="Times New Roman" w:hAnsi="Times New Roman"/>
          <w:b w:val="false"/>
          <w:color w:val="000000"/>
          <w:sz w:val="20"/>
        </w:rPr>
        <w:t xml:space="preserve">”)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w:t>
      </w:r>
      <w:r>
        <w:rPr>
          <w:rFonts w:ascii="Times New Roman" w:hAnsi="Times New Roman"/>
          <w:b w:val="false"/>
          <w:color w:val="000000"/>
          <w:sz w:val="20"/>
          <w:u w:val="single"/>
        </w:rPr>
        <w:t>Section 6.14</w:t>
      </w:r>
      <w:r>
        <w:rPr>
          <w:rFonts w:ascii="Times New Roman" w:hAnsi="Times New Roman"/>
          <w:b w:val="false"/>
          <w:color w:val="000000"/>
          <w:sz w:val="20"/>
        </w:rPr>
        <w:t xml:space="preserve">);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w:t>
      </w:r>
      <w:r>
        <w:rPr>
          <w:rFonts w:ascii="Times New Roman" w:hAnsi="Times New Roman"/>
          <w:b w:val="false"/>
          <w:color w:val="000000"/>
          <w:sz w:val="20"/>
          <w:u w:val="single"/>
        </w:rPr>
        <w:t>provided</w:t>
      </w:r>
      <w:r>
        <w:rPr>
          <w:rFonts w:ascii="Times New Roman" w:hAnsi="Times New Roman"/>
          <w:b w:val="false"/>
          <w:color w:val="000000"/>
          <w:sz w:val="20"/>
        </w:rPr>
        <w:t xml:space="preserve"> that such Covered Person provides an undertaking to repay such advances if such Covered Person is ultimately determined not to be entitled to indemnification hereunder under applicable Law. In the event of any such D&amp;O Claim, Parent, the Surviving Entity and the Covered Person shall reasonably cooperate with the Covered Person in the defense of such D&amp;O Claim. All rights to indemnification and advancement conferred hereunder shall continue as to a Person who has ceased to be a director, officer or employee of the Company or any of its Subsidiaries (including the Company Operating Partnership) after the date hereof and shall inure to the benefit of such Person’s heirs, successors, executors and personal and legal representatives.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the Company. Notwithstanding anything herein to the contrary, if any D&amp;O Claim (whether arising before, at or after the Company Merger Effective Time) is made against any Covered Persons with respect to matters subject to indemnification hereunder on or prior to the sixth anniversary of the Company Merger Effective Time, the provisions of this </w:t>
      </w:r>
      <w:r>
        <w:rPr>
          <w:rFonts w:ascii="Times New Roman" w:hAnsi="Times New Roman"/>
          <w:b w:val="false"/>
          <w:color w:val="000000"/>
          <w:sz w:val="20"/>
          <w:u w:val="single"/>
        </w:rPr>
        <w:t>Section 6.11(b)</w:t>
      </w:r>
      <w:r>
        <w:rPr>
          <w:rFonts w:ascii="Times New Roman" w:hAnsi="Times New Roman"/>
          <w:b w:val="false"/>
          <w:color w:val="000000"/>
          <w:sz w:val="20"/>
        </w:rPr>
        <w:t xml:space="preserve"> shall continue in effect until the final disposition of such D&amp;O Claim. Following the Company Merger Effective Time, the indemnification Contracts in existence on the date of this Agreement set forth on </w:t>
      </w:r>
      <w:r>
        <w:rPr>
          <w:rFonts w:ascii="Times New Roman" w:hAnsi="Times New Roman"/>
          <w:b w:val="false"/>
          <w:color w:val="000000"/>
          <w:sz w:val="20"/>
          <w:u w:val="single"/>
        </w:rPr>
        <w:t>Section 6.11(b)</w:t>
      </w:r>
      <w:r>
        <w:rPr>
          <w:rFonts w:ascii="Times New Roman" w:hAnsi="Times New Roman"/>
          <w:b w:val="false"/>
          <w:color w:val="000000"/>
          <w:sz w:val="20"/>
        </w:rPr>
        <w:t xml:space="preserve"> of the Company Disclosure Letter with any of the Covered Persons shall be assumed by the Surviving Entity, without any further action, and shall continue in full force and effect in accordance with their terms.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Parent will cause to be put in place, and Parent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the Company’s and its Subsidiaries’ existing directors’ and officers’ insurance policy or policies with a claims period of six years from the Company Merger Effective Time for D&amp;O Claims arising from facts, acts, events or omissions that occurred on or prior to the Company Merger Effective Time;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the aggregate premium for such “tail” insurance policy shall not exceed an amount equal to 300% of the annual premium paid by the Company for such insurance as of the date of this Agreement; and provided, further, that if the premium of such insurance coverage exceeds such amount, Parent shall cause to be put in place a policy with the greatest coverage available, with respect to the facts, acts, events or omissions occurring prior to the Company Merger Effective Time, for a cost not exceeding such amount. Parent and the Surviving Entity shall cause any such policy (whether obtained by Parent, the Company or the Surviving Entity) to be maintained in full force and effect, for its full term, and Parent shall cause the Surviving Entity to honor all its obligations thereunder.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In the event that Parent or the Surviving Entity (i) consolidates with or merges into any other Person and shall not be the continuing or surviving corporation or entity of such consolidation or merger or (ii) sells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 w:hAnsi="Times New Roman"/>
          <w:b w:val="false"/>
          <w:color w:val="000000"/>
          <w:sz w:val="20"/>
          <w:u w:val="single"/>
        </w:rPr>
        <w:t>Section 6.11</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The obligations under this </w:t>
      </w:r>
      <w:r>
        <w:rPr>
          <w:rFonts w:ascii="Times New Roman" w:hAnsi="Times New Roman"/>
          <w:b w:val="false"/>
          <w:color w:val="000000"/>
          <w:sz w:val="20"/>
          <w:u w:val="single"/>
        </w:rPr>
        <w:t>Section 6.11</w:t>
      </w:r>
      <w:r>
        <w:rPr>
          <w:rFonts w:ascii="Times New Roman" w:hAnsi="Times New Roman"/>
          <w:b w:val="false"/>
          <w:color w:val="000000"/>
          <w:sz w:val="20"/>
        </w:rPr>
        <w:t xml:space="preserve"> shall not be terminated or modified in any manner that is adverse to any Covered Persons (and their respective successors and assigns), it being expressly agreed that each Covered Person (including their respective successors and assigns) shall be a third-party beneficiary of this </w:t>
      </w:r>
      <w:r>
        <w:rPr>
          <w:rFonts w:ascii="Times New Roman" w:hAnsi="Times New Roman"/>
          <w:b w:val="false"/>
          <w:color w:val="000000"/>
          <w:sz w:val="20"/>
          <w:u w:val="single"/>
        </w:rPr>
        <w:t>Section 6.11</w:t>
      </w:r>
      <w:r>
        <w:rPr>
          <w:rFonts w:ascii="Times New Roman" w:hAnsi="Times New Roman"/>
          <w:b w:val="false"/>
          <w:color w:val="000000"/>
          <w:sz w:val="20"/>
        </w:rPr>
        <w:t xml:space="preserve">. In the event of any breach by the Surviving Entity or Parent of this </w:t>
      </w:r>
      <w:r>
        <w:rPr>
          <w:rFonts w:ascii="Times New Roman" w:hAnsi="Times New Roman"/>
          <w:b w:val="false"/>
          <w:color w:val="000000"/>
          <w:sz w:val="20"/>
          <w:u w:val="single"/>
        </w:rPr>
        <w:t>Section 6.11</w:t>
      </w:r>
      <w:r>
        <w:rPr>
          <w:rFonts w:ascii="Times New Roman" w:hAnsi="Times New Roman"/>
          <w:b w:val="false"/>
          <w:color w:val="000000"/>
          <w:sz w:val="20"/>
        </w:rPr>
        <w:t xml:space="preserve">, the Surviving Entity shall pay all reasonable expenses, including attorneys’ fees, that may be incurred by Covered Persons in successfully enforcing the indemnity and other obligations provided in this </w:t>
      </w:r>
      <w:r>
        <w:rPr>
          <w:rFonts w:ascii="Times New Roman" w:hAnsi="Times New Roman"/>
          <w:b w:val="false"/>
          <w:color w:val="000000"/>
          <w:sz w:val="20"/>
          <w:u w:val="single"/>
        </w:rPr>
        <w:t>Section 6.11</w:t>
      </w:r>
      <w:r>
        <w:rPr>
          <w:rFonts w:ascii="Times New Roman" w:hAnsi="Times New Roman"/>
          <w:b w:val="false"/>
          <w:color w:val="000000"/>
          <w:sz w:val="20"/>
        </w:rPr>
        <w:t xml:space="preserve"> as such fees are incurred, upon the written request of such Covered Person.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(f)        The rights of the Covered Persons under this </w:t>
      </w:r>
      <w:r>
        <w:rPr>
          <w:rFonts w:ascii="Times New Roman" w:hAnsi="Times New Roman"/>
          <w:b w:val="false"/>
          <w:color w:val="000000"/>
          <w:sz w:val="20"/>
          <w:u w:val="single"/>
        </w:rPr>
        <w:t>Section 6.11</w:t>
      </w:r>
      <w:r>
        <w:rPr>
          <w:rFonts w:ascii="Times New Roman" w:hAnsi="Times New Roman"/>
          <w:b w:val="false"/>
          <w:color w:val="000000"/>
          <w:sz w:val="20"/>
        </w:rPr>
        <w:t xml:space="preserve"> are in addition to any rights such Covered Persons may have under the Articles of Incorporation and the Bylaws, or under any applicable Contracts or Laws and nothing in this Agreement is intended to, shall be construed to or shall release, waive or impair any rights to directors’ and officers’ insurance claims under any policy that is or has been in existence with respect to the Company or any of its Subsidiaries (including the Company Operating Partnership) for any of their respective directors, officers or other employees.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6.12.     </w:t>
      </w:r>
      <w:r>
        <w:rPr>
          <w:rFonts w:ascii="Times New Roman" w:hAnsi="Times New Roman"/>
          <w:b w:val="false"/>
          <w:color w:val="000000"/>
          <w:sz w:val="20"/>
          <w:u w:val="single"/>
        </w:rPr>
        <w:t>Exchange Delisting</w:t>
      </w:r>
      <w:r>
        <w:rPr>
          <w:rFonts w:ascii="Times New Roman" w:hAnsi="Times New Roman"/>
          <w:b w:val="false"/>
          <w:color w:val="000000"/>
          <w:sz w:val="20"/>
        </w:rPr>
        <w:t>. Prior to the Closing Date, the Company shall cooperate with Parent and use commercially reasonable efforts to take, or cause to be taken, all actions, and do or cause to be done all things, reasonably necessary, proper or advisable on its part under applicable Laws and rules and policies of the NYSE to enable the delisting by the Surviving Entity of the Company Common Stock from the NYSE and the deregistration of the Company Common Stock and Company Preferred Stock under the Exchange Act as promptly as practicable after the Company Merger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6.13.     </w:t>
      </w:r>
      <w:r>
        <w:rPr>
          <w:rFonts w:ascii="Times New Roman" w:hAnsi="Times New Roman"/>
          <w:b w:val="false"/>
          <w:color w:val="000000"/>
          <w:sz w:val="20"/>
          <w:u w:val="single"/>
        </w:rPr>
        <w:t>Listing</w:t>
      </w:r>
      <w:r>
        <w:rPr>
          <w:rFonts w:ascii="Times New Roman" w:hAnsi="Times New Roman"/>
          <w:b w:val="false"/>
          <w:color w:val="000000"/>
          <w:sz w:val="20"/>
        </w:rPr>
        <w:t>. Parent shall take all actions necessary to cause the shares of Parent Common Stock, shares of Parent Series D Cumulative Redeemable Preferred Stock and shares of Parent Series E Cumulative Redeemable Preferred Stock to be issued hereunder to be listed on the NYSE, subject to official notice of issuance.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6.14.     </w:t>
      </w:r>
      <w:r>
        <w:rPr>
          <w:rFonts w:ascii="Times New Roman" w:hAnsi="Times New Roman"/>
          <w:b w:val="false"/>
          <w:color w:val="000000"/>
          <w:sz w:val="20"/>
          <w:u w:val="single"/>
        </w:rPr>
        <w:t>Transaction Litigation</w:t>
      </w:r>
      <w:r>
        <w:rPr>
          <w:rFonts w:ascii="Times New Roman" w:hAnsi="Times New Roman"/>
          <w:b w:val="false"/>
          <w:color w:val="000000"/>
          <w:sz w:val="20"/>
        </w:rPr>
        <w:t xml:space="preserve">. The Company shall promptly notify Parent, and Parent shall promptly notify the Company, of any stockholder demands, litigation, arbitration or other similar actions against such party or any of their respective directors or officers relating to this Agreement or the Transactions, and shall keep each other informed on a reasonably prompt basis with respect to the status thereof. The Company and Parent shall give the other the opportunity to participate (at the other’s expense) in the defense or settlement of any such action and reasonably cooperate with the other in conducting the defense or settlement of such action, and no such settlement or any disclosure in connection therewith shall be agreed without the other’s prior written consent (which consent shall not be unreasonably withheld, conditioned or delayed). In the event of, and to the extent of, any conflict or overlap between the provisions of this </w:t>
      </w:r>
      <w:r>
        <w:rPr>
          <w:rFonts w:ascii="Times New Roman" w:hAnsi="Times New Roman"/>
          <w:b w:val="false"/>
          <w:color w:val="000000"/>
          <w:sz w:val="20"/>
          <w:u w:val="single"/>
        </w:rPr>
        <w:t>Section 6.14</w:t>
      </w:r>
      <w:r>
        <w:rPr>
          <w:rFonts w:ascii="Times New Roman" w:hAnsi="Times New Roman"/>
          <w:b w:val="false"/>
          <w:color w:val="000000"/>
          <w:sz w:val="20"/>
        </w:rPr>
        <w:t xml:space="preserve"> and </w:t>
      </w:r>
      <w:r>
        <w:rPr>
          <w:rFonts w:ascii="Times New Roman" w:hAnsi="Times New Roman"/>
          <w:b w:val="false"/>
          <w:color w:val="000000"/>
          <w:sz w:val="20"/>
          <w:u w:val="single"/>
        </w:rPr>
        <w:t>Section 6.2</w:t>
      </w:r>
      <w:r>
        <w:rPr>
          <w:rFonts w:ascii="Times New Roman" w:hAnsi="Times New Roman"/>
          <w:b w:val="false"/>
          <w:color w:val="000000"/>
          <w:sz w:val="20"/>
        </w:rPr>
        <w:t xml:space="preserve"> or </w:t>
      </w:r>
      <w:r>
        <w:rPr>
          <w:rFonts w:ascii="Times New Roman" w:hAnsi="Times New Roman"/>
          <w:b w:val="false"/>
          <w:color w:val="000000"/>
          <w:sz w:val="20"/>
          <w:u w:val="single"/>
        </w:rPr>
        <w:t>Section 6.9</w:t>
      </w:r>
      <w:r>
        <w:rPr>
          <w:rFonts w:ascii="Times New Roman" w:hAnsi="Times New Roman"/>
          <w:b w:val="false"/>
          <w:color w:val="000000"/>
          <w:sz w:val="20"/>
        </w:rPr>
        <w:t xml:space="preserve">, the provisions of this </w:t>
      </w:r>
      <w:r>
        <w:rPr>
          <w:rFonts w:ascii="Times New Roman" w:hAnsi="Times New Roman"/>
          <w:b w:val="false"/>
          <w:color w:val="000000"/>
          <w:sz w:val="20"/>
          <w:u w:val="single"/>
        </w:rPr>
        <w:t>Section 6.14</w:t>
      </w:r>
      <w:r>
        <w:rPr>
          <w:rFonts w:ascii="Times New Roman" w:hAnsi="Times New Roman"/>
          <w:b w:val="false"/>
          <w:color w:val="000000"/>
          <w:sz w:val="20"/>
        </w:rPr>
        <w:t xml:space="preserve"> shall control.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6.15.     </w:t>
      </w:r>
      <w:r>
        <w:rPr>
          <w:rFonts w:ascii="Times New Roman" w:hAnsi="Times New Roman"/>
          <w:b w:val="false"/>
          <w:color w:val="000000"/>
          <w:sz w:val="20"/>
          <w:u w:val="single"/>
        </w:rPr>
        <w:t>Rule 16b-3</w:t>
      </w:r>
      <w:r>
        <w:rPr>
          <w:rFonts w:ascii="Times New Roman" w:hAnsi="Times New Roman"/>
          <w:b w:val="false"/>
          <w:color w:val="000000"/>
          <w:sz w:val="20"/>
        </w:rPr>
        <w:t>. During the Interim Period, each of Parent and the Company shall take all such reasonable steps as may be necessary to cause the Transactions and any dispositions of Company equity securities or acquisitions of Parent equity securities pursuant to the Transactions by each individual (including any Person who is deemed to be a “director by deputization” under applicable securities Laws) who (a) is subject to the reporting requirements of Section 16(a) of the Exchange Act with respect to the Company or (b) at the Company Merger Effective Time will become a director or officer of Parent, to be exempt under Rule 16b-3 promulgated under the Exchange Act, such steps to be taken in accordance with applicable SEC rules and regulations and interpretations of the SEC staff.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6.16.      </w:t>
      </w:r>
      <w:r>
        <w:rPr>
          <w:rFonts w:ascii="Times New Roman" w:hAnsi="Times New Roman"/>
          <w:b w:val="false"/>
          <w:color w:val="000000"/>
          <w:sz w:val="20"/>
          <w:u w:val="single"/>
        </w:rPr>
        <w:t>Takeover Law</w:t>
      </w:r>
      <w:r>
        <w:rPr>
          <w:rFonts w:ascii="Times New Roman" w:hAnsi="Times New Roman"/>
          <w:b w:val="false"/>
          <w:color w:val="000000"/>
          <w:sz w:val="20"/>
        </w:rPr>
        <w:t>. Neither Parent nor the Company shall take any action that would cause any Takeover Law to become applicable to this Agreement and the Transactions, and each of Parent and the Company shall take all necessary steps within its control to exempt (or ensure the continued exemption of) the Transactions from any applicable Takeover Law now or hereafter in effect. If any Takeover Law may become, or may purport to be, applicable to the Transactions, each of Parent and the Company shall promptly take such reasonable actions as are necessary so that the Transactions may be consummated as promptly as practicable on the terms contemplated hereby and to otherwise act to eliminate or minimize the effects of any Takeover Law on any of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6.17.    </w:t>
      </w:r>
      <w:r>
        <w:rPr>
          <w:rFonts w:ascii="Times New Roman" w:hAnsi="Times New Roman"/>
          <w:b w:val="false"/>
          <w:color w:val="000000"/>
          <w:sz w:val="20"/>
          <w:u w:val="single"/>
        </w:rPr>
        <w:t>Resignations</w:t>
      </w:r>
      <w:r>
        <w:rPr>
          <w:rFonts w:ascii="Times New Roman" w:hAnsi="Times New Roman"/>
          <w:b w:val="false"/>
          <w:color w:val="000000"/>
          <w:sz w:val="20"/>
        </w:rPr>
        <w:t>. Upon Parent’s written request at least five Business Days prior to the Closing Date, the Company shall use its reasonable best efforts to cause to be delivered to Parent resignations executed by each director of the Company Board in office as of immediately prior to the Company Merger Effective Time, subject to, and effective upon, the Company Merger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6.18.     </w:t>
      </w:r>
      <w:r>
        <w:rPr>
          <w:rFonts w:ascii="Times New Roman" w:hAnsi="Times New Roman"/>
          <w:b w:val="false"/>
          <w:color w:val="000000"/>
          <w:sz w:val="20"/>
          <w:u w:val="single"/>
        </w:rPr>
        <w:t>Control of Operations</w:t>
      </w:r>
      <w:r>
        <w:rPr>
          <w:rFonts w:ascii="Times New Roman" w:hAnsi="Times New Roman"/>
          <w:b w:val="false"/>
          <w:color w:val="000000"/>
          <w:sz w:val="20"/>
        </w:rPr>
        <w:t>. Nothing contained in this Agreement shall give Parent, directly or indirectly, the right to control or direct the Company’s operations or the Company Operating Partnership prior to the Company Merger Effective Time and the Partnership Merger Effective Time, respectively. Prior to the Company Merger Effective Time, the Company shall exercise, consistent with the terms and conditions of this Agreement, complete control and supervision over its operations. Prior to the Partnership Merger Effective Time, the Company Operating Partnership shall exercise, consistent with the terms and conditions of this Agreement, complete control and supervision over its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6.19.      </w:t>
      </w:r>
      <w:r>
        <w:rPr>
          <w:rFonts w:ascii="Times New Roman" w:hAnsi="Times New Roman"/>
          <w:b w:val="false"/>
          <w:color w:val="000000"/>
          <w:sz w:val="20"/>
          <w:u w:val="single"/>
        </w:rPr>
        <w:t>Additional Dividends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Prior to the Company Merger Effective Time, the Company may authorize and declare a dividend to its stockholders pursuant to this </w:t>
      </w:r>
      <w:r>
        <w:rPr>
          <w:rFonts w:ascii="Times New Roman" w:hAnsi="Times New Roman"/>
          <w:b w:val="false"/>
          <w:color w:val="000000"/>
          <w:sz w:val="20"/>
          <w:u w:val="single"/>
        </w:rPr>
        <w:t>Section 6.19(a)</w:t>
      </w:r>
      <w:r>
        <w:rPr>
          <w:rFonts w:ascii="Times New Roman" w:hAnsi="Times New Roman"/>
          <w:b w:val="false"/>
          <w:color w:val="000000"/>
          <w:sz w:val="20"/>
        </w:rPr>
        <w:t xml:space="preserve">, the payment date for which shall be the close of business on the last Business Day prior to the Closing Date or such other date as Parent and the Company may agree, subject to funds being legally available therefor. The record date for any such dividends shall be three Business Days before the payment date. Any per share dividend amount payable by the Company with respect to the Company Common Stock pursuant to this </w:t>
      </w:r>
      <w:r>
        <w:rPr>
          <w:rFonts w:ascii="Times New Roman" w:hAnsi="Times New Roman"/>
          <w:b w:val="false"/>
          <w:color w:val="000000"/>
          <w:sz w:val="20"/>
          <w:u w:val="single"/>
        </w:rPr>
        <w:t>Section 6.19(a)</w:t>
      </w:r>
      <w:r>
        <w:rPr>
          <w:rFonts w:ascii="Times New Roman" w:hAnsi="Times New Roman"/>
          <w:b w:val="false"/>
          <w:color w:val="000000"/>
          <w:sz w:val="20"/>
        </w:rPr>
        <w:t xml:space="preserve"> shall be an amount equal to (i) the Company’s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 w:hAnsi="Times New Roman"/>
          <w:b w:val="false"/>
          <w:color w:val="000000"/>
          <w:sz w:val="20"/>
          <w:u w:val="single"/>
        </w:rPr>
        <w:t>Company Additional Dividend Amount</w:t>
      </w:r>
      <w:r>
        <w:rPr>
          <w:rFonts w:ascii="Times New Roman" w:hAnsi="Times New Roman"/>
          <w:b w:val="false"/>
          <w:color w:val="000000"/>
          <w:sz w:val="20"/>
        </w:rPr>
        <w:t>”), if any, necessary so that the aggregate dividend payable is equal to the Minimum Distribution Dividend. The Company and Parent shall cooperate in good faith to determine whether it is necessary to authorize and declare a Company Additional Dividend Amount and the amount (if any) of the Company Additional Dividend Amount.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Prior to the Company Merger Effective Time, Parent may, in its sole discretion, authorize and declare a dividend to its stockholders pursuant to this </w:t>
      </w:r>
      <w:r>
        <w:rPr>
          <w:rFonts w:ascii="Times New Roman" w:hAnsi="Times New Roman"/>
          <w:b w:val="false"/>
          <w:color w:val="000000"/>
          <w:sz w:val="20"/>
          <w:u w:val="single"/>
        </w:rPr>
        <w:t>Section 6.19(b)</w:t>
      </w:r>
      <w:r>
        <w:rPr>
          <w:rFonts w:ascii="Times New Roman" w:hAnsi="Times New Roman"/>
          <w:b w:val="false"/>
          <w:color w:val="000000"/>
          <w:sz w:val="20"/>
        </w:rPr>
        <w:t xml:space="preserve">, the payment date for which shall not be earlier than the close of business on the last Business Day prior to the Closing Date (but in Parent’s discretion may be after the Closing Date to Parent’s stockholders of record determined in accordance with this </w:t>
      </w:r>
      <w:r>
        <w:rPr>
          <w:rFonts w:ascii="Times New Roman" w:hAnsi="Times New Roman"/>
          <w:b w:val="false"/>
          <w:color w:val="000000"/>
          <w:sz w:val="20"/>
          <w:u w:val="single"/>
        </w:rPr>
        <w:t>Section 6.19(b)</w:t>
      </w:r>
      <w:r>
        <w:rPr>
          <w:rFonts w:ascii="Times New Roman" w:hAnsi="Times New Roman"/>
          <w:b w:val="false"/>
          <w:color w:val="000000"/>
          <w:sz w:val="20"/>
        </w:rPr>
        <w:t xml:space="preserve">), subject to funds being legally available therefor. The record date for any such dividends shall be three Business Days before the payment date. Any per share dividend amount payable by Parent with respect to the Parent Common Stock pursuant to this </w:t>
      </w:r>
      <w:r>
        <w:rPr>
          <w:rFonts w:ascii="Times New Roman" w:hAnsi="Times New Roman"/>
          <w:b w:val="false"/>
          <w:color w:val="000000"/>
          <w:sz w:val="20"/>
          <w:u w:val="single"/>
        </w:rPr>
        <w:t>Section 6.19(b)</w:t>
      </w:r>
      <w:r>
        <w:rPr>
          <w:rFonts w:ascii="Times New Roman" w:hAnsi="Times New Roman"/>
          <w:b w:val="false"/>
          <w:color w:val="000000"/>
          <w:sz w:val="20"/>
        </w:rPr>
        <w:t xml:space="preserve"> shall be an amount equal to (i) Parent’s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 w:hAnsi="Times New Roman"/>
          <w:b w:val="false"/>
          <w:color w:val="000000"/>
          <w:sz w:val="20"/>
          <w:u w:val="single"/>
        </w:rPr>
        <w:t>Parent Additional Dividend Amount</w:t>
      </w:r>
      <w:r>
        <w:rPr>
          <w:rFonts w:ascii="Times New Roman" w:hAnsi="Times New Roman"/>
          <w:b w:val="false"/>
          <w:color w:val="000000"/>
          <w:sz w:val="20"/>
        </w:rPr>
        <w:t>”), if any, necessary so that the aggregate dividend payable is equal to the Minimum Distribution Dividend. Parent and the Company shall cooperate in good faith to determine whether it is necessary to authorize and declare a Parent Additional Dividend Amount and the amount (if any) of the Parent Additional Dividend Amount.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6.20.      </w:t>
      </w:r>
      <w:r>
        <w:rPr>
          <w:rFonts w:ascii="Times New Roman" w:hAnsi="Times New Roman"/>
          <w:b w:val="false"/>
          <w:color w:val="000000"/>
          <w:sz w:val="20"/>
          <w:u w:val="single"/>
        </w:rPr>
        <w:t>Tax Matters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Each of the parties hereto shall use its reasonable best efforts to cause the Company Merger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Mergers contained or set forth in the Form S-4; or (ii) the tax opinions referenced in </w:t>
      </w:r>
      <w:r>
        <w:rPr>
          <w:rFonts w:ascii="Times New Roman" w:hAnsi="Times New Roman"/>
          <w:b w:val="false"/>
          <w:color w:val="000000"/>
          <w:sz w:val="20"/>
          <w:u w:val="single"/>
        </w:rPr>
        <w:t>Section 7.2(e)</w:t>
      </w:r>
      <w:r>
        <w:rPr>
          <w:rFonts w:ascii="Times New Roman" w:hAnsi="Times New Roman"/>
          <w:b w:val="false"/>
          <w:color w:val="000000"/>
          <w:sz w:val="20"/>
        </w:rPr>
        <w:t xml:space="preserve"> and </w:t>
      </w:r>
      <w:r>
        <w:rPr>
          <w:rFonts w:ascii="Times New Roman" w:hAnsi="Times New Roman"/>
          <w:b w:val="false"/>
          <w:color w:val="000000"/>
          <w:sz w:val="20"/>
          <w:u w:val="single"/>
        </w:rPr>
        <w:t>Section 7.3(e)</w:t>
      </w:r>
      <w:r>
        <w:rPr>
          <w:rFonts w:ascii="Times New Roman" w:hAnsi="Times New Roman"/>
          <w:b w:val="false"/>
          <w:color w:val="000000"/>
          <w:sz w:val="20"/>
        </w:rPr>
        <w:t>. None of the parties hereto shall (and each of the parties hereto shall cause their respective Subsidiaries not to) take any action, or fail to take any action, which could reasonably be expected to cause the Company Merger to fail to qualify as a “reorganization” within the meaning of Section 368(a) of the Code. The parties hereto intend to report and, except to the extent otherwise required by Law, shall report, for federal income tax purposes, the Company Merger as a “reorganization” within the meaning of Section 368(a) of the Code.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The Company shall (i) use its reasonable best efforts to obtain the opinions of counsel referred to in </w:t>
      </w:r>
      <w:r>
        <w:rPr>
          <w:rFonts w:ascii="Times New Roman" w:hAnsi="Times New Roman"/>
          <w:b w:val="false"/>
          <w:color w:val="000000"/>
          <w:sz w:val="20"/>
          <w:u w:val="single"/>
        </w:rPr>
        <w:t>Section 7.3(d)</w:t>
      </w:r>
      <w:r>
        <w:rPr>
          <w:rFonts w:ascii="Times New Roman" w:hAnsi="Times New Roman"/>
          <w:b w:val="false"/>
          <w:color w:val="000000"/>
          <w:sz w:val="20"/>
        </w:rPr>
        <w:t xml:space="preserve"> and </w:t>
      </w:r>
      <w:r>
        <w:rPr>
          <w:rFonts w:ascii="Times New Roman" w:hAnsi="Times New Roman"/>
          <w:b w:val="false"/>
          <w:color w:val="000000"/>
          <w:sz w:val="20"/>
          <w:u w:val="single"/>
        </w:rPr>
        <w:t>Section 7.3(e)</w:t>
      </w:r>
      <w:r>
        <w:rPr>
          <w:rFonts w:ascii="Times New Roman" w:hAnsi="Times New Roman"/>
          <w:b w:val="false"/>
          <w:color w:val="000000"/>
          <w:sz w:val="20"/>
        </w:rPr>
        <w:t xml:space="preserve">; and (ii) deliver to Hunton Andrews Kurth LLP and Mayer Brown LLP officer’s certificates, dated as of the Closing Date and signed by an officer of the Company, containing representations of the Company as shall be reasonably necessary or appropriate to enable Hunton Andrews Kurth LLP to render the opinions described in </w:t>
      </w:r>
      <w:r>
        <w:rPr>
          <w:rFonts w:ascii="Times New Roman" w:hAnsi="Times New Roman"/>
          <w:b w:val="false"/>
          <w:color w:val="000000"/>
          <w:sz w:val="20"/>
          <w:u w:val="single"/>
        </w:rPr>
        <w:t>Section 7.2(e)</w:t>
      </w:r>
      <w:r>
        <w:rPr>
          <w:rFonts w:ascii="Times New Roman" w:hAnsi="Times New Roman"/>
          <w:b w:val="false"/>
          <w:color w:val="000000"/>
          <w:sz w:val="20"/>
        </w:rPr>
        <w:t xml:space="preserve"> and </w:t>
      </w:r>
      <w:r>
        <w:rPr>
          <w:rFonts w:ascii="Times New Roman" w:hAnsi="Times New Roman"/>
          <w:b w:val="false"/>
          <w:color w:val="000000"/>
          <w:sz w:val="20"/>
          <w:u w:val="single"/>
        </w:rPr>
        <w:t>Section 7.3(d)</w:t>
      </w:r>
      <w:r>
        <w:rPr>
          <w:rFonts w:ascii="Times New Roman" w:hAnsi="Times New Roman"/>
          <w:b w:val="false"/>
          <w:color w:val="000000"/>
          <w:sz w:val="20"/>
        </w:rPr>
        <w:t xml:space="preserve">, and Mayer Brown LLP to render the opinions described in </w:t>
      </w:r>
      <w:r>
        <w:rPr>
          <w:rFonts w:ascii="Times New Roman" w:hAnsi="Times New Roman"/>
          <w:b w:val="false"/>
          <w:color w:val="000000"/>
          <w:sz w:val="20"/>
          <w:u w:val="single"/>
        </w:rPr>
        <w:t>Section 7.2(d)</w:t>
      </w:r>
      <w:r>
        <w:rPr>
          <w:rFonts w:ascii="Times New Roman" w:hAnsi="Times New Roman"/>
          <w:b w:val="false"/>
          <w:color w:val="000000"/>
          <w:sz w:val="20"/>
        </w:rPr>
        <w:t xml:space="preserve"> and </w:t>
      </w:r>
      <w:r>
        <w:rPr>
          <w:rFonts w:ascii="Times New Roman" w:hAnsi="Times New Roman"/>
          <w:b w:val="false"/>
          <w:color w:val="000000"/>
          <w:sz w:val="20"/>
          <w:u w:val="single"/>
        </w:rPr>
        <w:t>Section 7.3(e)</w:t>
      </w:r>
      <w:r>
        <w:rPr>
          <w:rFonts w:ascii="Times New Roman" w:hAnsi="Times New Roman"/>
          <w:b w:val="false"/>
          <w:color w:val="000000"/>
          <w:sz w:val="20"/>
        </w:rPr>
        <w:t xml:space="preserve"> on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Parent shall (i) use its reasonable best efforts to obtain the opinions of counsel referred to in </w:t>
      </w:r>
      <w:r>
        <w:rPr>
          <w:rFonts w:ascii="Times New Roman" w:hAnsi="Times New Roman"/>
          <w:b w:val="false"/>
          <w:color w:val="000000"/>
          <w:sz w:val="20"/>
          <w:u w:val="single"/>
        </w:rPr>
        <w:t>Section 7.2(d)</w:t>
      </w:r>
      <w:r>
        <w:rPr>
          <w:rFonts w:ascii="Times New Roman" w:hAnsi="Times New Roman"/>
          <w:b w:val="false"/>
          <w:color w:val="000000"/>
          <w:sz w:val="20"/>
        </w:rPr>
        <w:t xml:space="preserve"> and </w:t>
      </w:r>
      <w:r>
        <w:rPr>
          <w:rFonts w:ascii="Times New Roman" w:hAnsi="Times New Roman"/>
          <w:b w:val="false"/>
          <w:color w:val="000000"/>
          <w:sz w:val="20"/>
          <w:u w:val="single"/>
        </w:rPr>
        <w:t>Section 7.2(e)</w:t>
      </w:r>
      <w:r>
        <w:rPr>
          <w:rFonts w:ascii="Times New Roman" w:hAnsi="Times New Roman"/>
          <w:b w:val="false"/>
          <w:color w:val="000000"/>
          <w:sz w:val="20"/>
        </w:rPr>
        <w:t xml:space="preserve">; and (ii) deliver to Hunton Andrews Kurth LLP and Mayer Brown LLP officer’s certificates, dated as of the Closing Date and signed by an officer of Parent, containing representations of Parent as shall be reasonably necessary or appropriate to enable Hunton Andrews Kurth LLP to render the opinions described in </w:t>
      </w:r>
      <w:r>
        <w:rPr>
          <w:rFonts w:ascii="Times New Roman" w:hAnsi="Times New Roman"/>
          <w:b w:val="false"/>
          <w:color w:val="000000"/>
          <w:sz w:val="20"/>
          <w:u w:val="single"/>
        </w:rPr>
        <w:t>Section 7.2(e)</w:t>
      </w:r>
      <w:r>
        <w:rPr>
          <w:rFonts w:ascii="Times New Roman" w:hAnsi="Times New Roman"/>
          <w:b w:val="false"/>
          <w:color w:val="000000"/>
          <w:sz w:val="20"/>
        </w:rPr>
        <w:t xml:space="preserve"> and </w:t>
      </w:r>
      <w:r>
        <w:rPr>
          <w:rFonts w:ascii="Times New Roman" w:hAnsi="Times New Roman"/>
          <w:b w:val="false"/>
          <w:color w:val="000000"/>
          <w:sz w:val="20"/>
          <w:u w:val="single"/>
        </w:rPr>
        <w:t>Section 7.3(d)</w:t>
      </w:r>
      <w:r>
        <w:rPr>
          <w:rFonts w:ascii="Times New Roman" w:hAnsi="Times New Roman"/>
          <w:b w:val="false"/>
          <w:color w:val="000000"/>
          <w:sz w:val="20"/>
        </w:rPr>
        <w:t xml:space="preserve">, and Mayer Brown LLP to render the opinions described in </w:t>
      </w:r>
      <w:r>
        <w:rPr>
          <w:rFonts w:ascii="Times New Roman" w:hAnsi="Times New Roman"/>
          <w:b w:val="false"/>
          <w:color w:val="000000"/>
          <w:sz w:val="20"/>
          <w:u w:val="single"/>
        </w:rPr>
        <w:t>Section 7.2(d)</w:t>
      </w:r>
      <w:r>
        <w:rPr>
          <w:rFonts w:ascii="Times New Roman" w:hAnsi="Times New Roman"/>
          <w:b w:val="false"/>
          <w:color w:val="000000"/>
          <w:sz w:val="20"/>
        </w:rPr>
        <w:t xml:space="preserve"> and </w:t>
      </w:r>
      <w:r>
        <w:rPr>
          <w:rFonts w:ascii="Times New Roman" w:hAnsi="Times New Roman"/>
          <w:b w:val="false"/>
          <w:color w:val="000000"/>
          <w:sz w:val="20"/>
          <w:u w:val="single"/>
        </w:rPr>
        <w:t>Section 7.3(e)</w:t>
      </w:r>
      <w:r>
        <w:rPr>
          <w:rFonts w:ascii="Times New Roman" w:hAnsi="Times New Roman"/>
          <w:b w:val="false"/>
          <w:color w:val="000000"/>
          <w:sz w:val="20"/>
        </w:rPr>
        <w:t xml:space="preserve"> on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6.21.      </w:t>
      </w:r>
      <w:r>
        <w:rPr>
          <w:rFonts w:ascii="Times New Roman" w:hAnsi="Times New Roman"/>
          <w:b w:val="false"/>
          <w:color w:val="000000"/>
          <w:sz w:val="20"/>
          <w:u w:val="single"/>
        </w:rPr>
        <w:t>Employee Matters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For a period of one (1) year following the Closing Date, Parent shall provide or cause the Surviving Entity, Parent Manager or their respective Affiliates to provide to each of the employees who is employed by the Company immediately prior to the Closing and remains employed by the Company, Parent, the Surviving Entity, Parent Manager or any of their respective Affiliates immediately following the Closing (each, a “</w:t>
      </w:r>
      <w:r>
        <w:rPr>
          <w:rFonts w:ascii="Times New Roman" w:hAnsi="Times New Roman"/>
          <w:b w:val="false"/>
          <w:color w:val="000000"/>
          <w:sz w:val="20"/>
          <w:u w:val="single"/>
        </w:rPr>
        <w:t>Continuing Employee</w:t>
      </w:r>
      <w:r>
        <w:rPr>
          <w:rFonts w:ascii="Times New Roman" w:hAnsi="Times New Roman"/>
          <w:b w:val="false"/>
          <w:color w:val="000000"/>
          <w:sz w:val="20"/>
        </w:rPr>
        <w:t>”), (i) a base salary, hourly rate or wages that are not less than those provided to such Continuing Employee immediately prior to the Closing Date, (ii) variable/incentive/bonus pay opportunities that are not less than those provided to such Continuing Employee immediately prior to the Closing Date, (iii) severance benefits that are not less than those provided to such Continuing Employee immediately prior to the Closing Date (taking into account service credited after the Closing Date pursuant to this Agreement), and (iv) other employee benefit plans and arrangements (excluding any defined benefit plans and any equity-based compensation) that are no less favorable than those provided to similarly situated employees of Parent, the Surviving Entity, Parent Manager or their applicable Affiliate, as the case may be.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Parent shall cause the Surviving Entity, Parent Manager or their respective Affiliates to, credit (or cause to be credited) each Continuing Employee with his or her years of service credited by the Company or its Affiliates (and any predecessor entities thereof) and the PEO before the Closing Date under any employee benefit plan of Parent, the Surviving Entity, Parent Manager or their respective Affiliates, as applicable, providing benefits similar to those provided under a Company Benefit Plan or PEO Benefit Plan (including under any applicable pension, 401(k), savings, medical, dental, life insurance, vacation, long-service leave or other leave entitlements, post-retirement health and life insurance, termination indemnity, severance or separation pay plans, other than defined benefit plans) to the same extent as such Continuing Employee was entitled, before the Closing Date, to credit for such service under such Company Benefit Plan or PEO Benefit Plan for all purposes, of eligibility to participate, vesting and benefit accrual (other than benefit accruals under a defined benefit pension plan, nonqualified deferred compensation plan, equity-based compensation arrangement, long-service leave, retiree medical plan or other post-employment welfare arrangement), except to the extent (i) such credit would result in the duplication of benefits for the same period of service or (ii) such service was not credited under the corresponding Company Benefit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Parent shall use reasonable best efforts to provide (or if applicable to cause the Surviving Entity, Parent Manager or their respective Affiliates to provide) to each Continuing Employee and his or her dependents credit for any co-payments, coinsurance, out-of-pocket maximums and deductibles paid prior to the Closing under any Company Benefit Plan or PEO Benefit Plan, in respect of the plan year in which the Closing Date occurs, in satisfying any such requirements under any employee benefit plan of Parent, the Surviving Entity, Parent Manager or any of their respective Affiliates, as applicable, in which such Continuing Employee and his or her dependents is eligible to participate after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Parent shall use reasonable best efforts to waive (or if applicable to cause the Surviving Entity, Parent Manager or their respective Affiliates to waive)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Parent, the Surviving Entity, Parent Manager or any of their respective Affiliates, as applicable, that is applicable to such Continuing Employee to the extent such waiting period, pre-existing condition limitation, actively-at-work requirement or other restriction would not have been applicable to such Continuing Employee under the terms of the welfare plans of the Company on the date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From and after the Closing, Parent shall be responsible for any and all notices, liabilities, costs, payments and expenses arising directly from any action by Parent and its Affiliates (including breach of contract, defamation or retaliatory discharge) regarding the Continuing Employees, including any such liability (i) under any Law that relates to employees, employee benefit matters or labor matters, (ii) for dismissal, wrongful termination or constructive dismissal or termination, or severance pay or other termination pay, or (iii) under or with respect to any benefit plan, program, collective bargaining agreement, Contract, policy, commitment or arrangement of Parent and its Affiliates, including with respect to severance or retention plans, or to the extent such severance or retention plans provide payments or benefits with respect to any Continuing Employee.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From and after the Closing, Parent shall, or shall cause its Affiliates to, be responsible for, and shall indemnify, defend and hold harmless the Company and its Affiliates from and against, all Liabilities arising under or relating to Part 6 of Subtitle B of Title I of ERISA, Section 4980B of the Code, and any other applicable continuation coverage Law with respect to each individual who is an “</w:t>
      </w:r>
      <w:r>
        <w:rPr>
          <w:rFonts w:ascii="Times New Roman" w:hAnsi="Times New Roman"/>
          <w:b w:val="false"/>
          <w:color w:val="000000"/>
          <w:sz w:val="20"/>
          <w:u w:val="single"/>
        </w:rPr>
        <w:t>M&amp;A qualified beneficiary</w:t>
      </w:r>
      <w:r>
        <w:rPr>
          <w:rFonts w:ascii="Times New Roman" w:hAnsi="Times New Roman"/>
          <w:b w:val="false"/>
          <w:color w:val="000000"/>
          <w:sz w:val="20"/>
        </w:rPr>
        <w:t xml:space="preserve">”, as defined in Treasury Regulation Section 54.4980B-9, Q&amp;A-4(a), in connection with the Transactions (including any such individual’s spouse, dependent or other qualified beneficiary). Following the execution of this Agreement, the Company and Parent shall work together in good faith to attempt to extend the contract with the PEO for COBRA and certain payroll purposes following the Closing. If the Parties are unable to extend the PEO contract, Parent shall, or shall cause its Affiliates to, implement an alternative arrangement sufficient to satisfy Parent’s obligations under this </w:t>
      </w:r>
      <w:r>
        <w:rPr>
          <w:rFonts w:ascii="Times New Roman" w:hAnsi="Times New Roman"/>
          <w:b w:val="false"/>
          <w:color w:val="000000"/>
          <w:sz w:val="20"/>
          <w:u w:val="single"/>
        </w:rPr>
        <w:t>Section 6.21(f)</w:t>
      </w:r>
      <w:r>
        <w:rPr>
          <w:rFonts w:ascii="Times New Roman" w:hAnsi="Times New Roman"/>
          <w:b w:val="false"/>
          <w:color w:val="000000"/>
          <w:sz w:val="20"/>
        </w:rPr>
        <w:t xml:space="preserve">. In all events, Parent shall, or shall cause its Affiliates to, timely offer, provide and administer continuation coverage under COBRA and any other applicable continuation coverage Law to all M&amp;A qualified beneficiaries for the full period required under applicable Law, and shall be solely responsible for all notices, elections, premiums, claims administration, reporting, recordkeeping and other obligations associated with such continuation coverage. The Parties shall cooperate in good faith to ensure that all required COBRA notices and other material communications are timely prepared and distributed, and each Party shall promptly provide the other with any information reasonably necessary to administer them. For the avoidance of doubt, Parent’s obligations under this </w:t>
      </w:r>
      <w:r>
        <w:rPr>
          <w:rFonts w:ascii="Times New Roman" w:hAnsi="Times New Roman"/>
          <w:b w:val="false"/>
          <w:color w:val="000000"/>
          <w:sz w:val="20"/>
          <w:u w:val="single"/>
        </w:rPr>
        <w:t>Section 6.21(f)</w:t>
      </w:r>
      <w:r>
        <w:rPr>
          <w:rFonts w:ascii="Times New Roman" w:hAnsi="Times New Roman"/>
          <w:b w:val="false"/>
          <w:color w:val="000000"/>
          <w:sz w:val="20"/>
        </w:rPr>
        <w:t xml:space="preserve"> apply to each M&amp;A qualified beneficiary for the balance of the maximum coverage period required under applicable Law, regardless of whether the qualifying event occurred before, on or after the Closing. Parent and the Company desire that the PEO process and report any required payments to employees and former employees of the Company through payroll and the filing of all required tax reports, including Form W-2s, and any related matters, in each case with respect to periods during which the PEO employed such individuals.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(g)        Prior to the Closing, the Company shall amend its severance policy and any similar arrangements to provide that, if any officer or employee of the Company or any of its Subsidiaries is offered similar employment or continued similar employment with Parent, the Surviving Entity, Parent Manager or any of their respective Affiliates effective at or after the Closing and such person accepts such offer, such employee or officer shall not be entitled to any such severance or similar pay or benefits in connection with the termination of his or her employment with the Company or its Subsidiaries, provided that Parent, the Surviving Entity, Parent Manager or such Affiliate, as applicable, agreed to pay such severance or similar pay or benefits if they thereafter terminate such person’s employment without cause within twelve (12) months after the Closing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(h)         Between the date of this Agreement and the Closing Date, the Company shall, and shall cause its applicable Subsidiaries to, use their reasonable best efforts to make their respective employees available to Parent Manager or its Representatives, at Parent Manager’s request and upon reasonable notice and at reasonable times, for the purpose of discussing potential employment with Parent Manager for the period after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          From and after the date of this Agreement until the Closing, the Company and Parent shall cooperate in good faith in identifying and analyzing any payments or benefits that may be subject to Section 280G or Section 4999 of the Code, including by furnishing such information as is reasonably requested in connection with any updated analysis prior to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(j)       With respect to matters described in this </w:t>
      </w:r>
      <w:r>
        <w:rPr>
          <w:rFonts w:ascii="Times New Roman" w:hAnsi="Times New Roman"/>
          <w:b w:val="false"/>
          <w:color w:val="000000"/>
          <w:sz w:val="20"/>
          <w:u w:val="single"/>
        </w:rPr>
        <w:t>Section 6.21</w:t>
      </w:r>
      <w:r>
        <w:rPr>
          <w:rFonts w:ascii="Times New Roman" w:hAnsi="Times New Roman"/>
          <w:b w:val="false"/>
          <w:color w:val="000000"/>
          <w:sz w:val="20"/>
        </w:rPr>
        <w:t>, the Company shall not send any written notices or other written communications to employees of the Company or its Subsidiaries without the prior written consent of Parent, which shall not be unreasonably withheld, conditioned or delayed.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(k)       Nothing contained in this Agreement is intended, express or implied, or shall be construed to confer upon any employee of the Company or any of its Subsidiaries or any other Person any right to employment with the Surviving Entity, Parent, Parent Manager or any of their respective Affiliates for any specified period, nor shall it alter or modify the at-will employment status of the Continuing Employees.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(l)         Each of the parties to this agreement hereby agrees that no provision of this </w:t>
      </w:r>
      <w:r>
        <w:rPr>
          <w:rFonts w:ascii="Times New Roman" w:hAnsi="Times New Roman"/>
          <w:b w:val="false"/>
          <w:color w:val="000000"/>
          <w:sz w:val="20"/>
          <w:u w:val="single"/>
        </w:rPr>
        <w:t>Section 6.21</w:t>
      </w:r>
      <w:r>
        <w:rPr>
          <w:rFonts w:ascii="Times New Roman" w:hAnsi="Times New Roman"/>
          <w:b w:val="false"/>
          <w:color w:val="000000"/>
          <w:sz w:val="20"/>
        </w:rPr>
        <w:t xml:space="preserve"> is intended to, and that no such provision does, confer upon any Person other than the party hereto any right to or remedies hereunder, including the right to enforce any obligations of any party hereto contained herein. Nothing in this Agreement, express or implied, will be construed to prevent a party hereto or any of its Affiliates (including the Surviving Entity or its Affiliates) after the Closing from: (i) terminating, or modifying the terms of employment of, any employees; or (ii) adopting, amending, terminating or modifying (for any purpose) to any extent any Benefit Plan or any other employee benefit plan, program, Contract, agreement or arrangement. Nothing in this Agreement will be construed as an amendment or modification (for any purpose) to any Benefit Plan or any other compensation or benefit plans maintained for or provided to directors, managers, officers, employees or independent contractors of Parent, the Company, its successor or their respective Affiliates prior to or following the Closing Date.</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VII</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CONDITIONS PRECEDENT TO THE MERGERS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4"/>
        </w:rPr>
      </w:pPr>
      <w:r>
        <w:rPr>
          <w:rFonts w:ascii="Times New Roman" w:hAnsi="Times New Roman"/>
          <w:b w:val="false"/>
          <w:color w:val="000000"/>
          <w:sz w:val="20"/>
        </w:rPr>
        <w:t xml:space="preserve">7.1.       </w:t>
      </w:r>
      <w:r>
        <w:rPr>
          <w:rFonts w:ascii="Times New Roman" w:hAnsi="Times New Roman"/>
          <w:b w:val="false"/>
          <w:color w:val="000000"/>
          <w:sz w:val="20"/>
          <w:u w:val="single"/>
        </w:rPr>
        <w:t>Conditions to Each Party’s Obligations</w:t>
      </w:r>
      <w:r>
        <w:rPr>
          <w:rFonts w:ascii="Times New Roman" w:hAnsi="Times New Roman"/>
          <w:b w:val="false"/>
          <w:color w:val="000000"/>
          <w:sz w:val="20"/>
        </w:rPr>
        <w:t xml:space="preserve">. The obligations of the Company, the Company Operating Partnership, Parent, Merger Sub and Parent Manager to complete the Closing and effect the Mergers under </w:t>
      </w:r>
      <w:r>
        <w:rPr>
          <w:rFonts w:ascii="Times New Roman" w:hAnsi="Times New Roman"/>
          <w:b w:val="false"/>
          <w:color w:val="000000"/>
          <w:sz w:val="20"/>
          <w:u w:val="single"/>
        </w:rPr>
        <w:t>Article III</w:t>
      </w:r>
      <w:r>
        <w:rPr>
          <w:rFonts w:ascii="Times New Roman" w:hAnsi="Times New Roman"/>
          <w:b w:val="false"/>
          <w:color w:val="000000"/>
          <w:sz w:val="20"/>
        </w:rPr>
        <w:t xml:space="preserve"> of this Agreement are subject to the satisfaction of the following conditions precedent on or before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w:t>
      </w:r>
      <w:r>
        <w:rPr>
          <w:rFonts w:ascii="Times New Roman" w:hAnsi="Times New Roman"/>
          <w:b w:val="false"/>
          <w:color w:val="000000"/>
          <w:sz w:val="20"/>
          <w:u w:val="single"/>
        </w:rPr>
        <w:t>No Prohibition</w:t>
      </w:r>
      <w:r>
        <w:rPr>
          <w:rFonts w:ascii="Times New Roman" w:hAnsi="Times New Roman"/>
          <w:b w:val="false"/>
          <w:color w:val="000000"/>
          <w:sz w:val="20"/>
        </w:rPr>
        <w:t>. No Governmental Authority of competent jurisdiction shall have, after the date of this Agreement, (i) enacted, issued or promulgated any Law that is in effect; or (ii) issued or granted any Order or injunction (whether temporary, preliminary or permanent) that is in effect, in each case which has the effect of restraining, enjoining or prohibiting the consummation of the Mergers.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w:t>
      </w:r>
      <w:r>
        <w:rPr>
          <w:rFonts w:ascii="Times New Roman" w:hAnsi="Times New Roman"/>
          <w:b w:val="false"/>
          <w:color w:val="000000"/>
          <w:sz w:val="20"/>
          <w:u w:val="single"/>
        </w:rPr>
        <w:t>Stockholder Approval</w:t>
      </w:r>
      <w:r>
        <w:rPr>
          <w:rFonts w:ascii="Times New Roman" w:hAnsi="Times New Roman"/>
          <w:b w:val="false"/>
          <w:color w:val="000000"/>
          <w:sz w:val="20"/>
        </w:rPr>
        <w:t>. (i) The Company Stockholder Approval shall have been obtained and (ii) the Parent Stockholder Approval shall have been obtained.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w:t>
      </w:r>
      <w:r>
        <w:rPr>
          <w:rFonts w:ascii="Times New Roman" w:hAnsi="Times New Roman"/>
          <w:b w:val="false"/>
          <w:color w:val="000000"/>
          <w:sz w:val="20"/>
          <w:u w:val="single"/>
        </w:rPr>
        <w:t>Form S-4</w:t>
      </w:r>
      <w:r>
        <w:rPr>
          <w:rFonts w:ascii="Times New Roman" w:hAnsi="Times New Roman"/>
          <w:b w:val="false"/>
          <w:color w:val="000000"/>
          <w:sz w:val="20"/>
        </w:rPr>
        <w:t>. The Form S-4 shall have been declared effective by the SEC under the Securities Act and no stop order suspending the effectiveness of the Form S-4 shall be in effect and no proceedings for such purpose shall be pending before or threatened by the SEC.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w:t>
      </w:r>
      <w:r>
        <w:rPr>
          <w:rFonts w:ascii="Times New Roman" w:hAnsi="Times New Roman"/>
          <w:b w:val="false"/>
          <w:color w:val="000000"/>
          <w:sz w:val="20"/>
          <w:u w:val="single"/>
        </w:rPr>
        <w:t>Parent Common Stock and Parent Preferred Stock</w:t>
      </w:r>
      <w:r>
        <w:rPr>
          <w:rFonts w:ascii="Times New Roman" w:hAnsi="Times New Roman"/>
          <w:b w:val="false"/>
          <w:color w:val="000000"/>
          <w:sz w:val="20"/>
        </w:rPr>
        <w:t>. The shares of Parent Common Stock, Parent Series D Cumulative Redeemable Preferred Stock and Parent Series E Cumulative Redeemable Preferred Stock to be issued in the Mergers shall have been approved for listing on the NYSE, subject to official notice of issuance.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w:t>
      </w:r>
      <w:r>
        <w:rPr>
          <w:rFonts w:ascii="Times New Roman" w:hAnsi="Times New Roman"/>
          <w:b w:val="false"/>
          <w:color w:val="000000"/>
          <w:sz w:val="20"/>
          <w:u w:val="single"/>
        </w:rPr>
        <w:t>Regulatory Approval</w:t>
      </w:r>
      <w:r>
        <w:rPr>
          <w:rFonts w:ascii="Times New Roman" w:hAnsi="Times New Roman"/>
          <w:b w:val="false"/>
          <w:color w:val="000000"/>
          <w:sz w:val="20"/>
        </w:rPr>
        <w:t xml:space="preserve">. Each of the consents, authorizations and approvals from the Governmental Authorities set forth on </w:t>
      </w:r>
      <w:r>
        <w:rPr>
          <w:rFonts w:ascii="Times New Roman" w:hAnsi="Times New Roman"/>
          <w:b w:val="false"/>
          <w:color w:val="000000"/>
          <w:sz w:val="20"/>
          <w:u w:val="single"/>
        </w:rPr>
        <w:t>Section 7.1(e)</w:t>
      </w:r>
      <w:r>
        <w:rPr>
          <w:rFonts w:ascii="Times New Roman" w:hAnsi="Times New Roman"/>
          <w:b w:val="false"/>
          <w:color w:val="000000"/>
          <w:sz w:val="20"/>
        </w:rPr>
        <w:t xml:space="preserve"> of the Company Disclosure Letter (collectively, the “</w:t>
      </w:r>
      <w:r>
        <w:rPr>
          <w:rFonts w:ascii="Times New Roman" w:hAnsi="Times New Roman"/>
          <w:b w:val="false"/>
          <w:color w:val="000000"/>
          <w:sz w:val="20"/>
          <w:u w:val="single"/>
        </w:rPr>
        <w:t>Required Regulatory Approvals</w:t>
      </w:r>
      <w:r>
        <w:rPr>
          <w:rFonts w:ascii="Times New Roman" w:hAnsi="Times New Roman"/>
          <w:b w:val="false"/>
          <w:color w:val="000000"/>
          <w:sz w:val="20"/>
        </w:rPr>
        <w:t>”) shall have been obtained.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4"/>
        </w:rPr>
      </w:pPr>
      <w:r>
        <w:rPr>
          <w:rFonts w:ascii="Times New Roman" w:hAnsi="Times New Roman"/>
          <w:b w:val="false"/>
          <w:color w:val="000000"/>
          <w:sz w:val="20"/>
        </w:rPr>
        <w:t xml:space="preserve">7.2.       </w:t>
      </w:r>
      <w:r>
        <w:rPr>
          <w:rFonts w:ascii="Times New Roman" w:hAnsi="Times New Roman"/>
          <w:b w:val="false"/>
          <w:color w:val="000000"/>
          <w:sz w:val="20"/>
          <w:u w:val="single"/>
        </w:rPr>
        <w:t>Conditions to Obligations of Parent, Merger Sub and Parent Manager</w:t>
      </w:r>
      <w:r>
        <w:rPr>
          <w:rFonts w:ascii="Times New Roman" w:hAnsi="Times New Roman"/>
          <w:b w:val="false"/>
          <w:color w:val="000000"/>
          <w:sz w:val="20"/>
        </w:rPr>
        <w:t xml:space="preserve">. The obligations of Parent, Merger Sub and Parent Manager to complete the Closing and effect the Mergers under </w:t>
      </w:r>
      <w:r>
        <w:rPr>
          <w:rFonts w:ascii="Times New Roman" w:hAnsi="Times New Roman"/>
          <w:b w:val="false"/>
          <w:color w:val="000000"/>
          <w:sz w:val="20"/>
          <w:u w:val="single"/>
        </w:rPr>
        <w:t>Article III</w:t>
      </w:r>
      <w:r>
        <w:rPr>
          <w:rFonts w:ascii="Times New Roman" w:hAnsi="Times New Roman"/>
          <w:b w:val="false"/>
          <w:color w:val="000000"/>
          <w:sz w:val="20"/>
        </w:rPr>
        <w:t xml:space="preserve"> of this Agreement are further subject to the satisfaction (or waiver in writing by Parent, Merger Sub and Parent Manager, to the extent permitted under applicable Law) of the following conditions precedent on or before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The representations and warranties of the Company and the Company Operating Partnership set forth in (i) </w:t>
      </w:r>
      <w:r>
        <w:rPr>
          <w:rFonts w:ascii="Times New Roman" w:hAnsi="Times New Roman"/>
          <w:b w:val="false"/>
          <w:color w:val="000000"/>
          <w:sz w:val="20"/>
          <w:u w:val="single"/>
        </w:rPr>
        <w:t>Sections 4.1(d)(i)-(iv)</w:t>
      </w:r>
      <w:r>
        <w:rPr>
          <w:rFonts w:ascii="Times New Roman" w:hAnsi="Times New Roman"/>
          <w:b w:val="false"/>
          <w:color w:val="000000"/>
          <w:sz w:val="20"/>
        </w:rPr>
        <w:t xml:space="preserve"> shall be true and correct (except for any </w:t>
      </w:r>
      <w:r>
        <w:rPr>
          <w:rFonts w:ascii="Times New Roman" w:hAnsi="Times New Roman"/>
          <w:b w:val="false"/>
          <w:i/>
          <w:color w:val="000000"/>
          <w:sz w:val="20"/>
        </w:rPr>
        <w:t>de minimis</w:t>
      </w:r>
      <w:r>
        <w:rPr>
          <w:rFonts w:ascii="Times New Roman" w:hAnsi="Times New Roman"/>
          <w:b w:val="false"/>
          <w:color w:val="000000"/>
          <w:sz w:val="20"/>
        </w:rPr>
        <w:t xml:space="preserve">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(ii) </w:t>
      </w:r>
      <w:r>
        <w:rPr>
          <w:rFonts w:ascii="Times New Roman" w:hAnsi="Times New Roman"/>
          <w:b w:val="false"/>
          <w:color w:val="000000"/>
          <w:sz w:val="20"/>
          <w:u w:val="single"/>
        </w:rPr>
        <w:t>Section 4.1(a)</w:t>
      </w:r>
      <w:r>
        <w:rPr>
          <w:rFonts w:ascii="Times New Roman" w:hAnsi="Times New Roman"/>
          <w:b w:val="false"/>
          <w:color w:val="000000"/>
          <w:sz w:val="20"/>
        </w:rPr>
        <w:t xml:space="preserve">, </w:t>
      </w:r>
      <w:r>
        <w:rPr>
          <w:rFonts w:ascii="Times New Roman" w:hAnsi="Times New Roman"/>
          <w:b w:val="false"/>
          <w:color w:val="000000"/>
          <w:sz w:val="20"/>
          <w:u w:val="single"/>
        </w:rPr>
        <w:t>Section 4.1(d)(v)</w:t>
      </w:r>
      <w:r>
        <w:rPr>
          <w:rFonts w:ascii="Times New Roman" w:hAnsi="Times New Roman"/>
          <w:b w:val="false"/>
          <w:color w:val="000000"/>
          <w:sz w:val="20"/>
        </w:rPr>
        <w:t xml:space="preserve">, </w:t>
      </w:r>
      <w:r>
        <w:rPr>
          <w:rFonts w:ascii="Times New Roman" w:hAnsi="Times New Roman"/>
          <w:b w:val="false"/>
          <w:color w:val="000000"/>
          <w:sz w:val="20"/>
          <w:u w:val="single"/>
        </w:rPr>
        <w:t>Section 4.2</w:t>
      </w:r>
      <w:r>
        <w:rPr>
          <w:rFonts w:ascii="Times New Roman" w:hAnsi="Times New Roman"/>
          <w:b w:val="false"/>
          <w:color w:val="000000"/>
          <w:sz w:val="20"/>
        </w:rPr>
        <w:t xml:space="preserve">, </w:t>
      </w:r>
      <w:r>
        <w:rPr>
          <w:rFonts w:ascii="Times New Roman" w:hAnsi="Times New Roman"/>
          <w:b w:val="false"/>
          <w:color w:val="000000"/>
          <w:sz w:val="20"/>
          <w:u w:val="single"/>
        </w:rPr>
        <w:t>Section 4.3(a)(i)</w:t>
      </w:r>
      <w:r>
        <w:rPr>
          <w:rFonts w:ascii="Times New Roman" w:hAnsi="Times New Roman"/>
          <w:b w:val="false"/>
          <w:color w:val="000000"/>
          <w:sz w:val="20"/>
        </w:rPr>
        <w:t xml:space="preserve"> and </w:t>
      </w:r>
      <w:r>
        <w:rPr>
          <w:rFonts w:ascii="Times New Roman" w:hAnsi="Times New Roman"/>
          <w:b w:val="false"/>
          <w:color w:val="000000"/>
          <w:sz w:val="20"/>
          <w:u w:val="single"/>
        </w:rPr>
        <w:t>Section 4.18</w:t>
      </w:r>
      <w:r>
        <w:rPr>
          <w:rFonts w:ascii="Times New Roman" w:hAnsi="Times New Roman"/>
          <w:b w:val="false"/>
          <w:color w:val="000000"/>
          <w:sz w:val="20"/>
        </w:rPr>
        <w:t xml:space="preserve"> 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 w:hAnsi="Times New Roman"/>
          <w:b w:val="false"/>
          <w:color w:val="000000"/>
          <w:sz w:val="20"/>
          <w:u w:val="single"/>
        </w:rPr>
        <w:t>Section 4.15</w:t>
      </w:r>
      <w:r>
        <w:rPr>
          <w:rFonts w:ascii="Times New Roman" w:hAnsi="Times New Roman"/>
          <w:b w:val="false"/>
          <w:color w:val="000000"/>
          <w:sz w:val="20"/>
        </w:rPr>
        <w:t xml:space="preserve"> shall be true and correct in all respects as of the date of this Agreement and as of the Closing Date as though made as of the Closing Date, and (iv) </w:t>
      </w:r>
      <w:r>
        <w:rPr>
          <w:rFonts w:ascii="Times New Roman" w:hAnsi="Times New Roman"/>
          <w:b w:val="false"/>
          <w:color w:val="000000"/>
          <w:sz w:val="20"/>
          <w:u w:val="single"/>
        </w:rPr>
        <w:t>Article IV</w:t>
      </w:r>
      <w:r>
        <w:rPr>
          <w:rFonts w:ascii="Times New Roman" w:hAnsi="Times New Roman"/>
          <w:b w:val="false"/>
          <w:color w:val="000000"/>
          <w:sz w:val="20"/>
        </w:rPr>
        <w:t xml:space="preserve">, other than the representations and warranties listed in the immediately preceding </w:t>
      </w:r>
      <w:r>
        <w:rPr>
          <w:rFonts w:ascii="Times New Roman" w:hAnsi="Times New Roman"/>
          <w:b w:val="false"/>
          <w:color w:val="000000"/>
          <w:sz w:val="20"/>
          <w:u w:val="single"/>
        </w:rPr>
        <w:t>clauses (i)</w:t>
      </w:r>
      <w:r>
        <w:rPr>
          <w:rFonts w:ascii="Times New Roman" w:hAnsi="Times New Roman"/>
          <w:b w:val="false"/>
          <w:color w:val="000000"/>
          <w:sz w:val="20"/>
        </w:rPr>
        <w:t xml:space="preserve">, </w:t>
      </w:r>
      <w:r>
        <w:rPr>
          <w:rFonts w:ascii="Times New Roman" w:hAnsi="Times New Roman"/>
          <w:b w:val="false"/>
          <w:color w:val="000000"/>
          <w:sz w:val="20"/>
          <w:u w:val="single"/>
        </w:rPr>
        <w:t>(ii)</w:t>
      </w:r>
      <w:r>
        <w:rPr>
          <w:rFonts w:ascii="Times New Roman" w:hAnsi="Times New Roman"/>
          <w:b w:val="false"/>
          <w:color w:val="000000"/>
          <w:sz w:val="20"/>
        </w:rPr>
        <w:t xml:space="preserve"> and </w:t>
      </w:r>
      <w:r>
        <w:rPr>
          <w:rFonts w:ascii="Times New Roman" w:hAnsi="Times New Roman"/>
          <w:b w:val="false"/>
          <w:color w:val="000000"/>
          <w:sz w:val="20"/>
          <w:u w:val="single"/>
        </w:rPr>
        <w:t>(iii)</w:t>
      </w:r>
      <w:r>
        <w:rPr>
          <w:rFonts w:ascii="Times New Roman" w:hAnsi="Times New Roman"/>
          <w:b w:val="false"/>
          <w:color w:val="000000"/>
          <w:sz w:val="20"/>
        </w:rPr>
        <w:t xml:space="preserve">, shall be true and correct as of the date of this Agreement and as of the Closing Date (without giving effect to any “materiality” or “Company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w:t>
      </w:r>
      <w:r>
        <w:rPr>
          <w:rFonts w:ascii="Times New Roman" w:hAnsi="Times New Roman"/>
          <w:b w:val="false"/>
          <w:color w:val="000000"/>
          <w:sz w:val="20"/>
          <w:u w:val="single"/>
        </w:rPr>
        <w:t>clause (iv)</w:t>
      </w:r>
      <w:r>
        <w:rPr>
          <w:rFonts w:ascii="Times New Roman" w:hAnsi="Times New Roman"/>
          <w:b w:val="false"/>
          <w:color w:val="000000"/>
          <w:sz w:val="20"/>
        </w:rPr>
        <w:t>, for such failures to be true and correct as have not had and would not reasonably be expected to have, individually or in the aggregate, a Company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Each of the Company and the Company Operating Partnership shall have duly performed and complied with, in all material respects, the covenants, obligations and agreements contained in this Agreement to be performed and complied with by it at or prior to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Parent and Merger Sub shall have received a certificate executed on behalf of the Company by its Chief Executive Officer or Chief Financial Officer confirming that the conditions set forth in </w:t>
      </w:r>
      <w:r>
        <w:rPr>
          <w:rFonts w:ascii="Times New Roman" w:hAnsi="Times New Roman"/>
          <w:b w:val="false"/>
          <w:color w:val="000000"/>
          <w:sz w:val="20"/>
          <w:u w:val="single"/>
        </w:rPr>
        <w:t>clauses (a)</w:t>
      </w:r>
      <w:r>
        <w:rPr>
          <w:rFonts w:ascii="Times New Roman" w:hAnsi="Times New Roman"/>
          <w:b w:val="false"/>
          <w:color w:val="000000"/>
          <w:sz w:val="20"/>
        </w:rPr>
        <w:t xml:space="preserve"> and </w:t>
      </w:r>
      <w:r>
        <w:rPr>
          <w:rFonts w:ascii="Times New Roman" w:hAnsi="Times New Roman"/>
          <w:b w:val="false"/>
          <w:color w:val="000000"/>
          <w:sz w:val="20"/>
          <w:u w:val="single"/>
        </w:rPr>
        <w:t>(b)</w:t>
      </w:r>
      <w:r>
        <w:rPr>
          <w:rFonts w:ascii="Times New Roman" w:hAnsi="Times New Roman"/>
          <w:b w:val="false"/>
          <w:color w:val="000000"/>
          <w:sz w:val="20"/>
        </w:rPr>
        <w:t xml:space="preserve"> of this </w:t>
      </w:r>
      <w:r>
        <w:rPr>
          <w:rFonts w:ascii="Times New Roman" w:hAnsi="Times New Roman"/>
          <w:b w:val="false"/>
          <w:color w:val="000000"/>
          <w:sz w:val="20"/>
          <w:u w:val="single"/>
        </w:rPr>
        <w:t>Section 7.2</w:t>
      </w:r>
      <w:r>
        <w:rPr>
          <w:rFonts w:ascii="Times New Roman" w:hAnsi="Times New Roman"/>
          <w:b w:val="false"/>
          <w:color w:val="000000"/>
          <w:sz w:val="20"/>
        </w:rPr>
        <w:t xml:space="preserve"> have been duly satisfied.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Parent shall have received a written opinion of Mayer Brown LLP (or other counsel to the Company reasonably satisfactory to Parent), dated as of the Closing Date and in substantially the form attached hereto as </w:t>
      </w:r>
      <w:r>
        <w:rPr>
          <w:rFonts w:ascii="Times New Roman" w:hAnsi="Times New Roman"/>
          <w:b w:val="false"/>
          <w:color w:val="000000"/>
          <w:sz w:val="20"/>
          <w:u w:val="single"/>
        </w:rPr>
        <w:t>Annex C</w:t>
      </w:r>
      <w:r>
        <w:rPr>
          <w:rFonts w:ascii="Times New Roman" w:hAnsi="Times New Roman"/>
          <w:b w:val="false"/>
          <w:color w:val="000000"/>
          <w:sz w:val="20"/>
        </w:rPr>
        <w:t xml:space="preserve">, to the effect that, on the basis of the facts, representations and assumptions set forth or referred to in such opinion, commencing with the Company’s taxable year ended December 31, 2020, the Company has been organized and operated in conformity with the requirements for qualification and taxation as a REIT under the Code and its actual method of operation has enabled the Company to meet, through the Company Merger Effective Time, the requirements for qualification and taxation as a REIT under the Code. In rendering the opinion described in this </w:t>
      </w:r>
      <w:r>
        <w:rPr>
          <w:rFonts w:ascii="Times New Roman" w:hAnsi="Times New Roman"/>
          <w:b w:val="false"/>
          <w:color w:val="000000"/>
          <w:sz w:val="20"/>
          <w:u w:val="single"/>
        </w:rPr>
        <w:t>Section 7.2(d)</w:t>
      </w:r>
      <w:r>
        <w:rPr>
          <w:rFonts w:ascii="Times New Roman" w:hAnsi="Times New Roman"/>
          <w:b w:val="false"/>
          <w:color w:val="000000"/>
          <w:sz w:val="20"/>
        </w:rPr>
        <w:t xml:space="preserve">, counsel shall be entitled to require and rely upon customary representations contained in certificates of officers of the Company and Parent; </w:t>
      </w:r>
      <w:r>
        <w:rPr>
          <w:rFonts w:ascii="Times New Roman" w:hAnsi="Times New Roman"/>
          <w:b w:val="false"/>
          <w:color w:val="000000"/>
          <w:sz w:val="20"/>
          <w:u w:val="single"/>
        </w:rPr>
        <w:t>provided</w:t>
      </w:r>
      <w:r>
        <w:rPr>
          <w:rFonts w:ascii="Times New Roman" w:hAnsi="Times New Roman"/>
          <w:b w:val="false"/>
          <w:color w:val="000000"/>
          <w:sz w:val="20"/>
        </w:rPr>
        <w:t xml:space="preserve"> that Parent and the Company are given a reasonable opportunity to review such representations and find them to be reasonably satisfactory in form and substance.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Parent shall have received a written opinion of Hunton Andrews Kurth LLP, dated as of the Closing Date and in substantially the form attached hereto as </w:t>
      </w:r>
      <w:r>
        <w:rPr>
          <w:rFonts w:ascii="Times New Roman" w:hAnsi="Times New Roman"/>
          <w:b w:val="false"/>
          <w:color w:val="000000"/>
          <w:sz w:val="20"/>
          <w:u w:val="single"/>
        </w:rPr>
        <w:t>Annex D</w:t>
      </w:r>
      <w:r>
        <w:rPr>
          <w:rFonts w:ascii="Times New Roman" w:hAnsi="Times New Roman"/>
          <w:b w:val="false"/>
          <w:color w:val="000000"/>
          <w:sz w:val="20"/>
        </w:rPr>
        <w:t xml:space="preserve">,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 w:hAnsi="Times New Roman"/>
          <w:b w:val="false"/>
          <w:color w:val="000000"/>
          <w:sz w:val="20"/>
          <w:u w:val="single"/>
        </w:rPr>
        <w:t>Section 7.2(e)</w:t>
      </w:r>
      <w:r>
        <w:rPr>
          <w:rFonts w:ascii="Times New Roman" w:hAnsi="Times New Roman"/>
          <w:b w:val="false"/>
          <w:color w:val="000000"/>
          <w:sz w:val="20"/>
        </w:rPr>
        <w:t xml:space="preserve">, counsel shall be entitled to require and rely upon customary representations contained in certificates of officers of the Company and Parent; </w:t>
      </w:r>
      <w:r>
        <w:rPr>
          <w:rFonts w:ascii="Times New Roman" w:hAnsi="Times New Roman"/>
          <w:b w:val="false"/>
          <w:color w:val="000000"/>
          <w:sz w:val="20"/>
          <w:u w:val="single"/>
        </w:rPr>
        <w:t>provided</w:t>
      </w:r>
      <w:r>
        <w:rPr>
          <w:rFonts w:ascii="Times New Roman" w:hAnsi="Times New Roman"/>
          <w:b w:val="false"/>
          <w:color w:val="000000"/>
          <w:sz w:val="20"/>
        </w:rPr>
        <w:t xml:space="preserve"> that Parent and the Company are given a reasonable opportunity to review such representations and find them to be reasonably satisfactory in form and substance.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7.3.       </w:t>
      </w:r>
      <w:r>
        <w:rPr>
          <w:rFonts w:ascii="Times New Roman" w:hAnsi="Times New Roman"/>
          <w:b w:val="false"/>
          <w:color w:val="000000"/>
          <w:sz w:val="20"/>
          <w:u w:val="single"/>
        </w:rPr>
        <w:t>Conditions to Obligations of the Company and the Company Operating Partnership</w:t>
      </w:r>
      <w:r>
        <w:rPr>
          <w:rFonts w:ascii="Times New Roman" w:hAnsi="Times New Roman"/>
          <w:b w:val="false"/>
          <w:color w:val="000000"/>
          <w:sz w:val="20"/>
        </w:rPr>
        <w:t>. The obligation of the Company and the Company Operating Partnership to complete the Closing and effect the Mergers are further subject to the satisfaction (or waiver in writing by the Company and the Company Operating Partnership, to the extent permitted under applicable Law) of the following conditions precedent on or before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The representations and warranties of Parent, Merger Sub and, as applicable, Parent Manager set forth in (i) </w:t>
      </w:r>
      <w:r>
        <w:rPr>
          <w:rFonts w:ascii="Times New Roman" w:hAnsi="Times New Roman"/>
          <w:b w:val="false"/>
          <w:color w:val="000000"/>
          <w:sz w:val="20"/>
          <w:u w:val="single"/>
        </w:rPr>
        <w:t>Sections 5.1(c)(i)</w:t>
      </w:r>
      <w:r>
        <w:rPr>
          <w:rFonts w:ascii="Times New Roman" w:hAnsi="Times New Roman"/>
          <w:b w:val="false"/>
          <w:color w:val="000000"/>
          <w:sz w:val="20"/>
        </w:rPr>
        <w:t>-</w:t>
      </w:r>
      <w:r>
        <w:rPr>
          <w:rFonts w:ascii="Times New Roman" w:hAnsi="Times New Roman"/>
          <w:b w:val="false"/>
          <w:color w:val="000000"/>
          <w:sz w:val="20"/>
          <w:u w:val="single"/>
        </w:rPr>
        <w:t>(iii)</w:t>
      </w:r>
      <w:r>
        <w:rPr>
          <w:rFonts w:ascii="Times New Roman" w:hAnsi="Times New Roman"/>
          <w:b w:val="false"/>
          <w:color w:val="000000"/>
          <w:sz w:val="20"/>
        </w:rPr>
        <w:t xml:space="preserve"> shall be true and correct (except for any </w:t>
      </w:r>
      <w:r>
        <w:rPr>
          <w:rFonts w:ascii="Times New Roman" w:hAnsi="Times New Roman"/>
          <w:b w:val="false"/>
          <w:i/>
          <w:color w:val="000000"/>
          <w:sz w:val="20"/>
        </w:rPr>
        <w:t>de minimis</w:t>
      </w:r>
      <w:r>
        <w:rPr>
          <w:rFonts w:ascii="Times New Roman" w:hAnsi="Times New Roman"/>
          <w:b w:val="false"/>
          <w:color w:val="000000"/>
          <w:sz w:val="20"/>
        </w:rPr>
        <w:t xml:space="preserve"> inaccuracies) as of the Closing Date as though made as of the date of this Agreement and as of the Closing Date (except to the extent that any such representation and warranty speaks as of any earlier date, in which case such representation and warranty shall be true and correct as of such earlier date), (ii) </w:t>
      </w:r>
      <w:r>
        <w:rPr>
          <w:rFonts w:ascii="Times New Roman" w:hAnsi="Times New Roman"/>
          <w:b w:val="false"/>
          <w:color w:val="000000"/>
          <w:sz w:val="20"/>
          <w:u w:val="single"/>
        </w:rPr>
        <w:t>Section 5.1(a)</w:t>
      </w:r>
      <w:r>
        <w:rPr>
          <w:rFonts w:ascii="Times New Roman" w:hAnsi="Times New Roman"/>
          <w:b w:val="false"/>
          <w:color w:val="000000"/>
          <w:sz w:val="20"/>
        </w:rPr>
        <w:t xml:space="preserve">, </w:t>
      </w:r>
      <w:r>
        <w:rPr>
          <w:rFonts w:ascii="Times New Roman" w:hAnsi="Times New Roman"/>
          <w:b w:val="false"/>
          <w:color w:val="000000"/>
          <w:sz w:val="20"/>
          <w:u w:val="single"/>
        </w:rPr>
        <w:t>Section 5.1(c)(iv)</w:t>
      </w:r>
      <w:r>
        <w:rPr>
          <w:rFonts w:ascii="Times New Roman" w:hAnsi="Times New Roman"/>
          <w:b w:val="false"/>
          <w:color w:val="000000"/>
          <w:sz w:val="20"/>
        </w:rPr>
        <w:t xml:space="preserve">, </w:t>
      </w:r>
      <w:r>
        <w:rPr>
          <w:rFonts w:ascii="Times New Roman" w:hAnsi="Times New Roman"/>
          <w:b w:val="false"/>
          <w:color w:val="000000"/>
          <w:sz w:val="20"/>
          <w:u w:val="single"/>
        </w:rPr>
        <w:t>Section 5.2</w:t>
      </w:r>
      <w:r>
        <w:rPr>
          <w:rFonts w:ascii="Times New Roman" w:hAnsi="Times New Roman"/>
          <w:b w:val="false"/>
          <w:color w:val="000000"/>
          <w:sz w:val="20"/>
        </w:rPr>
        <w:t xml:space="preserve">, </w:t>
      </w:r>
      <w:r>
        <w:rPr>
          <w:rFonts w:ascii="Times New Roman" w:hAnsi="Times New Roman"/>
          <w:b w:val="false"/>
          <w:color w:val="000000"/>
          <w:sz w:val="20"/>
          <w:u w:val="single"/>
        </w:rPr>
        <w:t>Section 5.3</w:t>
      </w:r>
      <w:r>
        <w:rPr>
          <w:rFonts w:ascii="Times New Roman" w:hAnsi="Times New Roman"/>
          <w:b w:val="false"/>
          <w:color w:val="000000"/>
          <w:sz w:val="20"/>
        </w:rPr>
        <w:t xml:space="preserve"> and </w:t>
      </w:r>
      <w:r>
        <w:rPr>
          <w:rFonts w:ascii="Times New Roman" w:hAnsi="Times New Roman"/>
          <w:b w:val="false"/>
          <w:color w:val="000000"/>
          <w:sz w:val="20"/>
          <w:u w:val="single"/>
        </w:rPr>
        <w:t>Section 5.15</w:t>
      </w:r>
      <w:r>
        <w:rPr>
          <w:rFonts w:ascii="Times New Roman" w:hAnsi="Times New Roman"/>
          <w:b w:val="false"/>
          <w:color w:val="000000"/>
          <w:sz w:val="20"/>
        </w:rPr>
        <w:t xml:space="preserve"> 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 w:hAnsi="Times New Roman"/>
          <w:b w:val="false"/>
          <w:color w:val="000000"/>
          <w:sz w:val="20"/>
          <w:u w:val="single"/>
        </w:rPr>
        <w:t>Section 5.12</w:t>
      </w:r>
      <w:r>
        <w:rPr>
          <w:rFonts w:ascii="Times New Roman" w:hAnsi="Times New Roman"/>
          <w:b w:val="false"/>
          <w:color w:val="000000"/>
          <w:sz w:val="20"/>
        </w:rPr>
        <w:t xml:space="preserve"> shall be true and correct in all respects as of the date of this Agreement and as of the Closing Date as though made as of the Closing Date, and (iv) </w:t>
      </w:r>
      <w:r>
        <w:rPr>
          <w:rFonts w:ascii="Times New Roman" w:hAnsi="Times New Roman"/>
          <w:b w:val="false"/>
          <w:color w:val="000000"/>
          <w:sz w:val="20"/>
          <w:u w:val="single"/>
        </w:rPr>
        <w:t>Article V</w:t>
      </w:r>
      <w:r>
        <w:rPr>
          <w:rFonts w:ascii="Times New Roman" w:hAnsi="Times New Roman"/>
          <w:b w:val="false"/>
          <w:color w:val="000000"/>
          <w:sz w:val="20"/>
        </w:rPr>
        <w:t xml:space="preserve">, other than the representations and warranties listed in the immediately preceding </w:t>
      </w:r>
      <w:r>
        <w:rPr>
          <w:rFonts w:ascii="Times New Roman" w:hAnsi="Times New Roman"/>
          <w:b w:val="false"/>
          <w:color w:val="000000"/>
          <w:sz w:val="20"/>
          <w:u w:val="single"/>
        </w:rPr>
        <w:t>clauses (i)</w:t>
      </w:r>
      <w:r>
        <w:rPr>
          <w:rFonts w:ascii="Times New Roman" w:hAnsi="Times New Roman"/>
          <w:b w:val="false"/>
          <w:color w:val="000000"/>
          <w:sz w:val="20"/>
        </w:rPr>
        <w:t xml:space="preserve">, </w:t>
      </w:r>
      <w:r>
        <w:rPr>
          <w:rFonts w:ascii="Times New Roman" w:hAnsi="Times New Roman"/>
          <w:b w:val="false"/>
          <w:color w:val="000000"/>
          <w:sz w:val="20"/>
          <w:u w:val="single"/>
        </w:rPr>
        <w:t>(ii)</w:t>
      </w:r>
      <w:r>
        <w:rPr>
          <w:rFonts w:ascii="Times New Roman" w:hAnsi="Times New Roman"/>
          <w:b w:val="false"/>
          <w:color w:val="000000"/>
          <w:sz w:val="20"/>
        </w:rPr>
        <w:t xml:space="preserve"> and </w:t>
      </w:r>
      <w:r>
        <w:rPr>
          <w:rFonts w:ascii="Times New Roman" w:hAnsi="Times New Roman"/>
          <w:b w:val="false"/>
          <w:color w:val="000000"/>
          <w:sz w:val="20"/>
          <w:u w:val="single"/>
        </w:rPr>
        <w:t>(iii)</w:t>
      </w:r>
      <w:r>
        <w:rPr>
          <w:rFonts w:ascii="Times New Roman" w:hAnsi="Times New Roman"/>
          <w:b w:val="false"/>
          <w:color w:val="000000"/>
          <w:sz w:val="20"/>
        </w:rPr>
        <w:t xml:space="preserve">, shall be true and correct as of the date of this Agreement and as of the Closing Date (without giving effect to any “materiality” or “Parent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w:t>
      </w:r>
      <w:r>
        <w:rPr>
          <w:rFonts w:ascii="Times New Roman" w:hAnsi="Times New Roman"/>
          <w:b w:val="false"/>
          <w:color w:val="000000"/>
          <w:sz w:val="20"/>
          <w:u w:val="single"/>
        </w:rPr>
        <w:t>clause (iv)</w:t>
      </w:r>
      <w:r>
        <w:rPr>
          <w:rFonts w:ascii="Times New Roman" w:hAnsi="Times New Roman"/>
          <w:b w:val="false"/>
          <w:color w:val="000000"/>
          <w:sz w:val="20"/>
        </w:rPr>
        <w:t>, for such failures to be true and correct as (A) in the case of Parent and Merger Sub, have not had and would not reasonably be expected to have, individually or in the aggregate, a Parent Material Adverse Effect, and (B) in the case of Parent Manager, would not reasonably be expected to materially prevent the ability of Parent Manager to consummate the Transactions before the Termination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Parent, Merger Sub and Parent Manager shall have duly performed and complied with, in all material respects, the respective covenants, obligations and agreements contained in this Agreement to be performed and complied with by Parent, Merger Sub and Parent Manager at or prior to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The Company shall have received (i) a certificate executed on behalf of Parent by its Chief Executive Officer or Chief Financial Officer confirming that the conditions set forth in </w:t>
      </w:r>
      <w:r>
        <w:rPr>
          <w:rFonts w:ascii="Times New Roman" w:hAnsi="Times New Roman"/>
          <w:b w:val="false"/>
          <w:color w:val="000000"/>
          <w:sz w:val="20"/>
          <w:u w:val="single"/>
        </w:rPr>
        <w:t>clauses (a)</w:t>
      </w:r>
      <w:r>
        <w:rPr>
          <w:rFonts w:ascii="Times New Roman" w:hAnsi="Times New Roman"/>
          <w:b w:val="false"/>
          <w:color w:val="000000"/>
          <w:sz w:val="20"/>
        </w:rPr>
        <w:t xml:space="preserve"> and </w:t>
      </w:r>
      <w:r>
        <w:rPr>
          <w:rFonts w:ascii="Times New Roman" w:hAnsi="Times New Roman"/>
          <w:b w:val="false"/>
          <w:color w:val="000000"/>
          <w:sz w:val="20"/>
          <w:u w:val="single"/>
        </w:rPr>
        <w:t>(b)</w:t>
      </w:r>
      <w:r>
        <w:rPr>
          <w:rFonts w:ascii="Times New Roman" w:hAnsi="Times New Roman"/>
          <w:b w:val="false"/>
          <w:color w:val="000000"/>
          <w:sz w:val="20"/>
        </w:rPr>
        <w:t xml:space="preserve"> of this </w:t>
      </w:r>
      <w:r>
        <w:rPr>
          <w:rFonts w:ascii="Times New Roman" w:hAnsi="Times New Roman"/>
          <w:b w:val="false"/>
          <w:color w:val="000000"/>
          <w:sz w:val="20"/>
          <w:u w:val="single"/>
        </w:rPr>
        <w:t>Section 7.3</w:t>
      </w:r>
      <w:r>
        <w:rPr>
          <w:rFonts w:ascii="Times New Roman" w:hAnsi="Times New Roman"/>
          <w:b w:val="false"/>
          <w:color w:val="000000"/>
          <w:sz w:val="20"/>
        </w:rPr>
        <w:t xml:space="preserve"> (solely with respect to representations, warranties, agreements and obligations of Parent and Merger Sub) have been duly satisfied, and (ii) a certificate executed on behalf of Parent Manager by an executive officer Parent Manager confirming that the conditions set forth in </w:t>
      </w:r>
      <w:r>
        <w:rPr>
          <w:rFonts w:ascii="Times New Roman" w:hAnsi="Times New Roman"/>
          <w:b w:val="false"/>
          <w:color w:val="000000"/>
          <w:sz w:val="20"/>
          <w:u w:val="single"/>
        </w:rPr>
        <w:t>clauses (a)</w:t>
      </w:r>
      <w:r>
        <w:rPr>
          <w:rFonts w:ascii="Times New Roman" w:hAnsi="Times New Roman"/>
          <w:b w:val="false"/>
          <w:color w:val="000000"/>
          <w:sz w:val="20"/>
        </w:rPr>
        <w:t xml:space="preserve"> and </w:t>
      </w:r>
      <w:r>
        <w:rPr>
          <w:rFonts w:ascii="Times New Roman" w:hAnsi="Times New Roman"/>
          <w:b w:val="false"/>
          <w:color w:val="000000"/>
          <w:sz w:val="20"/>
          <w:u w:val="single"/>
        </w:rPr>
        <w:t>(b)</w:t>
      </w:r>
      <w:r>
        <w:rPr>
          <w:rFonts w:ascii="Times New Roman" w:hAnsi="Times New Roman"/>
          <w:b w:val="false"/>
          <w:color w:val="000000"/>
          <w:sz w:val="20"/>
        </w:rPr>
        <w:t xml:space="preserve"> of this </w:t>
      </w:r>
      <w:r>
        <w:rPr>
          <w:rFonts w:ascii="Times New Roman" w:hAnsi="Times New Roman"/>
          <w:b w:val="false"/>
          <w:color w:val="000000"/>
          <w:sz w:val="20"/>
          <w:u w:val="single"/>
        </w:rPr>
        <w:t>Section 7.3</w:t>
      </w:r>
      <w:r>
        <w:rPr>
          <w:rFonts w:ascii="Times New Roman" w:hAnsi="Times New Roman"/>
          <w:b w:val="false"/>
          <w:color w:val="000000"/>
          <w:sz w:val="20"/>
        </w:rPr>
        <w:t xml:space="preserve"> (solely with respect to representations, warranties, agreements and obligations of Parent Manager) have been duly satisfied.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(d)        The Company shall have received a written opinion of Hunton Andrews Kurth LLP (or other counsel to Parent reasonably satisfactory to the Company), dated as of the Closing Date and in substantially the form attached hereto as </w:t>
      </w:r>
      <w:r>
        <w:rPr>
          <w:rFonts w:ascii="Times New Roman" w:hAnsi="Times New Roman"/>
          <w:b w:val="false"/>
          <w:color w:val="000000"/>
          <w:sz w:val="20"/>
          <w:u w:val="single"/>
        </w:rPr>
        <w:t>Annex E</w:t>
      </w:r>
      <w:r>
        <w:rPr>
          <w:rFonts w:ascii="Times New Roman" w:hAnsi="Times New Roman"/>
          <w:b w:val="false"/>
          <w:color w:val="000000"/>
          <w:sz w:val="20"/>
        </w:rPr>
        <w:t xml:space="preserve">, to the effect that, on the basis of the facts, representations and assumptions set forth or referred to in such opinion, commencing with Parent’s taxable year ended December 31, 2020, Parent has been organized and operated in conformity with the requirements for qualification and taxation as a REIT under the Code and its actual method of operation has enabled Parent to meet, through the Company Merger Effective Time, the requirements for qualification and taxation as a REIT under the Code, and Parent’s proposed method of organization and operation will enable Parent to continue to satisfy the requirements for qualification and taxation as a REIT under the Code. In rendering the opinion described in this </w:t>
      </w:r>
      <w:r>
        <w:rPr>
          <w:rFonts w:ascii="Times New Roman" w:hAnsi="Times New Roman"/>
          <w:b w:val="false"/>
          <w:color w:val="000000"/>
          <w:sz w:val="20"/>
          <w:u w:val="single"/>
        </w:rPr>
        <w:t>Section 7.3(d)</w:t>
      </w:r>
      <w:r>
        <w:rPr>
          <w:rFonts w:ascii="Times New Roman" w:hAnsi="Times New Roman"/>
          <w:b w:val="false"/>
          <w:color w:val="000000"/>
          <w:sz w:val="20"/>
        </w:rPr>
        <w:t xml:space="preserve">, counsel shall be entitled to require and rely upon customary representations contained in certificates of officers of the Company and Parent; </w:t>
      </w:r>
      <w:r>
        <w:rPr>
          <w:rFonts w:ascii="Times New Roman" w:hAnsi="Times New Roman"/>
          <w:b w:val="false"/>
          <w:color w:val="000000"/>
          <w:sz w:val="20"/>
          <w:u w:val="single"/>
        </w:rPr>
        <w:t>provided</w:t>
      </w:r>
      <w:r>
        <w:rPr>
          <w:rFonts w:ascii="Times New Roman" w:hAnsi="Times New Roman"/>
          <w:b w:val="false"/>
          <w:color w:val="000000"/>
          <w:sz w:val="20"/>
        </w:rPr>
        <w:t xml:space="preserve"> that Parent and the Company are given a reasonable opportunity to review such representations and find them to be reasonably satisfactory in form and substance.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The Company shall have received a written opinion of Mayer Brown LLP, dated as of the Closing Date and in substantially the form attached hereto as </w:t>
      </w:r>
      <w:r>
        <w:rPr>
          <w:rFonts w:ascii="Times New Roman" w:hAnsi="Times New Roman"/>
          <w:b w:val="false"/>
          <w:color w:val="000000"/>
          <w:sz w:val="20"/>
          <w:u w:val="single"/>
        </w:rPr>
        <w:t>Annex F</w:t>
      </w:r>
      <w:r>
        <w:rPr>
          <w:rFonts w:ascii="Times New Roman" w:hAnsi="Times New Roman"/>
          <w:b w:val="false"/>
          <w:color w:val="000000"/>
          <w:sz w:val="20"/>
        </w:rPr>
        <w:t xml:space="preserve">,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 w:hAnsi="Times New Roman"/>
          <w:b w:val="false"/>
          <w:color w:val="000000"/>
          <w:sz w:val="20"/>
          <w:u w:val="single"/>
        </w:rPr>
        <w:t>Section 7.3(e)</w:t>
      </w:r>
      <w:r>
        <w:rPr>
          <w:rFonts w:ascii="Times New Roman" w:hAnsi="Times New Roman"/>
          <w:b w:val="false"/>
          <w:color w:val="000000"/>
          <w:sz w:val="20"/>
        </w:rPr>
        <w:t xml:space="preserve">, counsel shall be entitled to require and rely upon customary representations contained in certificates of officers of the Company and Parent; </w:t>
      </w:r>
      <w:r>
        <w:rPr>
          <w:rFonts w:ascii="Times New Roman" w:hAnsi="Times New Roman"/>
          <w:b w:val="false"/>
          <w:color w:val="000000"/>
          <w:sz w:val="20"/>
          <w:u w:val="single"/>
        </w:rPr>
        <w:t>provided</w:t>
      </w:r>
      <w:r>
        <w:rPr>
          <w:rFonts w:ascii="Times New Roman" w:hAnsi="Times New Roman"/>
          <w:b w:val="false"/>
          <w:color w:val="000000"/>
          <w:sz w:val="20"/>
        </w:rPr>
        <w:t xml:space="preserve"> that Parent and the Company are given a reasonable opportunity to review such representations and find them to be reasonably satisfactory in form and substance.</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VIII</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TERMINATION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8.1.        </w:t>
      </w:r>
      <w:r>
        <w:rPr>
          <w:rFonts w:ascii="Times New Roman" w:hAnsi="Times New Roman"/>
          <w:b w:val="false"/>
          <w:color w:val="000000"/>
          <w:sz w:val="20"/>
          <w:u w:val="single"/>
        </w:rPr>
        <w:t>Termination</w:t>
      </w:r>
      <w:r>
        <w:rPr>
          <w:rFonts w:ascii="Times New Roman" w:hAnsi="Times New Roman"/>
          <w:b w:val="false"/>
          <w:color w:val="000000"/>
          <w:sz w:val="20"/>
        </w:rPr>
        <w:t>. This Agreement may be terminated at any time on or prior to the Partnership Merger Effective Time, whether (except as expressly set forth below) before or after the Company Stockholder Approval or the Parent Stockholder Approval has been obtained, only as follows: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With the mutual written consent of each of the Company and Parent;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By written notice of either the Company or Parent, if the Closing shall not have occurred on or before 11:59 p.m. Eastern Time on March 9, 2027 (such date, the “</w:t>
      </w:r>
      <w:r>
        <w:rPr>
          <w:rFonts w:ascii="Times New Roman" w:hAnsi="Times New Roman"/>
          <w:b w:val="false"/>
          <w:color w:val="000000"/>
          <w:sz w:val="20"/>
          <w:u w:val="single"/>
        </w:rPr>
        <w:t>Termination Date</w:t>
      </w:r>
      <w:r>
        <w:rPr>
          <w:rFonts w:ascii="Times New Roman" w:hAnsi="Times New Roman"/>
          <w:b w:val="false"/>
          <w:color w:val="000000"/>
          <w:sz w:val="20"/>
        </w:rPr>
        <w:t xml:space="preserve">”); provided, however (A) that if, as of the Termination Date, all conditions set forth in </w:t>
      </w:r>
      <w:r>
        <w:rPr>
          <w:rFonts w:ascii="Times New Roman" w:hAnsi="Times New Roman"/>
          <w:b w:val="false"/>
          <w:color w:val="000000"/>
          <w:sz w:val="20"/>
          <w:u w:val="single"/>
        </w:rPr>
        <w:t xml:space="preserve">Article VII </w:t>
      </w:r>
      <w:r>
        <w:rPr>
          <w:rFonts w:ascii="Times New Roman" w:hAnsi="Times New Roman"/>
          <w:b w:val="false"/>
          <w:color w:val="000000"/>
          <w:sz w:val="20"/>
        </w:rPr>
        <w:t xml:space="preserve">other than the conditions set forth in </w:t>
      </w:r>
      <w:r>
        <w:rPr>
          <w:rFonts w:ascii="Times New Roman" w:hAnsi="Times New Roman"/>
          <w:b w:val="false"/>
          <w:color w:val="000000"/>
          <w:sz w:val="20"/>
          <w:u w:val="single"/>
        </w:rPr>
        <w:t>Section 7.1(e)</w:t>
      </w:r>
      <w:r>
        <w:rPr>
          <w:rFonts w:ascii="Times New Roman" w:hAnsi="Times New Roman"/>
          <w:b w:val="false"/>
          <w:color w:val="000000"/>
          <w:sz w:val="20"/>
        </w:rPr>
        <w:t xml:space="preserve"> or </w:t>
      </w:r>
      <w:r>
        <w:rPr>
          <w:rFonts w:ascii="Times New Roman" w:hAnsi="Times New Roman"/>
          <w:b w:val="false"/>
          <w:color w:val="000000"/>
          <w:sz w:val="20"/>
          <w:u w:val="single"/>
        </w:rPr>
        <w:t>Section 7.1(a)</w:t>
      </w:r>
      <w:r>
        <w:rPr>
          <w:rFonts w:ascii="Times New Roman" w:hAnsi="Times New Roman"/>
          <w:b w:val="false"/>
          <w:color w:val="000000"/>
          <w:sz w:val="20"/>
        </w:rPr>
        <w:t xml:space="preserve"> (to the extent related to</w:t>
      </w:r>
      <w:r>
        <w:rPr>
          <w:rFonts w:ascii="Times New Roman" w:hAnsi="Times New Roman"/>
          <w:b w:val="false"/>
          <w:color w:val="000000"/>
          <w:sz w:val="20"/>
          <w:u w:val="single"/>
        </w:rPr>
        <w:t xml:space="preserve"> Section 7.1(e)</w:t>
      </w:r>
      <w:r>
        <w:rPr>
          <w:rFonts w:ascii="Times New Roman" w:hAnsi="Times New Roman"/>
          <w:b w:val="false"/>
          <w:color w:val="000000"/>
          <w:sz w:val="20"/>
        </w:rPr>
        <w:t xml:space="preserve">) shall have been satisfied or shall be capable of being satisfied on the Closing Date were the Closing to happen on such date, then the Termination Date shall automatically be extended for an additional 60 days, which date thereafter shall be deemed to be the Termination Date;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further</w:t>
      </w:r>
      <w:r>
        <w:rPr>
          <w:rFonts w:ascii="Times New Roman" w:hAnsi="Times New Roman"/>
          <w:b w:val="false"/>
          <w:color w:val="000000"/>
          <w:sz w:val="20"/>
        </w:rPr>
        <w:t xml:space="preserve">, that the right to terminate this Agreement pursuant to this </w:t>
      </w:r>
      <w:r>
        <w:rPr>
          <w:rFonts w:ascii="Times New Roman" w:hAnsi="Times New Roman"/>
          <w:b w:val="false"/>
          <w:color w:val="000000"/>
          <w:sz w:val="20"/>
          <w:u w:val="single"/>
        </w:rPr>
        <w:t>Section 8.1(b)</w:t>
      </w:r>
      <w:r>
        <w:rPr>
          <w:rFonts w:ascii="Times New Roman" w:hAnsi="Times New Roman"/>
          <w:b w:val="false"/>
          <w:color w:val="000000"/>
          <w:sz w:val="20"/>
        </w:rPr>
        <w:t xml:space="preserve"> will not be available to any party hereto that has breached in any material respect any provision of this Agreement in any manner that shall have contributed materially to the failure of the Closing to occur on or before the Termination Date (it being understood that, for purposes of this Agreement, a breach of this Agreement by (x) Merger Sub shall be deemed to be a breach by Parent and (y) the Company Operating Partnership shall be deemed to be a breach by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By written notice of either the Company or Parent, 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right to terminate this Agreement pursuant to this </w:t>
      </w:r>
      <w:r>
        <w:rPr>
          <w:rFonts w:ascii="Times New Roman" w:hAnsi="Times New Roman"/>
          <w:b w:val="false"/>
          <w:color w:val="000000"/>
          <w:sz w:val="20"/>
          <w:u w:val="single"/>
        </w:rPr>
        <w:t>Section 8.1(c)</w:t>
      </w:r>
      <w:r>
        <w:rPr>
          <w:rFonts w:ascii="Times New Roman" w:hAnsi="Times New Roman"/>
          <w:b w:val="false"/>
          <w:color w:val="000000"/>
          <w:sz w:val="20"/>
        </w:rPr>
        <w:t xml:space="preserve"> will not be available to the Company or Parent (x) unless such party hereto has used its best efforts to remove such Order and (y) if such party hereto has breached in any material respect any provision of this Agreement in any manner that has contributed materially to the issuance of such Order;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By written notice of the Company:</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prior to the Closing, if Parent, Merger Sub or Parent Manager shall have breached or failed to perform in any material respect any of their respective representations, warranties, covenants or other agreements contained in this Agreement, which breach or failure to perform (A) would give rise to the failure of a condition set forth in </w:t>
      </w:r>
      <w:r>
        <w:rPr>
          <w:rFonts w:ascii="Times New Roman" w:hAnsi="Times New Roman"/>
          <w:b w:val="false"/>
          <w:color w:val="000000"/>
          <w:sz w:val="20"/>
          <w:u w:val="single"/>
        </w:rPr>
        <w:t>Section 7.1</w:t>
      </w:r>
      <w:r>
        <w:rPr>
          <w:rFonts w:ascii="Times New Roman" w:hAnsi="Times New Roman"/>
          <w:b w:val="false"/>
          <w:color w:val="000000"/>
          <w:sz w:val="20"/>
        </w:rPr>
        <w:t xml:space="preserve"> or </w:t>
      </w:r>
      <w:r>
        <w:rPr>
          <w:rFonts w:ascii="Times New Roman" w:hAnsi="Times New Roman"/>
          <w:b w:val="false"/>
          <w:color w:val="000000"/>
          <w:sz w:val="20"/>
          <w:u w:val="single"/>
        </w:rPr>
        <w:t>Section 7.3</w:t>
      </w:r>
      <w:r>
        <w:rPr>
          <w:rFonts w:ascii="Times New Roman" w:hAnsi="Times New Roman"/>
          <w:b w:val="false"/>
          <w:color w:val="000000"/>
          <w:sz w:val="20"/>
        </w:rPr>
        <w:t xml:space="preserve"> to be satisfied and (B) is incapable of being cured or, if curable, has not been cured, by Parent, Merger Sub or Parent Manager, as applicable, prior to the earlier of the (x) Termination Date and (y) thirtieth (30th) Business Day after its receipt of written notice thereof from the Company;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the Company and the Company Operating Partnership shall not have breached or failed to perform in any material respect any of their respective representations, warranties, covenants or other agreements contained in this Agreement so as to cause the closing conditions in </w:t>
      </w:r>
      <w:r>
        <w:rPr>
          <w:rFonts w:ascii="Times New Roman" w:hAnsi="Times New Roman"/>
          <w:b w:val="false"/>
          <w:color w:val="000000"/>
          <w:sz w:val="20"/>
          <w:u w:val="single"/>
        </w:rPr>
        <w:t>Section 7.1</w:t>
      </w:r>
      <w:r>
        <w:rPr>
          <w:rFonts w:ascii="Times New Roman" w:hAnsi="Times New Roman"/>
          <w:b w:val="false"/>
          <w:color w:val="000000"/>
          <w:sz w:val="20"/>
        </w:rPr>
        <w:t xml:space="preserve"> and </w:t>
      </w:r>
      <w:r>
        <w:rPr>
          <w:rFonts w:ascii="Times New Roman" w:hAnsi="Times New Roman"/>
          <w:b w:val="false"/>
          <w:color w:val="000000"/>
          <w:sz w:val="20"/>
          <w:u w:val="single"/>
        </w:rPr>
        <w:t>Section 7.2</w:t>
      </w:r>
      <w:r>
        <w:rPr>
          <w:rFonts w:ascii="Times New Roman" w:hAnsi="Times New Roman"/>
          <w:b w:val="false"/>
          <w:color w:val="000000"/>
          <w:sz w:val="20"/>
        </w:rPr>
        <w:t xml:space="preserve"> not to be satisfied;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prior to obtaining the Company Stockholder Approval, in accordance with, and subject to compliance with the terms and conditions of, </w:t>
      </w:r>
      <w:r>
        <w:rPr>
          <w:rFonts w:ascii="Times New Roman" w:hAnsi="Times New Roman"/>
          <w:b w:val="false"/>
          <w:color w:val="000000"/>
          <w:sz w:val="20"/>
          <w:u w:val="single"/>
        </w:rPr>
        <w:t>Section 6.5(d)</w:t>
      </w:r>
      <w:r>
        <w:rPr>
          <w:rFonts w:ascii="Times New Roman" w:hAnsi="Times New Roman"/>
          <w:b w:val="false"/>
          <w:color w:val="000000"/>
          <w:sz w:val="20"/>
        </w:rPr>
        <w:t xml:space="preserve">, in order to enter into a definitive agreement providing for a Company Superior Proposal (with such definitive agreement being entered into substantially concurrently with the termination of this Agreement);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concurrently with such termination, the Company pays the Company Termination Fee pursuant to </w:t>
      </w:r>
      <w:r>
        <w:rPr>
          <w:rFonts w:ascii="Times New Roman" w:hAnsi="Times New Roman"/>
          <w:b w:val="false"/>
          <w:color w:val="000000"/>
          <w:sz w:val="20"/>
          <w:u w:val="single"/>
        </w:rPr>
        <w:t>Section 8.3(b)(i)</w:t>
      </w:r>
      <w:r>
        <w:rPr>
          <w:rFonts w:ascii="Times New Roman" w:hAnsi="Times New Roman"/>
          <w:b w:val="false"/>
          <w:color w:val="000000"/>
          <w:sz w:val="20"/>
        </w:rPr>
        <w:t>;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(iii)        prior to obtaining the Parent Stockholder Approval, if (A) a Parent Change of Recommendation shall have occurred or (B) Parent has materially breached </w:t>
      </w:r>
      <w:r>
        <w:rPr>
          <w:rFonts w:ascii="Times New Roman" w:hAnsi="Times New Roman"/>
          <w:b w:val="false"/>
          <w:color w:val="000000"/>
          <w:sz w:val="20"/>
          <w:u w:val="single"/>
        </w:rPr>
        <w:t>Section 6.6(a)</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(e)         By written notice of Parent: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prior to the Closing, if the Company or the Company Operating Partnership shall have breached or failed to perform in any material respect any of their respective representations, warranties, covenants or other agreements contained in this Agreement, which breach or failure to perform (A) would give rise to the failure of a condition set forth in </w:t>
      </w:r>
      <w:r>
        <w:rPr>
          <w:rFonts w:ascii="Times New Roman" w:hAnsi="Times New Roman"/>
          <w:b w:val="false"/>
          <w:color w:val="000000"/>
          <w:sz w:val="20"/>
          <w:u w:val="single"/>
        </w:rPr>
        <w:t>Section 7.1</w:t>
      </w:r>
      <w:r>
        <w:rPr>
          <w:rFonts w:ascii="Times New Roman" w:hAnsi="Times New Roman"/>
          <w:b w:val="false"/>
          <w:color w:val="000000"/>
          <w:sz w:val="20"/>
        </w:rPr>
        <w:t xml:space="preserve"> or </w:t>
      </w:r>
      <w:r>
        <w:rPr>
          <w:rFonts w:ascii="Times New Roman" w:hAnsi="Times New Roman"/>
          <w:b w:val="false"/>
          <w:color w:val="000000"/>
          <w:sz w:val="20"/>
          <w:u w:val="single"/>
        </w:rPr>
        <w:t>Section 7.2</w:t>
      </w:r>
      <w:r>
        <w:rPr>
          <w:rFonts w:ascii="Times New Roman" w:hAnsi="Times New Roman"/>
          <w:b w:val="false"/>
          <w:color w:val="000000"/>
          <w:sz w:val="20"/>
        </w:rPr>
        <w:t xml:space="preserve"> to be satisfied, and (B) is incapable of being cured or, if curable, has not been cured, by the Company or the Company Operating Partnership prior to the earlier of the (x) Termination Date and (y) thirtieth (30th) Business Day after its receipt of written notice thereof from Parent;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Parent and Merger Sub shall not have breached or failed to perform in any material respect any of their respective representations, warranties, covenants or other agreements contained in this Agreement so as to cause the closing conditions in </w:t>
      </w:r>
      <w:r>
        <w:rPr>
          <w:rFonts w:ascii="Times New Roman" w:hAnsi="Times New Roman"/>
          <w:b w:val="false"/>
          <w:color w:val="000000"/>
          <w:sz w:val="20"/>
          <w:u w:val="single"/>
        </w:rPr>
        <w:t>Sections 7.1</w:t>
      </w:r>
      <w:r>
        <w:rPr>
          <w:rFonts w:ascii="Times New Roman" w:hAnsi="Times New Roman"/>
          <w:b w:val="false"/>
          <w:color w:val="000000"/>
          <w:sz w:val="20"/>
        </w:rPr>
        <w:t xml:space="preserve"> and </w:t>
      </w:r>
      <w:r>
        <w:rPr>
          <w:rFonts w:ascii="Times New Roman" w:hAnsi="Times New Roman"/>
          <w:b w:val="false"/>
          <w:color w:val="000000"/>
          <w:sz w:val="20"/>
          <w:u w:val="single"/>
        </w:rPr>
        <w:t>7.3</w:t>
      </w:r>
      <w:r>
        <w:rPr>
          <w:rFonts w:ascii="Times New Roman" w:hAnsi="Times New Roman"/>
          <w:b w:val="false"/>
          <w:color w:val="000000"/>
          <w:sz w:val="20"/>
        </w:rPr>
        <w:t xml:space="preserve"> not to be satisfied;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prior to obtaining the Parent Stockholder Approval, in accordance with, and subject to compliance with the terms and conditions of, </w:t>
      </w:r>
      <w:r>
        <w:rPr>
          <w:rFonts w:ascii="Times New Roman" w:hAnsi="Times New Roman"/>
          <w:b w:val="false"/>
          <w:color w:val="000000"/>
          <w:sz w:val="20"/>
          <w:u w:val="single"/>
        </w:rPr>
        <w:t>Section 6.6(d)</w:t>
      </w:r>
      <w:r>
        <w:rPr>
          <w:rFonts w:ascii="Times New Roman" w:hAnsi="Times New Roman"/>
          <w:b w:val="false"/>
          <w:color w:val="000000"/>
          <w:sz w:val="20"/>
        </w:rPr>
        <w:t xml:space="preserve">, in order to enter into a definitive agreement providing for a Parent Superior Proposal (with such definitive agreement being entered into substantially concurrently with the termination of this Agreement);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concurrently with such termination, Parent pays the Parent Termination Fee pursuant to </w:t>
      </w:r>
      <w:r>
        <w:rPr>
          <w:rFonts w:ascii="Times New Roman" w:hAnsi="Times New Roman"/>
          <w:b w:val="false"/>
          <w:color w:val="000000"/>
          <w:sz w:val="20"/>
          <w:u w:val="single"/>
        </w:rPr>
        <w:t>Section 8.3(c)(i)</w:t>
      </w:r>
      <w:r>
        <w:rPr>
          <w:rFonts w:ascii="Times New Roman" w:hAnsi="Times New Roman"/>
          <w:b w:val="false"/>
          <w:color w:val="000000"/>
          <w:sz w:val="20"/>
        </w:rPr>
        <w:t>;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(iii)        prior to obtaining the Company Stockholder Approval, if (A) a Company Change of Recommendation shall have occurred or (B) the Company has materially breached </w:t>
      </w:r>
      <w:r>
        <w:rPr>
          <w:rFonts w:ascii="Times New Roman" w:hAnsi="Times New Roman"/>
          <w:b w:val="false"/>
          <w:color w:val="000000"/>
          <w:sz w:val="20"/>
          <w:u w:val="single"/>
        </w:rPr>
        <w:t>Section 6.5(a)</w:t>
      </w:r>
      <w:r>
        <w:rPr>
          <w:rFonts w:ascii="Times New Roman" w:hAnsi="Times New Roman"/>
          <w:b w:val="false"/>
          <w:color w:val="000000"/>
          <w:sz w:val="20"/>
        </w:rPr>
        <w:t>; or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(f)          By written notice of either the Company or Parent: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          if the Company Stockholder Approval shall not have been obtained at the Company Stockholders Meeting duly convened therefor (including any adjournments or postponements thereof permitted by this Agreement) at which a vote on the approval of this Agreement was taken;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(ii)         if the Parent Stockholder Approval shall not have been obtained at the Parent Stockholders Meeting duly convened therefor (including any adjournments or postponements thereof permitted by this Agreement) at which a vote on the approval of the Parent Common Stock Issuance was taken.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8.2.        </w:t>
      </w:r>
      <w:r>
        <w:rPr>
          <w:rFonts w:ascii="Times New Roman" w:hAnsi="Times New Roman"/>
          <w:b w:val="false"/>
          <w:color w:val="000000"/>
          <w:sz w:val="20"/>
          <w:u w:val="single"/>
        </w:rPr>
        <w:t>Expenses; Transfer Taxes</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Except as otherwise specifically provided herein, each party hereto shall bear its own expenses in connection with this Agreement and the Transactions, including the expenses associated with the printing and mailing of its proxy materials to its stockholders in connection with this Agreement and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Except as otherwise provided in </w:t>
      </w:r>
      <w:r>
        <w:rPr>
          <w:rFonts w:ascii="Times New Roman" w:hAnsi="Times New Roman"/>
          <w:b w:val="false"/>
          <w:color w:val="000000"/>
          <w:sz w:val="20"/>
          <w:u w:val="single"/>
        </w:rPr>
        <w:t>Section 3.4(b)</w:t>
      </w:r>
      <w:r>
        <w:rPr>
          <w:rFonts w:ascii="Times New Roman" w:hAnsi="Times New Roman"/>
          <w:b w:val="false"/>
          <w:color w:val="000000"/>
          <w:sz w:val="20"/>
        </w:rPr>
        <w:t>, all stock transfer, real estate transfer, documentary, sales, use, stamp, property, conveyancing, value added, goods and services, registration and other such Taxes (including interest, penalties and additions to any such Taxes) (“</w:t>
      </w:r>
      <w:r>
        <w:rPr>
          <w:rFonts w:ascii="Times New Roman" w:hAnsi="Times New Roman"/>
          <w:b w:val="false"/>
          <w:color w:val="000000"/>
          <w:sz w:val="20"/>
          <w:u w:val="single"/>
        </w:rPr>
        <w:t>Transfer Taxes</w:t>
      </w:r>
      <w:r>
        <w:rPr>
          <w:rFonts w:ascii="Times New Roman" w:hAnsi="Times New Roman"/>
          <w:b w:val="false"/>
          <w:color w:val="000000"/>
          <w:sz w:val="20"/>
        </w:rPr>
        <w:t xml:space="preserve">”), provided, for the avoidance of doubt, that Transfer Taxes shall not include any income, franchise or similar Taxes arising from the Transactions, shall be borne and paid by Parent, Merger Sub or the Surviving Entity when due, and expressly shall not be a liability of holders of Company Common Stock, whether levied on Parent or any other Person, and Parent, Merger Sub or the Surviving Entity shall file any necessary Tax Returns and other documentation with respect to such Transfer Taxes. For the avoidance of doubt, the payment of Merger Consideration pursuant to </w:t>
      </w:r>
      <w:r>
        <w:rPr>
          <w:rFonts w:ascii="Times New Roman" w:hAnsi="Times New Roman"/>
          <w:b w:val="false"/>
          <w:color w:val="000000"/>
          <w:sz w:val="20"/>
          <w:u w:val="single"/>
        </w:rPr>
        <w:t>Article III</w:t>
      </w:r>
      <w:r>
        <w:rPr>
          <w:rFonts w:ascii="Times New Roman" w:hAnsi="Times New Roman"/>
          <w:b w:val="false"/>
          <w:color w:val="000000"/>
          <w:sz w:val="20"/>
        </w:rPr>
        <w:t xml:space="preserve"> shall not be construed as discharging any obligation pursuant to this </w:t>
      </w:r>
      <w:r>
        <w:rPr>
          <w:rFonts w:ascii="Times New Roman" w:hAnsi="Times New Roman"/>
          <w:b w:val="false"/>
          <w:color w:val="000000"/>
          <w:sz w:val="20"/>
          <w:u w:val="single"/>
        </w:rPr>
        <w:t>Section 8.2(b)</w:t>
      </w:r>
      <w:r>
        <w:rPr>
          <w:rFonts w:ascii="Times New Roman" w:hAnsi="Times New Roman"/>
          <w:b w:val="false"/>
          <w:color w:val="000000"/>
          <w:sz w:val="20"/>
        </w:rPr>
        <w:t xml:space="preserve"> of Parent, Merger Sub or the Surviving Entity with respect to Transfer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8.3.        </w:t>
      </w:r>
      <w:r>
        <w:rPr>
          <w:rFonts w:ascii="Times New Roman" w:hAnsi="Times New Roman"/>
          <w:b w:val="false"/>
          <w:color w:val="000000"/>
          <w:sz w:val="20"/>
          <w:u w:val="single"/>
        </w:rPr>
        <w:t>Effect of Termination</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(a)         In the event of termination of this Agreement by either the Company or Parent pursuant to </w:t>
      </w:r>
      <w:r>
        <w:rPr>
          <w:rFonts w:ascii="Times New Roman" w:hAnsi="Times New Roman"/>
          <w:b w:val="false"/>
          <w:color w:val="000000"/>
          <w:sz w:val="20"/>
          <w:u w:val="single"/>
        </w:rPr>
        <w:t>Section 8.1</w:t>
      </w:r>
      <w:r>
        <w:rPr>
          <w:rFonts w:ascii="Times New Roman" w:hAnsi="Times New Roman"/>
          <w:b w:val="false"/>
          <w:color w:val="000000"/>
          <w:sz w:val="20"/>
        </w:rPr>
        <w:t xml:space="preserve">, this Agreement will forthwith become void and have no further force or effect, without any Liability on the part of Parent, Merger Sub, Parent Manager, the Company, the Company Operating Partnership or any of their respective Subsidiaries, except as provided in this </w:t>
      </w:r>
      <w:r>
        <w:rPr>
          <w:rFonts w:ascii="Times New Roman" w:hAnsi="Times New Roman"/>
          <w:b w:val="false"/>
          <w:color w:val="000000"/>
          <w:sz w:val="20"/>
          <w:u w:val="single"/>
        </w:rPr>
        <w:t>Section 8.3</w:t>
      </w:r>
      <w:r>
        <w:rPr>
          <w:rFonts w:ascii="Times New Roman" w:hAnsi="Times New Roman"/>
          <w:b w:val="false"/>
          <w:color w:val="000000"/>
          <w:sz w:val="20"/>
        </w:rPr>
        <w:t xml:space="preserve">, </w:t>
      </w:r>
      <w:r>
        <w:rPr>
          <w:rFonts w:ascii="Times New Roman" w:hAnsi="Times New Roman"/>
          <w:b w:val="false"/>
          <w:color w:val="000000"/>
          <w:sz w:val="20"/>
          <w:u w:val="single"/>
        </w:rPr>
        <w:t>Section 6.1(c)</w:t>
      </w:r>
      <w:r>
        <w:rPr>
          <w:rFonts w:ascii="Times New Roman" w:hAnsi="Times New Roman"/>
          <w:b w:val="false"/>
          <w:color w:val="000000"/>
          <w:sz w:val="20"/>
        </w:rPr>
        <w:t xml:space="preserve">, </w:t>
      </w:r>
      <w:r>
        <w:rPr>
          <w:rFonts w:ascii="Times New Roman" w:hAnsi="Times New Roman"/>
          <w:b w:val="false"/>
          <w:color w:val="000000"/>
          <w:sz w:val="20"/>
          <w:u w:val="single"/>
        </w:rPr>
        <w:t>Section 6.10</w:t>
      </w:r>
      <w:r>
        <w:rPr>
          <w:rFonts w:ascii="Times New Roman" w:hAnsi="Times New Roman"/>
          <w:b w:val="false"/>
          <w:color w:val="000000"/>
          <w:sz w:val="20"/>
        </w:rPr>
        <w:t xml:space="preserve">, </w:t>
      </w:r>
      <w:r>
        <w:rPr>
          <w:rFonts w:ascii="Times New Roman" w:hAnsi="Times New Roman"/>
          <w:b w:val="false"/>
          <w:color w:val="000000"/>
          <w:sz w:val="20"/>
          <w:u w:val="single"/>
        </w:rPr>
        <w:t>Section 8.2</w:t>
      </w:r>
      <w:r>
        <w:rPr>
          <w:rFonts w:ascii="Times New Roman" w:hAnsi="Times New Roman"/>
          <w:b w:val="false"/>
          <w:color w:val="000000"/>
          <w:sz w:val="20"/>
        </w:rPr>
        <w:t xml:space="preserve">, and </w:t>
      </w:r>
      <w:r>
        <w:rPr>
          <w:rFonts w:ascii="Times New Roman" w:hAnsi="Times New Roman"/>
          <w:b w:val="false"/>
          <w:color w:val="000000"/>
          <w:sz w:val="20"/>
          <w:u w:val="single"/>
        </w:rPr>
        <w:t>Article IX</w:t>
      </w:r>
      <w:r>
        <w:rPr>
          <w:rFonts w:ascii="Times New Roman" w:hAnsi="Times New Roman"/>
          <w:b w:val="false"/>
          <w:color w:val="000000"/>
          <w:sz w:val="20"/>
        </w:rPr>
        <w:t xml:space="preserve">, which will survive any termination hereof;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subject to this </w:t>
      </w:r>
      <w:r>
        <w:rPr>
          <w:rFonts w:ascii="Times New Roman" w:hAnsi="Times New Roman"/>
          <w:b w:val="false"/>
          <w:color w:val="000000"/>
          <w:sz w:val="20"/>
          <w:u w:val="single"/>
        </w:rPr>
        <w:t>Section 8.3</w:t>
      </w:r>
      <w:r>
        <w:rPr>
          <w:rFonts w:ascii="Times New Roman" w:hAnsi="Times New Roman"/>
          <w:b w:val="false"/>
          <w:color w:val="000000"/>
          <w:sz w:val="20"/>
        </w:rPr>
        <w:t>, none of Parent, Merger Sub, Parent Manager, the Company or the Company Operating Partnership shall be relieved or released from any Liabilities arising out of its intentional fraud or Willful Breach, and the aggrieved party will be entitled to all rights and remedies available at law or in equity (including, in the case of a Willful Breach, the loss to the applicable party or the holders of its common stock of the economic benefits of the Mergers, it being understood that each party shall be entitled to pursue such monetary damages on behalf of such holders of common stock in its sole and absolute discretion, and any amounts recovered in connection therewith shall be paid to such party).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(b)         In the event that: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this Agreement is terminated (x) by the Company pursuant to </w:t>
      </w:r>
      <w:r>
        <w:rPr>
          <w:rFonts w:ascii="Times New Roman" w:hAnsi="Times New Roman"/>
          <w:b w:val="false"/>
          <w:color w:val="000000"/>
          <w:sz w:val="20"/>
          <w:u w:val="single"/>
        </w:rPr>
        <w:t>Section 8.1(d)(ii)</w:t>
      </w:r>
      <w:r>
        <w:rPr>
          <w:rFonts w:ascii="Times New Roman" w:hAnsi="Times New Roman"/>
          <w:b w:val="false"/>
          <w:color w:val="000000"/>
          <w:sz w:val="20"/>
        </w:rPr>
        <w:t xml:space="preserve"> (Company Superior Proposal) or (y) by Parent pursuant to </w:t>
      </w:r>
      <w:r>
        <w:rPr>
          <w:rFonts w:ascii="Times New Roman" w:hAnsi="Times New Roman"/>
          <w:b w:val="false"/>
          <w:color w:val="000000"/>
          <w:sz w:val="20"/>
          <w:u w:val="single"/>
        </w:rPr>
        <w:t>Section 8.1(e)(iii)</w:t>
      </w:r>
      <w:r>
        <w:rPr>
          <w:rFonts w:ascii="Times New Roman" w:hAnsi="Times New Roman"/>
          <w:b w:val="false"/>
          <w:color w:val="000000"/>
          <w:sz w:val="20"/>
        </w:rPr>
        <w:t xml:space="preserve"> (Company Change of Recommendation), then the Company shall pay the Company Termination Fee to Parent, at or prior to the time of termination in the case of termination by the Company, or as promptly as reasonably practicable (and, in any event, within two Business Days following such termination) in the case of termination by Parent, in each case, payable by wire transfer of immediately available funds to an account designated in writing by Parent; or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(A) this Agreement is terminated by (x) either Parent or the Company pursuant to </w:t>
      </w:r>
      <w:r>
        <w:rPr>
          <w:rFonts w:ascii="Times New Roman" w:hAnsi="Times New Roman"/>
          <w:b w:val="false"/>
          <w:color w:val="000000"/>
          <w:sz w:val="20"/>
          <w:u w:val="single"/>
        </w:rPr>
        <w:t>Section 8.1(b)</w:t>
      </w:r>
      <w:r>
        <w:rPr>
          <w:rFonts w:ascii="Times New Roman" w:hAnsi="Times New Roman"/>
          <w:b w:val="false"/>
          <w:color w:val="000000"/>
          <w:sz w:val="20"/>
        </w:rPr>
        <w:t xml:space="preserve"> (Termination Date), </w:t>
      </w:r>
      <w:r>
        <w:rPr>
          <w:rFonts w:ascii="Times New Roman" w:hAnsi="Times New Roman"/>
          <w:b w:val="false"/>
          <w:color w:val="000000"/>
          <w:sz w:val="20"/>
          <w:u w:val="single"/>
        </w:rPr>
        <w:t>Section 8.1(f)(i)</w:t>
      </w:r>
      <w:r>
        <w:rPr>
          <w:rFonts w:ascii="Times New Roman" w:hAnsi="Times New Roman"/>
          <w:b w:val="false"/>
          <w:color w:val="000000"/>
          <w:sz w:val="20"/>
        </w:rPr>
        <w:t xml:space="preserve"> (Company Stockholders Meeting) or (y) by Parent pursuant to </w:t>
      </w:r>
      <w:r>
        <w:rPr>
          <w:rFonts w:ascii="Times New Roman" w:hAnsi="Times New Roman"/>
          <w:b w:val="false"/>
          <w:color w:val="000000"/>
          <w:sz w:val="20"/>
          <w:u w:val="single"/>
        </w:rPr>
        <w:t>Section 8.1(e)(i)</w:t>
      </w:r>
      <w:r>
        <w:rPr>
          <w:rFonts w:ascii="Times New Roman" w:hAnsi="Times New Roman"/>
          <w:b w:val="false"/>
          <w:color w:val="000000"/>
          <w:sz w:val="20"/>
        </w:rPr>
        <w:t xml:space="preserve"> (Company Breach); (B) a </w:t>
      </w:r>
      <w:r>
        <w:rPr>
          <w:rFonts w:ascii="Times New Roman" w:hAnsi="Times New Roman"/>
          <w:b w:val="false"/>
          <w:i/>
          <w:color w:val="000000"/>
          <w:sz w:val="20"/>
        </w:rPr>
        <w:t>bona fide</w:t>
      </w:r>
      <w:r>
        <w:rPr>
          <w:rFonts w:ascii="Times New Roman" w:hAnsi="Times New Roman"/>
          <w:b w:val="false"/>
          <w:color w:val="000000"/>
          <w:sz w:val="20"/>
        </w:rPr>
        <w:t xml:space="preserve"> written Company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the Company or any of its Subsidiaries completes, or enters into a definitive agreement with respect to and thereafter completes (regardless of whether such completion occurs within such twelve (12)-month period) a Company Takeover Proposal, then the Company shall pay to Parent the Company Termination Fee, such payment to be made promptly upon completion of such Company Takeover Proposal, payable by wire transfer of immediately available funds to an account designated in writing by Parent;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for purposes of this </w:t>
      </w:r>
      <w:r>
        <w:rPr>
          <w:rFonts w:ascii="Times New Roman" w:hAnsi="Times New Roman"/>
          <w:b w:val="false"/>
          <w:color w:val="000000"/>
          <w:sz w:val="20"/>
          <w:u w:val="single"/>
        </w:rPr>
        <w:t>Section 8.3(b)(ii)</w:t>
      </w:r>
      <w:r>
        <w:rPr>
          <w:rFonts w:ascii="Times New Roman" w:hAnsi="Times New Roman"/>
          <w:b w:val="false"/>
          <w:color w:val="000000"/>
          <w:sz w:val="20"/>
        </w:rPr>
        <w:t>, all references in the definition of Company Takeover Proposal to twenty percent (20%) or eighty percent (80%) shall be deemed references to fifty percent (50%).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(c)          In the event that: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this Agreement is terminated (x) by Parent pursuant to </w:t>
      </w:r>
      <w:r>
        <w:rPr>
          <w:rFonts w:ascii="Times New Roman" w:hAnsi="Times New Roman"/>
          <w:b w:val="false"/>
          <w:color w:val="000000"/>
          <w:sz w:val="20"/>
          <w:u w:val="single"/>
        </w:rPr>
        <w:t>Section 8.1(e)(ii)</w:t>
      </w:r>
      <w:r>
        <w:rPr>
          <w:rFonts w:ascii="Times New Roman" w:hAnsi="Times New Roman"/>
          <w:b w:val="false"/>
          <w:color w:val="000000"/>
          <w:sz w:val="20"/>
        </w:rPr>
        <w:t xml:space="preserve"> (Parent Superior Proposal) or (y) by the Company pursuant to </w:t>
      </w:r>
      <w:r>
        <w:rPr>
          <w:rFonts w:ascii="Times New Roman" w:hAnsi="Times New Roman"/>
          <w:b w:val="false"/>
          <w:color w:val="000000"/>
          <w:sz w:val="20"/>
          <w:u w:val="single"/>
        </w:rPr>
        <w:t>Section 8.1(f)(ii)</w:t>
      </w:r>
      <w:r>
        <w:rPr>
          <w:rFonts w:ascii="Times New Roman" w:hAnsi="Times New Roman"/>
          <w:b w:val="false"/>
          <w:color w:val="000000"/>
          <w:sz w:val="20"/>
        </w:rPr>
        <w:t xml:space="preserve"> (Parent Change of Recommendation), then Parent shall pay the Parent Termination Fee to the Company, at or prior to the time of termination in the case of termination by Parent, or as promptly as reasonably practicable (and, in any event, within two Business Days following such termination) in the case of termination by the Company, in each case, payable by wire transfer of immediately available funds to an account designated in writing by the Company; or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(A) this Agreement is terminated by (x) either the Company or Parent pursuant to </w:t>
      </w:r>
      <w:r>
        <w:rPr>
          <w:rFonts w:ascii="Times New Roman" w:hAnsi="Times New Roman"/>
          <w:b w:val="false"/>
          <w:color w:val="000000"/>
          <w:sz w:val="20"/>
          <w:u w:val="single"/>
        </w:rPr>
        <w:t>Section 8.1(b)</w:t>
      </w:r>
      <w:r>
        <w:rPr>
          <w:rFonts w:ascii="Times New Roman" w:hAnsi="Times New Roman"/>
          <w:b w:val="false"/>
          <w:color w:val="000000"/>
          <w:sz w:val="20"/>
        </w:rPr>
        <w:t xml:space="preserve"> (Termination Date), </w:t>
      </w:r>
      <w:r>
        <w:rPr>
          <w:rFonts w:ascii="Times New Roman" w:hAnsi="Times New Roman"/>
          <w:b w:val="false"/>
          <w:color w:val="000000"/>
          <w:sz w:val="20"/>
          <w:u w:val="single"/>
        </w:rPr>
        <w:t>Section 8.1(f)(ii)</w:t>
      </w:r>
      <w:r>
        <w:rPr>
          <w:rFonts w:ascii="Times New Roman" w:hAnsi="Times New Roman"/>
          <w:b w:val="false"/>
          <w:color w:val="000000"/>
          <w:sz w:val="20"/>
        </w:rPr>
        <w:t xml:space="preserve"> (Parent Stockholders Meeting) or (y) by the Company pursuant to </w:t>
      </w:r>
      <w:r>
        <w:rPr>
          <w:rFonts w:ascii="Times New Roman" w:hAnsi="Times New Roman"/>
          <w:b w:val="false"/>
          <w:color w:val="000000"/>
          <w:sz w:val="20"/>
          <w:u w:val="single"/>
        </w:rPr>
        <w:t>Section 8.1(d)(i)</w:t>
      </w:r>
      <w:r>
        <w:rPr>
          <w:rFonts w:ascii="Times New Roman" w:hAnsi="Times New Roman"/>
          <w:b w:val="false"/>
          <w:color w:val="000000"/>
          <w:sz w:val="20"/>
        </w:rPr>
        <w:t xml:space="preserve"> (Parent Breach); (B) a bona fide written Parent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Parent or any of its Subsidiaries completes, or enters into a definitive agreement with respect to and thereafter completes (regardless of whether such completion occurs within such twelve (12)-month period) a Parent Takeover Proposal, then Parent shall pay to the Company the Parent Termination Fee, such payment to be made promptly upon completion of such Parent Takeover Proposal, payable by wire transfer of immediately available funds to an account designated in writing by the Company;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for purposes of this </w:t>
      </w:r>
      <w:r>
        <w:rPr>
          <w:rFonts w:ascii="Times New Roman" w:hAnsi="Times New Roman"/>
          <w:b w:val="false"/>
          <w:color w:val="000000"/>
          <w:sz w:val="20"/>
          <w:u w:val="single"/>
        </w:rPr>
        <w:t>Section 8.3(c)(ii)</w:t>
      </w:r>
      <w:r>
        <w:rPr>
          <w:rFonts w:ascii="Times New Roman" w:hAnsi="Times New Roman"/>
          <w:b w:val="false"/>
          <w:color w:val="000000"/>
          <w:sz w:val="20"/>
        </w:rPr>
        <w:t>, all references in the definition of Parent Takeover Proposal to twenty percent (20%) or eighty percent (80%) shall be deemed references to fifty percent (50%).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(d)         The parties hereto acknowledge and agree that in no event shall (i) the Company be required to pay the Company Termination Fee on more than one occasion or (ii) Parent be required to pay the Parent Termination Fee on more than one occasion. Each of the parties hereto acknowledges that each of the Company Termination Fee and the Parent Termination Fee is not intended to be a penalty but rather is liquidated damages in a reasonable amount that will compensate Parent, in the circumstances in which such Company Termination Fee is paid, and the Company, in the circumstances in which such Parent Termination Fee is paid, as the case may be,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(e)        Each of the parties acknowledges that the agreements contained in this </w:t>
      </w:r>
      <w:r>
        <w:rPr>
          <w:rFonts w:ascii="Times New Roman" w:hAnsi="Times New Roman"/>
          <w:b w:val="false"/>
          <w:color w:val="000000"/>
          <w:sz w:val="20"/>
          <w:u w:val="single"/>
        </w:rPr>
        <w:t>Section 8.3</w:t>
      </w:r>
      <w:r>
        <w:rPr>
          <w:rFonts w:ascii="Times New Roman" w:hAnsi="Times New Roman"/>
          <w:b w:val="false"/>
          <w:color w:val="000000"/>
          <w:sz w:val="20"/>
        </w:rPr>
        <w:t xml:space="preserve"> are an integral part of the Transactions and that, without these agreements, the parties hereto would not enter into this Agreement. Accordingly, if a party hereto fails to promptly pay any amount due pursuant to this </w:t>
      </w:r>
      <w:r>
        <w:rPr>
          <w:rFonts w:ascii="Times New Roman" w:hAnsi="Times New Roman"/>
          <w:b w:val="false"/>
          <w:color w:val="000000"/>
          <w:sz w:val="20"/>
          <w:u w:val="single"/>
        </w:rPr>
        <w:t>Section 8.3</w:t>
      </w:r>
      <w:r>
        <w:rPr>
          <w:rFonts w:ascii="Times New Roman" w:hAnsi="Times New Roman"/>
          <w:b w:val="false"/>
          <w:color w:val="000000"/>
          <w:sz w:val="20"/>
        </w:rPr>
        <w:t xml:space="preserve">, and the other party commences a suit that results in a final and non-appealable judgment against the failing party for the amounts set forth in this </w:t>
      </w:r>
      <w:r>
        <w:rPr>
          <w:rFonts w:ascii="Times New Roman" w:hAnsi="Times New Roman"/>
          <w:b w:val="false"/>
          <w:color w:val="000000"/>
          <w:sz w:val="20"/>
          <w:u w:val="single"/>
        </w:rPr>
        <w:t>Section 8.3</w:t>
      </w:r>
      <w:r>
        <w:rPr>
          <w:rFonts w:ascii="Times New Roman" w:hAnsi="Times New Roman"/>
          <w:b w:val="false"/>
          <w:color w:val="000000"/>
          <w:sz w:val="20"/>
        </w:rPr>
        <w:t xml:space="preserve"> or a portion thereof, the failing party shall pay to the other party all reasonable and documented out-of-pocket fees, costs and expenses of enforcement (including reasonable and documented out-of-pocket attorney’s fees as well as expenses incurred in connection with any such action), together with interest on such amount or such portion thereof at the prime lending rate as published in the </w:t>
      </w:r>
      <w:r>
        <w:rPr>
          <w:rFonts w:ascii="Times New Roman" w:hAnsi="Times New Roman"/>
          <w:b w:val="false"/>
          <w:i/>
          <w:color w:val="000000"/>
          <w:sz w:val="20"/>
        </w:rPr>
        <w:t>Wall Street Journal</w:t>
      </w:r>
      <w:r>
        <w:rPr>
          <w:rFonts w:ascii="Times New Roman" w:hAnsi="Times New Roman"/>
          <w:b w:val="false"/>
          <w:color w:val="000000"/>
          <w:sz w:val="20"/>
        </w:rPr>
        <w:t>, in effect on the date such payment is required to be made (together, the “</w:t>
      </w:r>
      <w:r>
        <w:rPr>
          <w:rFonts w:ascii="Times New Roman" w:hAnsi="Times New Roman"/>
          <w:b w:val="false"/>
          <w:color w:val="000000"/>
          <w:sz w:val="20"/>
          <w:u w:val="single"/>
        </w:rPr>
        <w:t>Termination Expenses and Interest</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(f)        Notwithstanding anything to the contrary in this Agreement, but subject to the provisos in </w:t>
      </w:r>
      <w:r>
        <w:rPr>
          <w:rFonts w:ascii="Times New Roman" w:hAnsi="Times New Roman"/>
          <w:b w:val="false"/>
          <w:color w:val="000000"/>
          <w:sz w:val="20"/>
          <w:u w:val="single"/>
        </w:rPr>
        <w:t>Section 8.3(a)</w:t>
      </w:r>
      <w:r>
        <w:rPr>
          <w:rFonts w:ascii="Times New Roman" w:hAnsi="Times New Roman"/>
          <w:b w:val="false"/>
          <w:color w:val="000000"/>
          <w:sz w:val="20"/>
        </w:rPr>
        <w:t xml:space="preserve"> and </w:t>
      </w:r>
      <w:r>
        <w:rPr>
          <w:rFonts w:ascii="Times New Roman" w:hAnsi="Times New Roman"/>
          <w:b w:val="false"/>
          <w:color w:val="000000"/>
          <w:sz w:val="20"/>
          <w:u w:val="single"/>
        </w:rPr>
        <w:t>Section 9.6</w:t>
      </w:r>
      <w:r>
        <w:rPr>
          <w:rFonts w:ascii="Times New Roman" w:hAnsi="Times New Roman"/>
          <w:b w:val="false"/>
          <w:color w:val="000000"/>
          <w:sz w:val="20"/>
        </w:rPr>
        <w:t xml:space="preserve">, in any circumstance in which this Agreement is terminated and Parent has the right to receive payment of the Company Termination Fee pursuant to this </w:t>
      </w:r>
      <w:r>
        <w:rPr>
          <w:rFonts w:ascii="Times New Roman" w:hAnsi="Times New Roman"/>
          <w:b w:val="false"/>
          <w:color w:val="000000"/>
          <w:sz w:val="20"/>
          <w:u w:val="single"/>
        </w:rPr>
        <w:t>Section 8.3</w:t>
      </w:r>
      <w:r>
        <w:rPr>
          <w:rFonts w:ascii="Times New Roman" w:hAnsi="Times New Roman"/>
          <w:b w:val="false"/>
          <w:color w:val="000000"/>
          <w:sz w:val="20"/>
        </w:rPr>
        <w:t xml:space="preserve">, the payment of the Company Termination Fee and, if applicable, the Termination Expenses and Interest, shall be the sole and exclusive remedy of Parent and the Merger Sub against the Company and the Company Operating Partnership pursuant to this Agreement, and upon payment of such amounts, the Company and the Company Operating Partnership shall have no further liability or obligation relating to or arising out of this Agreement (except that the Company remains obligated to pay to Parent and Merger Sub any amount due and payable pursuant to </w:t>
      </w:r>
      <w:r>
        <w:rPr>
          <w:rFonts w:ascii="Times New Roman" w:hAnsi="Times New Roman"/>
          <w:b w:val="false"/>
          <w:color w:val="000000"/>
          <w:sz w:val="20"/>
          <w:u w:val="single"/>
        </w:rPr>
        <w:t>Section 8.3(e)</w:t>
      </w:r>
      <w:r>
        <w:rPr>
          <w:rFonts w:ascii="Times New Roman" w:hAnsi="Times New Roman"/>
          <w:b w:val="false"/>
          <w:color w:val="000000"/>
          <w:sz w:val="20"/>
        </w:rPr>
        <w:t>), whether in equity or at law, in contract, in tort or otherwise.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(g)       Notwithstanding anything to the contrary in this Agreement, but subject to the provisos in </w:t>
      </w:r>
      <w:r>
        <w:rPr>
          <w:rFonts w:ascii="Times New Roman" w:hAnsi="Times New Roman"/>
          <w:b w:val="false"/>
          <w:color w:val="000000"/>
          <w:sz w:val="20"/>
          <w:u w:val="single"/>
        </w:rPr>
        <w:t>Section 8.3(a)</w:t>
      </w:r>
      <w:r>
        <w:rPr>
          <w:rFonts w:ascii="Times New Roman" w:hAnsi="Times New Roman"/>
          <w:b w:val="false"/>
          <w:color w:val="000000"/>
          <w:sz w:val="20"/>
        </w:rPr>
        <w:t xml:space="preserve"> and </w:t>
      </w:r>
      <w:r>
        <w:rPr>
          <w:rFonts w:ascii="Times New Roman" w:hAnsi="Times New Roman"/>
          <w:b w:val="false"/>
          <w:color w:val="000000"/>
          <w:sz w:val="20"/>
          <w:u w:val="single"/>
        </w:rPr>
        <w:t>Section 9.6</w:t>
      </w:r>
      <w:r>
        <w:rPr>
          <w:rFonts w:ascii="Times New Roman" w:hAnsi="Times New Roman"/>
          <w:b w:val="false"/>
          <w:color w:val="000000"/>
          <w:sz w:val="20"/>
        </w:rPr>
        <w:t xml:space="preserve">, in any circumstance in which this Agreement is terminated and the Company has the right to receive payment of the Parent Termination Fee pursuant to this </w:t>
      </w:r>
      <w:r>
        <w:rPr>
          <w:rFonts w:ascii="Times New Roman" w:hAnsi="Times New Roman"/>
          <w:b w:val="false"/>
          <w:color w:val="000000"/>
          <w:sz w:val="20"/>
          <w:u w:val="single"/>
        </w:rPr>
        <w:t>Section 8.3</w:t>
      </w:r>
      <w:r>
        <w:rPr>
          <w:rFonts w:ascii="Times New Roman" w:hAnsi="Times New Roman"/>
          <w:b w:val="false"/>
          <w:color w:val="000000"/>
          <w:sz w:val="20"/>
        </w:rPr>
        <w:t xml:space="preserve">, the payment of the Parent Termination Fee and, if applicable, the Termination Expenses and Interest, shall be the sole and exclusive remedy of the Company and the Company Operating Partnership against Parent, Merger Sub and Parent Manager pursuant to this Agreement, and upon payment of such amounts, Parent, Merger Sub and Parent Manager shall have no further liability or obligation relating to or arising out of this Agreement (except that Parent remains obligated to pay to the Company any amount due and payable pursuant to </w:t>
      </w:r>
      <w:r>
        <w:rPr>
          <w:rFonts w:ascii="Times New Roman" w:hAnsi="Times New Roman"/>
          <w:b w:val="false"/>
          <w:color w:val="000000"/>
          <w:sz w:val="20"/>
          <w:u w:val="single"/>
        </w:rPr>
        <w:t>Section 8.3(e)</w:t>
      </w:r>
      <w:r>
        <w:rPr>
          <w:rFonts w:ascii="Times New Roman" w:hAnsi="Times New Roman"/>
          <w:b w:val="false"/>
          <w:color w:val="000000"/>
          <w:sz w:val="20"/>
        </w:rPr>
        <w:t>), whether in equity or at law, in contract, in tort or otherwise.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(h)         In the event that the Company is required to pay the Company Termination Fee: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(i)         The amount payable to Parent in any tax year of Parent shall not exceed the lesser of (A) the Company Termination Fee payable to Parent; and (B) the sum of (1) the maximum amount that can be paid to Parent without causing Parent to fail to meet the requirements of Sections 856(c)(2) and 856(c)(3) of the Code for the relevant tax year, determined as if the payment of such amount did not constitute income described in Sections 856(c)(2) or 856(c)(3) of the Code (“</w:t>
      </w:r>
      <w:r>
        <w:rPr>
          <w:rFonts w:ascii="Times New Roman" w:hAnsi="Times New Roman"/>
          <w:b w:val="false"/>
          <w:color w:val="000000"/>
          <w:sz w:val="20"/>
          <w:u w:val="single"/>
        </w:rPr>
        <w:t>Parent Qualifying Income</w:t>
      </w:r>
      <w:r>
        <w:rPr>
          <w:rFonts w:ascii="Times New Roman" w:hAnsi="Times New Roman"/>
          <w:b w:val="false"/>
          <w:color w:val="000000"/>
          <w:sz w:val="20"/>
        </w:rPr>
        <w:t xml:space="preserve">”) and Parent has income from unknown sources during such year in an amount equal to one percent (1%) of its gross income which is not Parent Qualifying Income (in addition to any known or anticipated income which is not Parent Qualifying Income), in each case, as determined by Parent’s independent accountants, </w:t>
      </w:r>
      <w:r>
        <w:rPr>
          <w:rFonts w:ascii="Times New Roman" w:hAnsi="Times New Roman"/>
          <w:b w:val="false"/>
          <w:i/>
          <w:color w:val="000000"/>
          <w:sz w:val="20"/>
        </w:rPr>
        <w:t xml:space="preserve">plus </w:t>
      </w:r>
      <w:r>
        <w:rPr>
          <w:rFonts w:ascii="Times New Roman" w:hAnsi="Times New Roman"/>
          <w:b w:val="false"/>
          <w:color w:val="000000"/>
          <w:sz w:val="20"/>
        </w:rPr>
        <w:t xml:space="preserve">(2) in the event that Parent received either (x) a letter from Parent’s counsel indicating that Parent has received a ruling from the IRS as described below or (y) an opinion from Parent’s outside counsel as described below, an amount equal to the excess of the Company Termination Fee, less the amount payable under </w:t>
      </w:r>
      <w:r>
        <w:rPr>
          <w:rFonts w:ascii="Times New Roman" w:hAnsi="Times New Roman"/>
          <w:b w:val="false"/>
          <w:color w:val="000000"/>
          <w:sz w:val="20"/>
          <w:u w:val="single"/>
        </w:rPr>
        <w:t>clause (1)</w:t>
      </w:r>
      <w:r>
        <w:rPr>
          <w:rFonts w:ascii="Times New Roman" w:hAnsi="Times New Roman"/>
          <w:b w:val="false"/>
          <w:color w:val="000000"/>
          <w:sz w:val="20"/>
        </w:rPr>
        <w:t xml:space="preserve">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To secure the Company’s obligation to pay the amounts described in </w:t>
      </w:r>
      <w:r>
        <w:rPr>
          <w:rFonts w:ascii="Times New Roman" w:hAnsi="Times New Roman"/>
          <w:b w:val="false"/>
          <w:color w:val="000000"/>
          <w:sz w:val="20"/>
          <w:u w:val="single"/>
        </w:rPr>
        <w:t>Section 8.3(h)(i)</w:t>
      </w:r>
      <w:r>
        <w:rPr>
          <w:rFonts w:ascii="Times New Roman" w:hAnsi="Times New Roman"/>
          <w:b w:val="false"/>
          <w:color w:val="000000"/>
          <w:sz w:val="20"/>
        </w:rPr>
        <w:t xml:space="preserve">, the Company shall deposit into escrow the amount in cash equal to the Company Termination Fee with an escrow agent selected by the Parent on such terms (subject to this </w:t>
      </w:r>
      <w:r>
        <w:rPr>
          <w:rFonts w:ascii="Times New Roman" w:hAnsi="Times New Roman"/>
          <w:b w:val="false"/>
          <w:color w:val="000000"/>
          <w:sz w:val="20"/>
          <w:u w:val="single"/>
        </w:rPr>
        <w:t>Section 8.3</w:t>
      </w:r>
      <w:r>
        <w:rPr>
          <w:rFonts w:ascii="Times New Roman" w:hAnsi="Times New Roman"/>
          <w:b w:val="false"/>
          <w:color w:val="000000"/>
          <w:sz w:val="20"/>
        </w:rPr>
        <w:t xml:space="preserve">) as shall be mutually and reasonably agreed upon by Parent, the Company and the escrow agent. The payment or deposit into escrow of the Company Termination Fee pursuant to this </w:t>
      </w:r>
      <w:r>
        <w:rPr>
          <w:rFonts w:ascii="Times New Roman" w:hAnsi="Times New Roman"/>
          <w:b w:val="false"/>
          <w:color w:val="000000"/>
          <w:sz w:val="20"/>
          <w:u w:val="single"/>
        </w:rPr>
        <w:t>Section 8.3</w:t>
      </w:r>
      <w:r>
        <w:rPr>
          <w:rFonts w:ascii="Times New Roman" w:hAnsi="Times New Roman"/>
          <w:b w:val="false"/>
          <w:color w:val="000000"/>
          <w:sz w:val="20"/>
        </w:rPr>
        <w:t xml:space="preserve"> shall be made at the time the Company is obligated to pay the Company Termination Fee. The escrow agent shall provide that the Company Termination Fee in escrow or any portion thereof shall not be released to Parent unless the escrow agent receives any one or a combination of the following: (i) a letter from Parent’s independent accountants indicating the maximum amount that can be paid by the escrow agent to Parent without causing Parent to fail to meet the requirements of Sections 856(c)(2) or 856(c)(3) of the Code determined as if the payment of such amount did not constitute Parent Qualifying Income and Parent has income from unknown sources during such year in an amount equal to one percent (1%) of its gross income which is not Parent Qualifying Income (in addition to any known or anticipated income which is not Parent Qualifying Income), in which case the escrow agent shall release such amount to Parent; or (ii) a letter from Parent’s counsel indicating that (A) Parent has received a ruling from the IRS holding that the receipt by Parent of the Company Termination Fee would either constitute Parent Qualifying Income or would be excluded from gross income within the meaning of Sections 856(c)(2) and 856(c)(3) of the Code or (B) Parent’s outside counsel has rendered a legal opinion to the effect that the receipt by Parent of the Company Termination Fee should either constitute Parent Qualifying Income or should be excluded from gross income within the meaning of Sections 856(c)(2) and 856(c)(3) of the Code, in which case the escrow agent shall release the remainder of the Company Termination Fee to Parent. The Company agrees to amend this </w:t>
      </w:r>
      <w:r>
        <w:rPr>
          <w:rFonts w:ascii="Times New Roman" w:hAnsi="Times New Roman"/>
          <w:b w:val="false"/>
          <w:color w:val="000000"/>
          <w:sz w:val="20"/>
          <w:u w:val="single"/>
        </w:rPr>
        <w:t>Section 8.3(h)</w:t>
      </w:r>
      <w:r>
        <w:rPr>
          <w:rFonts w:ascii="Times New Roman" w:hAnsi="Times New Roman"/>
          <w:b w:val="false"/>
          <w:color w:val="000000"/>
          <w:sz w:val="20"/>
        </w:rPr>
        <w:t xml:space="preserve"> at the reasonable request of Parent in order to (1) maximize that portion of the Company Termination Fee that may be distributed to Parent hereunder without causing Parent to fail to meet the requirements of Sections 856(c)(2) and 856(c)(3) of the Code or (2) assist Parent in obtaining a favorable ruling from the IRS or legal opinion from its outside counsel, in each case, as described in this </w:t>
      </w:r>
      <w:r>
        <w:rPr>
          <w:rFonts w:ascii="Times New Roman" w:hAnsi="Times New Roman"/>
          <w:b w:val="false"/>
          <w:color w:val="000000"/>
          <w:sz w:val="20"/>
          <w:u w:val="single"/>
        </w:rPr>
        <w:t>Section 8.3(h)(ii)</w:t>
      </w:r>
      <w:r>
        <w:rPr>
          <w:rFonts w:ascii="Times New Roman" w:hAnsi="Times New Roman"/>
          <w:b w:val="false"/>
          <w:color w:val="000000"/>
          <w:sz w:val="20"/>
        </w:rPr>
        <w:t xml:space="preserve">. Any amount of the Company Termination Fee that remains unpaid as of the end of a taxable year shall be paid as soon as possible during the following taxable year, subject to the foregoing limitation of this </w:t>
      </w:r>
      <w:r>
        <w:rPr>
          <w:rFonts w:ascii="Times New Roman" w:hAnsi="Times New Roman"/>
          <w:b w:val="false"/>
          <w:color w:val="000000"/>
          <w:sz w:val="20"/>
          <w:u w:val="single"/>
        </w:rPr>
        <w:t>Section 8.3(h)(i)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          In the event that Parent is required to pay the Parent Termination Fee: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          The amount payable to the Company in any tax year of the Company shall not exceed the lesser of (A) Parent Termination Fee payable to the Company; and (B) the sum of (1) the maximum amount that can be paid to the Company without causing the Company to fail to meet the requirements of Sections 856(c)(2) and 856(c)(3) of the Code for the relevant tax year, determined as if the payment of such amount did not constitute income described in Sections 856(c)(2) or 856(c)(3) of the Code (“Company Qualifying Income”) and the Company has income from unknown sources during such year in an amount equal to one percent (1%) of its gross income which is not Company Qualifying Income (in addition to any known or anticipated income which is not Company Qualifying Income), in each case, as determined by the Company’s independent accountants, plus (2) in the event that the Company received either (x) a letter from the Company’s counsel indicating that the Company has received a ruling from the IRS as described below or (y) an opinion from the Company’s outside counsel as described below, an amount equal to the excess of Parent Termination Fee, less the amount payable under </w:t>
      </w:r>
      <w:r>
        <w:rPr>
          <w:rFonts w:ascii="Times New Roman" w:hAnsi="Times New Roman"/>
          <w:b w:val="false"/>
          <w:color w:val="000000"/>
          <w:sz w:val="20"/>
          <w:u w:val="single"/>
        </w:rPr>
        <w:t>clause (1)</w:t>
      </w:r>
      <w:r>
        <w:rPr>
          <w:rFonts w:ascii="Times New Roman" w:hAnsi="Times New Roman"/>
          <w:b w:val="false"/>
          <w:color w:val="000000"/>
          <w:sz w:val="20"/>
        </w:rPr>
        <w:t xml:space="preserve">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b w:val="false"/>
          <w:color w:val="000000"/>
          <w:sz w:val="20"/>
        </w:rPr>
      </w:pPr>
      <w:r>
        <w:rPr>
          <w:rFonts w:ascii="Times New Roman" w:hAnsi="Times New Roman"/>
          <w:b w:val="false"/>
          <w:color w:val="000000"/>
          <w:sz w:val="20"/>
        </w:rPr>
        <w:t xml:space="preserve">(ii)         To secure Parent’s obligation to pay the amounts described in </w:t>
      </w:r>
      <w:r>
        <w:rPr>
          <w:rFonts w:ascii="Times New Roman" w:hAnsi="Times New Roman"/>
          <w:b w:val="false"/>
          <w:color w:val="000000"/>
          <w:sz w:val="20"/>
          <w:u w:val="single"/>
        </w:rPr>
        <w:t>Section 8.3(h)(i)</w:t>
      </w:r>
      <w:r>
        <w:rPr>
          <w:rFonts w:ascii="Times New Roman" w:hAnsi="Times New Roman"/>
          <w:b w:val="false"/>
          <w:color w:val="000000"/>
          <w:sz w:val="20"/>
        </w:rPr>
        <w:t xml:space="preserve">, Parent shall deposit into escrow the amount in cash equal to the Parent Termination Fee with an escrow agent selected by the Company on such terms (subject to this </w:t>
      </w:r>
      <w:r>
        <w:rPr>
          <w:rFonts w:ascii="Times New Roman" w:hAnsi="Times New Roman"/>
          <w:b w:val="false"/>
          <w:color w:val="000000"/>
          <w:sz w:val="20"/>
          <w:u w:val="single"/>
        </w:rPr>
        <w:t>Section 8.3</w:t>
      </w:r>
      <w:r>
        <w:rPr>
          <w:rFonts w:ascii="Times New Roman" w:hAnsi="Times New Roman"/>
          <w:b w:val="false"/>
          <w:color w:val="000000"/>
          <w:sz w:val="20"/>
        </w:rPr>
        <w:t xml:space="preserve">) as shall be mutually and reasonably agreed upon by Parent, the Company and the escrow agent. The payment or deposit into escrow of the Parent Termination Fee pursuant to this </w:t>
      </w:r>
      <w:r>
        <w:rPr>
          <w:rFonts w:ascii="Times New Roman" w:hAnsi="Times New Roman"/>
          <w:b w:val="false"/>
          <w:color w:val="000000"/>
          <w:sz w:val="20"/>
          <w:u w:val="single"/>
        </w:rPr>
        <w:t>Section 8.3</w:t>
      </w:r>
      <w:r>
        <w:rPr>
          <w:rFonts w:ascii="Times New Roman" w:hAnsi="Times New Roman"/>
          <w:b w:val="false"/>
          <w:color w:val="000000"/>
          <w:sz w:val="20"/>
        </w:rPr>
        <w:t xml:space="preserve"> shall be made at the time Parent is obligated to pay the Parent Termination Fee. The escrow agent shall provide that the Parent Termination Fee in escrow or any portion thereof shall not be released to the Company unless the escrow agent receives any one or a combination of the following: (i) a letter from the Company’s independent accountants indicating the maximum amount that can be paid by the escrow agent to the Company without causing the Company to fail to meet the requirements of Sections 856(c)(2) or 856(c)(3) of the Code determined as if the payment of such amount did not constitute Company Qualifying Income and the Company has income from unknown sources during such year in an amount equal to one percent (1%) of its gross income which is not Company Qualifying Income (in addition to any known or anticipated income which is not Company Qualifying Income), in which case the escrow agent shall release such amount to the Company; or (ii) a letter from the Company’s counsel indicating that (A) the Company has received a ruling from the IRS holding that the receipt by the Company of the Parent Termination Fee would either constitute Company Qualifying Income or would be excluded from gross income within the meaning of Sections 856(c)(2) and 856(c)(3) of the Code or (B) the Company’s outside counsel has rendered a legal opinion to the effect that the receipt by the Company of the Parent Termination Fee should either constitute Company Qualifying Income or should be excluded from gross income within the meaning of Sections 856(c)(2) and 856(c)(3) of the Code, in which case the escrow agent shall release the remainder of the Parent Termination Fee to the Company. Parent agrees to amend this </w:t>
      </w:r>
      <w:r>
        <w:rPr>
          <w:rFonts w:ascii="Times New Roman" w:hAnsi="Times New Roman"/>
          <w:b w:val="false"/>
          <w:color w:val="000000"/>
          <w:sz w:val="20"/>
          <w:u w:val="single"/>
        </w:rPr>
        <w:t>Section 8.3(i)</w:t>
      </w:r>
      <w:r>
        <w:rPr>
          <w:rFonts w:ascii="Times New Roman" w:hAnsi="Times New Roman"/>
          <w:b w:val="false"/>
          <w:color w:val="000000"/>
          <w:sz w:val="20"/>
        </w:rPr>
        <w:t xml:space="preserve"> at the reasonable request of the Company in order to (1) maximize that portion of the Parent Termination Fee that may be distributed to the Company hereunder without causing the Company to fail to meet the requirements of Sections 856(c)(2) and 856(c)(3) of the Code or (2) assist the Company in obtaining a favorable ruling from the IRS or legal opinion from its outside counsel, in each case, as described in this </w:t>
      </w:r>
      <w:r>
        <w:rPr>
          <w:rFonts w:ascii="Times New Roman" w:hAnsi="Times New Roman"/>
          <w:b w:val="false"/>
          <w:color w:val="000000"/>
          <w:sz w:val="20"/>
          <w:u w:val="single"/>
        </w:rPr>
        <w:t>Section 8.3(i)(ii)</w:t>
      </w:r>
      <w:r>
        <w:rPr>
          <w:rFonts w:ascii="Times New Roman" w:hAnsi="Times New Roman"/>
          <w:b w:val="false"/>
          <w:color w:val="000000"/>
          <w:sz w:val="20"/>
        </w:rPr>
        <w:t xml:space="preserve">. Any amount of the Parent Termination Fee that remains unpaid as of the end of a taxable year shall be paid as soon as possible during the following taxable year, subject to the foregoing limitation of this </w:t>
      </w:r>
      <w:r>
        <w:rPr>
          <w:rFonts w:ascii="Times New Roman" w:hAnsi="Times New Roman"/>
          <w:b w:val="false"/>
          <w:color w:val="000000"/>
          <w:sz w:val="20"/>
          <w:u w:val="single"/>
        </w:rPr>
        <w:t>Section 8.3(i)(ii)</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(j)         Notwithstanding anything to the contrary in this Agreement, Parent and Merger Sub, on the one hand, and Parent Manager, on the other hand, shall be severally, not jointly, liable in respect of their respective obligations under this Agreement, and, except as provided in </w:t>
      </w:r>
      <w:r>
        <w:rPr>
          <w:rFonts w:ascii="Times New Roman" w:hAnsi="Times New Roman"/>
          <w:b w:val="false"/>
          <w:color w:val="000000"/>
          <w:sz w:val="20"/>
          <w:u w:val="single"/>
        </w:rPr>
        <w:t>Section 3.4(a)</w:t>
      </w:r>
      <w:r>
        <w:rPr>
          <w:rFonts w:ascii="Times New Roman" w:hAnsi="Times New Roman"/>
          <w:b w:val="false"/>
          <w:color w:val="000000"/>
          <w:sz w:val="20"/>
        </w:rPr>
        <w:t>, neither the Parent nor Merger Sub shall be responsible for the obligations of Parent Manager hereunder, nor shall Parent Manager be responsible for the obligations of Parent and Merger Sub hereunder (including the obligation to pay the Per Share Parent Consideration).</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ARTICLE IX</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MISCELLANEOUS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9.1.       </w:t>
      </w:r>
      <w:r>
        <w:rPr>
          <w:rFonts w:ascii="Times New Roman" w:hAnsi="Times New Roman"/>
          <w:b w:val="false"/>
          <w:color w:val="000000"/>
          <w:sz w:val="20"/>
          <w:u w:val="single"/>
        </w:rPr>
        <w:t>Nonsurvival of Representations and Warranties</w:t>
      </w:r>
      <w:r>
        <w:rPr>
          <w:rFonts w:ascii="Times New Roman" w:hAnsi="Times New Roman"/>
          <w:b w:val="false"/>
          <w:color w:val="000000"/>
          <w:sz w:val="20"/>
        </w:rPr>
        <w:t xml:space="preserve">. None of the representations and warranties and, subject to the following sentence, covenants and agreements, in this Agreement or in any instrument delivered pursuant to this Agreement shall survive the Closing. This </w:t>
      </w:r>
      <w:r>
        <w:rPr>
          <w:rFonts w:ascii="Times New Roman" w:hAnsi="Times New Roman"/>
          <w:b w:val="false"/>
          <w:color w:val="000000"/>
          <w:sz w:val="20"/>
          <w:u w:val="single"/>
        </w:rPr>
        <w:t>Section 9.1</w:t>
      </w:r>
      <w:r>
        <w:rPr>
          <w:rFonts w:ascii="Times New Roman" w:hAnsi="Times New Roman"/>
          <w:b w:val="false"/>
          <w:color w:val="000000"/>
          <w:sz w:val="20"/>
        </w:rPr>
        <w:t xml:space="preserve"> shall not limit any covenant or agreement of the parties hereto that by its terms contemplates performance after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9.2.        </w:t>
      </w:r>
      <w:r>
        <w:rPr>
          <w:rFonts w:ascii="Times New Roman" w:hAnsi="Times New Roman"/>
          <w:b w:val="false"/>
          <w:color w:val="000000"/>
          <w:sz w:val="20"/>
          <w:u w:val="single"/>
        </w:rPr>
        <w:t>Amendment; Waiver</w:t>
      </w:r>
      <w:r>
        <w:rPr>
          <w:rFonts w:ascii="Times New Roman" w:hAnsi="Times New Roman"/>
          <w:b w:val="false"/>
          <w:color w:val="000000"/>
          <w:sz w:val="20"/>
        </w:rPr>
        <w:t xml:space="preserve">. At any time prior to the Partnership Merger Effective Time, any provision of this Agreement may be amended or waived if, and only if, such amendment or waiver is in writing and signed, in the case of an amendment, by the Company, the Company Operating Partnership, Parent, Merger Sub and Parent Manager;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if such amendment or waiver is proposed after the Company Stockholder Approval or the Parent Stockholder Approval is obtained, no such amendment or waiver shall be made or given that requires the approval of the stockholders of the Company or Parent under applicable Law unless the required further approval is obtained. After the Partnership Merger Effective Time, this Agreement may not be amended. Notwithstanding the foregoing, no failure or delay by any party hereto in exercising any right hereunder shall operate as a waiver thereof nor shall any single or partial exercise thereof preclude any other or further exercise of any other right 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9.3.        </w:t>
      </w:r>
      <w:r>
        <w:rPr>
          <w:rFonts w:ascii="Times New Roman" w:hAnsi="Times New Roman"/>
          <w:b w:val="false"/>
          <w:color w:val="000000"/>
          <w:sz w:val="20"/>
          <w:u w:val="single"/>
        </w:rPr>
        <w:t>Notice</w:t>
      </w:r>
      <w:r>
        <w:rPr>
          <w:rFonts w:ascii="Times New Roman" w:hAnsi="Times New Roman"/>
          <w:b w:val="false"/>
          <w:color w:val="000000"/>
          <w:sz w:val="20"/>
        </w:rPr>
        <w:t>.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(c) on the next Business Day if sent by an overnight delivery service marked for overnight delivery (providing proof of delivery), or (d) five Business Days after being deposited in the U.S. mail, certified or registered mail, postage prepaid: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If to the Company or the Company Operating Partnership, addressed as follows:</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c/o Cherry Hill Mortgage Investment Corporation</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4000 Route 66, Suite 310</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Tinton Falls, New Jersey 07753</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Attn: Jeffrey B. Lown II</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Email: jay.lown@chmireit.com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with a copy (which shall not constitute notice) to:</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Mayer Brown LLP</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1221 Avenue of the Americas</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New York, New York 10020</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Attention: David Freed</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E-mail: dfreed@mayerbrown.com</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and</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Mayer Brown LLP</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71 South Wacker Drive</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Chicago, Illinois 60606</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Attention: Andrew Noreuil, Ryan Ferris</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E-mail: anoreuil@mayerbrown.com; rferris@mayerbrown.com</w:t>
      </w:r>
    </w:p>
    <w:p>
      <w:pPr>
        <w:pStyle w:val="TextBody"/>
        <w:bidi w:val="0"/>
        <w:spacing w:before="0" w:after="0"/>
        <w:ind w:left="0" w:right="0" w:firstLine="720"/>
        <w:jc w:val="left"/>
        <w:rPr>
          <w:color w:val="000000"/>
        </w:rPr>
      </w:pPr>
      <w:r>
        <w:rPr>
          <w:color w:val="000000"/>
        </w:rPr>
        <w:t>          </w:t>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If to Parent, Merger Sub or Parent Manager, or after the Closing, the Surviving Entity, addressed as follows:</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c/o AG REIT Management, LLC</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245 Park Avenue, 26th Floor</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New York, New York 10167</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Attention: Jenny B. Neslin, Legal Department</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E-mail: jneslin@tpg.com; legal@angelogordon.com</w:t>
      </w:r>
    </w:p>
    <w:p>
      <w:pPr>
        <w:pStyle w:val="TextBody"/>
        <w:bidi w:val="0"/>
        <w:spacing w:before="0" w:after="0"/>
        <w:ind w:left="720" w:right="0" w:firstLine="720"/>
        <w:jc w:val="left"/>
        <w:rPr>
          <w:color w:val="000000"/>
        </w:rPr>
      </w:pPr>
      <w:r>
        <w:rPr>
          <w:color w:val="000000"/>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with a copy (which shall not constitute notice) to:</w:t>
      </w:r>
    </w:p>
    <w:p>
      <w:pPr>
        <w:pStyle w:val="TextBody"/>
        <w:bidi w:val="0"/>
        <w:spacing w:before="0" w:after="0"/>
        <w:ind w:left="1433" w:right="0" w:hanging="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Hunton Andrews Kurth LLP</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200 Park Avenue</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New York, New York 10166</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Attention: Steven M. Haas</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E-mail: shaas@hunton.com</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and</w:t>
      </w:r>
    </w:p>
    <w:p>
      <w:pPr>
        <w:pStyle w:val="TextBody"/>
        <w:bidi w:val="0"/>
        <w:spacing w:before="0" w:after="0"/>
        <w:jc w:val="left"/>
        <w:rPr/>
      </w:pPr>
      <w:r>
        <w:rPr/>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Hunton Andrews Kurth LLP</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2200 Pennsylvania Avenue, NW</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Washington, DC 20037</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Attention: Robert K. Smith</w:t>
      </w:r>
    </w:p>
    <w:p>
      <w:pPr>
        <w:pStyle w:val="TextBody"/>
        <w:bidi w:val="0"/>
        <w:spacing w:before="0" w:after="0"/>
        <w:ind w:left="720" w:right="0" w:firstLine="720"/>
        <w:jc w:val="left"/>
        <w:rPr>
          <w:rFonts w:ascii="Times New Roman" w:hAnsi="Times New Roman"/>
          <w:b w:val="false"/>
          <w:color w:val="000000"/>
          <w:sz w:val="20"/>
        </w:rPr>
      </w:pPr>
      <w:r>
        <w:rPr>
          <w:rFonts w:ascii="Times New Roman" w:hAnsi="Times New Roman"/>
          <w:b w:val="false"/>
          <w:color w:val="000000"/>
          <w:sz w:val="20"/>
        </w:rPr>
        <w:t>E-mail: rsmith@hunton.com</w:t>
      </w:r>
    </w:p>
    <w:p>
      <w:pPr>
        <w:pStyle w:val="TextBody"/>
        <w:bidi w:val="0"/>
        <w:spacing w:before="0" w:after="0"/>
        <w:jc w:val="left"/>
        <w:rPr/>
      </w:pPr>
      <w:r>
        <w:rPr/>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or to such other individual or address as a party hereto may designate for itself by notice given as herein provided.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9.4.      </w:t>
      </w:r>
      <w:r>
        <w:rPr>
          <w:rFonts w:ascii="Times New Roman" w:hAnsi="Times New Roman"/>
          <w:b w:val="false"/>
          <w:color w:val="000000"/>
          <w:sz w:val="20"/>
          <w:u w:val="single"/>
        </w:rPr>
        <w:t>Counterparts</w:t>
      </w:r>
      <w:r>
        <w:rPr>
          <w:rFonts w:ascii="Times New Roman" w:hAnsi="Times New Roman"/>
          <w:b w:val="false"/>
          <w:color w:val="000000"/>
          <w:sz w:val="20"/>
        </w:rPr>
        <w:t>.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9.5.       </w:t>
      </w:r>
      <w:r>
        <w:rPr>
          <w:rFonts w:ascii="Times New Roman" w:hAnsi="Times New Roman"/>
          <w:b w:val="false"/>
          <w:color w:val="000000"/>
          <w:sz w:val="20"/>
          <w:u w:val="single"/>
        </w:rPr>
        <w:t>Interpretation</w:t>
      </w:r>
      <w:r>
        <w:rPr>
          <w:rFonts w:ascii="Times New Roman" w:hAnsi="Times New Roman"/>
          <w:b w:val="false"/>
          <w:color w:val="000000"/>
          <w:sz w:val="20"/>
        </w:rPr>
        <w:t>. The headings preceding the text of Articles and Sections included in this Agreement and the headings to Sections of the Company Disclosure Letter and the Parent Disclosure Letter are for convenience only and shall not be deemed part of this Agreement, the Company Disclosure Letter or the Parent Disclosure Letter or be given any effect in interpreting this Agreement, the Company Disclosure Letter or the Parent Disclosure Letter.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Articles, Sections or Exhibits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References to documents or information “made available” or “provided” to Parent or similar terms shall mean documents or information (x) uploaded to the “Project Piper” data room hosted by Intralinks, Inc. or (y) provided via email or fileshare site or other method by a Representative of the Company to Parent or Representatives of Parent prior to the entry into and execution of this Agreement. The words “hereof”, “herein” and “hereunder” and words of like import used in this Agreement shall refer to this Agreement as a whole and not to any particular provision of this Agreement. Any capitalized term used in any Exhibit, the Company Disclosure Letter or the Parent Disclosure Letter but not otherwise defined therein shall have the meaning given to such term in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All references to dollars or to “$” shall be references to United States dollars.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9.6.       </w:t>
      </w:r>
      <w:r>
        <w:rPr>
          <w:rFonts w:ascii="Times New Roman" w:hAnsi="Times New Roman"/>
          <w:b w:val="false"/>
          <w:color w:val="000000"/>
          <w:sz w:val="20"/>
          <w:u w:val="single"/>
        </w:rPr>
        <w:t>Specific Performance</w:t>
      </w:r>
      <w:r>
        <w:rPr>
          <w:rFonts w:ascii="Times New Roman" w:hAnsi="Times New Roman"/>
          <w:b w:val="false"/>
          <w:color w:val="000000"/>
          <w:sz w:val="20"/>
        </w:rPr>
        <w:t xml:space="preserve">. The parties hereto agree that irreparable damage for which monetary relief (including any fees payable pursuant to </w:t>
      </w:r>
      <w:r>
        <w:rPr>
          <w:rFonts w:ascii="Times New Roman" w:hAnsi="Times New Roman"/>
          <w:b w:val="false"/>
          <w:color w:val="000000"/>
          <w:sz w:val="20"/>
          <w:u w:val="single"/>
        </w:rPr>
        <w:t>Section 8.3</w:t>
      </w:r>
      <w:r>
        <w:rPr>
          <w:rFonts w:ascii="Times New Roman" w:hAnsi="Times New Roman"/>
          <w:b w:val="false"/>
          <w:color w:val="000000"/>
          <w:sz w:val="20"/>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Mergers and effect the Closing. Subject to the following sentence, the parties hereto acknowledge and agree that (a) the parties hereto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w:t>
      </w:r>
      <w:r>
        <w:rPr>
          <w:rFonts w:ascii="Times New Roman" w:hAnsi="Times New Roman"/>
          <w:b w:val="false"/>
          <w:color w:val="000000"/>
          <w:sz w:val="20"/>
          <w:u w:val="single"/>
        </w:rPr>
        <w:t>Section 9.7(b)</w:t>
      </w:r>
      <w:r>
        <w:rPr>
          <w:rFonts w:ascii="Times New Roman" w:hAnsi="Times New Roman"/>
          <w:b w:val="false"/>
          <w:color w:val="000000"/>
          <w:sz w:val="20"/>
        </w:rPr>
        <w:t xml:space="preserve"> without proof of damages or otherwise, this being in addition to any other remedy to which they are entitled under this Agreement or at law or in equity; (b) the provisions set forth in </w:t>
      </w:r>
      <w:r>
        <w:rPr>
          <w:rFonts w:ascii="Times New Roman" w:hAnsi="Times New Roman"/>
          <w:b w:val="false"/>
          <w:color w:val="000000"/>
          <w:sz w:val="20"/>
          <w:u w:val="single"/>
        </w:rPr>
        <w:t>Section 8.3</w:t>
      </w:r>
      <w:r>
        <w:rPr>
          <w:rFonts w:ascii="Times New Roman" w:hAnsi="Times New Roman"/>
          <w:b w:val="false"/>
          <w:color w:val="000000"/>
          <w:sz w:val="20"/>
        </w:rPr>
        <w:t xml:space="preserve"> shall not be construed to diminish or otherwise impair in any respect any party’s right to specific enforcement; and (c) the right of specific enforcement is an integral part of the Transactions and without that right the parties would have entered into this Agreement. The right to specific enforcement hereunder shall include the right of a party, on behalf of itself and any third-party beneficiaries to this Agreement, to cause the other parties to consummate the Mergers and the other Transactions on the terms and subject to the conditions set forth in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other than an assertion that the exercise of specific performance was not effected in accordance with provisions of this </w:t>
      </w:r>
      <w:r>
        <w:rPr>
          <w:rFonts w:ascii="Times New Roman" w:hAnsi="Times New Roman"/>
          <w:b w:val="false"/>
          <w:color w:val="000000"/>
          <w:sz w:val="20"/>
          <w:u w:val="single"/>
        </w:rPr>
        <w:t>Section 9.6</w:t>
      </w:r>
      <w:r>
        <w:rPr>
          <w:rFonts w:ascii="Times New Roman" w:hAnsi="Times New Roman"/>
          <w:b w:val="false"/>
          <w:color w:val="000000"/>
          <w:sz w:val="20"/>
        </w:rPr>
        <w:t xml:space="preserve">. The parties hereto acknowledge and agree that any party hereto seeking an injunction or injunctions to prevent and to enforce specifically the terms and provisions of this Agreement in accordance with this </w:t>
      </w:r>
      <w:r>
        <w:rPr>
          <w:rFonts w:ascii="Times New Roman" w:hAnsi="Times New Roman"/>
          <w:b w:val="false"/>
          <w:color w:val="000000"/>
          <w:sz w:val="20"/>
          <w:u w:val="single"/>
        </w:rPr>
        <w:t>Section 9.6</w:t>
      </w:r>
      <w:r>
        <w:rPr>
          <w:rFonts w:ascii="Times New Roman" w:hAnsi="Times New Roman"/>
          <w:b w:val="false"/>
          <w:color w:val="000000"/>
          <w:sz w:val="20"/>
        </w:rPr>
        <w:t xml:space="preserve"> shall not be required to provide any bond or other security in connection with any such order or injunction.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9.7.        </w:t>
      </w:r>
      <w:r>
        <w:rPr>
          <w:rFonts w:ascii="Times New Roman" w:hAnsi="Times New Roman"/>
          <w:b w:val="false"/>
          <w:color w:val="000000"/>
          <w:sz w:val="20"/>
          <w:u w:val="single"/>
        </w:rPr>
        <w:t>Governing Law and Venue; Submission to Jurisdiction; Selection of Forum; Waiver of Trial by Jury</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(a)         This Agreement shall be deemed to be made in and in all respects shall be interpreted, construed and governed by and in accordance with the Laws of the State of Maryland without regard to the conflicts of laws provisions, rules or principles thereof (or any other jurisdiction).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(b)         Each of the parties hereto: (i) agrees that all Litigation in connection with, arising out of or otherwise relating to this Agreement, any instrument or other document delivered pursuant to this Agreement (other than the Confidentiality Agreement) or the Transactions shall be heard and determined exclusively in the Circuit Court for Baltimore City, Maryland, or, if that court does not have jurisdiction, in the United States District Court for the District of Maryland, Northern Division; and (ii) solely in connection with such Litigation, (A) agrees,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 w:hAnsi="Times New Roman"/>
          <w:b w:val="false"/>
          <w:color w:val="000000"/>
          <w:sz w:val="20"/>
          <w:u w:val="single"/>
        </w:rPr>
        <w:t>Section 9.3</w:t>
      </w:r>
      <w:r>
        <w:rPr>
          <w:rFonts w:ascii="Times New Roman" w:hAnsi="Times New Roman"/>
          <w:b w:val="false"/>
          <w:color w:val="000000"/>
          <w:sz w:val="20"/>
        </w:rPr>
        <w:t xml:space="preserve"> or in such other manner as may be permitted by applicable Law shall be valid and sufficient service thereof; and (F) it shall not assert as a defense any matter or claim waived by the foregoing </w:t>
      </w:r>
      <w:r>
        <w:rPr>
          <w:rFonts w:ascii="Times New Roman" w:hAnsi="Times New Roman"/>
          <w:b w:val="false"/>
          <w:color w:val="000000"/>
          <w:sz w:val="20"/>
          <w:u w:val="single"/>
        </w:rPr>
        <w:t>clauses (B)</w:t>
      </w:r>
      <w:r>
        <w:rPr>
          <w:rFonts w:ascii="Times New Roman" w:hAnsi="Times New Roman"/>
          <w:b w:val="false"/>
          <w:color w:val="000000"/>
          <w:sz w:val="20"/>
        </w:rPr>
        <w:t xml:space="preserve"> through </w:t>
      </w:r>
      <w:r>
        <w:rPr>
          <w:rFonts w:ascii="Times New Roman" w:hAnsi="Times New Roman"/>
          <w:b w:val="false"/>
          <w:color w:val="000000"/>
          <w:sz w:val="20"/>
          <w:u w:val="single"/>
        </w:rPr>
        <w:t>(E)</w:t>
      </w:r>
      <w:r>
        <w:rPr>
          <w:rFonts w:ascii="Times New Roman" w:hAnsi="Times New Roman"/>
          <w:b w:val="false"/>
          <w:color w:val="000000"/>
          <w:sz w:val="20"/>
        </w:rPr>
        <w:t xml:space="preserve"> of this </w:t>
      </w:r>
      <w:r>
        <w:rPr>
          <w:rFonts w:ascii="Times New Roman" w:hAnsi="Times New Roman"/>
          <w:b w:val="false"/>
          <w:color w:val="000000"/>
          <w:sz w:val="20"/>
          <w:u w:val="single"/>
        </w:rPr>
        <w:t>Section 9.7(b)</w:t>
      </w:r>
      <w:r>
        <w:rPr>
          <w:rFonts w:ascii="Times New Roman" w:hAnsi="Times New Roman"/>
          <w:b w:val="false"/>
          <w:color w:val="000000"/>
          <w:sz w:val="20"/>
        </w:rPr>
        <w:t xml:space="preserve"> or that any Order issued by such courts may not be enforced in or by such courts.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(c)         Each of the parties hereto acknowledges and agrees that any controversy that may be connected with, arise out of or otherwise relate to this Agreement, any instrument or other document delivered pursuant to this Agreement or the Transactions is expected to involve complicated and difficult issues, and therefore each party hereto irrevocably and unconditionally waives to the fullest extent permitted by applicable Law any right it may have to a trial by jury with respect to any Litigation, directly or indirectly, connected with, arising out of or otherwise relating to this Agreement, any instrument or other document delivered pursuant to this Agreement or the Transactions. Each party hereto hereby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 w:hAnsi="Times New Roman"/>
          <w:b w:val="false"/>
          <w:color w:val="000000"/>
          <w:sz w:val="20"/>
          <w:u w:val="single"/>
        </w:rPr>
        <w:t>Section 9.7(c)</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9.8.      </w:t>
      </w:r>
      <w:r>
        <w:rPr>
          <w:rFonts w:ascii="Times New Roman" w:hAnsi="Times New Roman"/>
          <w:b w:val="false"/>
          <w:color w:val="000000"/>
          <w:sz w:val="20"/>
          <w:u w:val="single"/>
        </w:rPr>
        <w:t>Binding Agreement</w:t>
      </w:r>
      <w:r>
        <w:rPr>
          <w:rFonts w:ascii="Times New Roman" w:hAnsi="Times New Roman"/>
          <w:b w:val="false"/>
          <w:color w:val="000000"/>
          <w:sz w:val="20"/>
        </w:rPr>
        <w:t>. This Agreement shall be binding upon and inure to the benefit of the parties hereto and their respective successors and permitted assigns.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9.9.       </w:t>
      </w:r>
      <w:r>
        <w:rPr>
          <w:rFonts w:ascii="Times New Roman" w:hAnsi="Times New Roman"/>
          <w:b w:val="false"/>
          <w:color w:val="000000"/>
          <w:sz w:val="20"/>
          <w:u w:val="single"/>
        </w:rPr>
        <w:t>Entire Understanding</w:t>
      </w:r>
      <w:r>
        <w:rPr>
          <w:rFonts w:ascii="Times New Roman" w:hAnsi="Times New Roman"/>
          <w:b w:val="false"/>
          <w:color w:val="000000"/>
          <w:sz w:val="20"/>
        </w:rPr>
        <w:t>. This Agreement, together with the Exhibits, the Company Disclosure Letter, the Parent Disclosure Letter, the Confidentiality Agreement and the Support Agreement, constitutes the entire agreement, and supersedes all other prior agreements and understandings, both written and oral, between the parties hereto, or any of them, with respect to the subject matter hereof and thereof.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9.10.     </w:t>
      </w:r>
      <w:r>
        <w:rPr>
          <w:rFonts w:ascii="Times New Roman" w:hAnsi="Times New Roman"/>
          <w:b w:val="false"/>
          <w:color w:val="000000"/>
          <w:sz w:val="20"/>
          <w:u w:val="single"/>
        </w:rPr>
        <w:t>Assignment</w:t>
      </w:r>
      <w:r>
        <w:rPr>
          <w:rFonts w:ascii="Times New Roman" w:hAnsi="Times New Roman"/>
          <w:b w:val="false"/>
          <w:color w:val="000000"/>
          <w:sz w:val="20"/>
        </w:rPr>
        <w:t xml:space="preserve">. This Agreement and all of the provisions hereof shall be binding upon and shall inure to the benefit of and be enforceable by the parties hereto and their respective heirs, successors and permitted assigns; </w:t>
      </w:r>
      <w:r>
        <w:rPr>
          <w:rFonts w:ascii="Times New Roman" w:hAnsi="Times New Roman"/>
          <w:b w:val="false"/>
          <w:color w:val="000000"/>
          <w:sz w:val="20"/>
          <w:u w:val="single"/>
        </w:rPr>
        <w:t>provided</w:t>
      </w:r>
      <w:r>
        <w:rPr>
          <w:rFonts w:ascii="Times New Roman" w:hAnsi="Times New Roman"/>
          <w:b w:val="false"/>
          <w:color w:val="000000"/>
          <w:sz w:val="20"/>
        </w:rPr>
        <w:t xml:space="preserve">, </w:t>
      </w:r>
      <w:r>
        <w:rPr>
          <w:rFonts w:ascii="Times New Roman" w:hAnsi="Times New Roman"/>
          <w:b w:val="false"/>
          <w:color w:val="000000"/>
          <w:sz w:val="20"/>
          <w:u w:val="single"/>
        </w:rPr>
        <w:t>however</w:t>
      </w:r>
      <w:r>
        <w:rPr>
          <w:rFonts w:ascii="Times New Roman" w:hAnsi="Times New Roman"/>
          <w:b w:val="false"/>
          <w:color w:val="000000"/>
          <w:sz w:val="20"/>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 w:hAnsi="Times New Roman"/>
          <w:b w:val="false"/>
          <w:color w:val="000000"/>
          <w:sz w:val="20"/>
          <w:u w:val="single"/>
        </w:rPr>
        <w:t>Section 9.10</w:t>
      </w:r>
      <w:r>
        <w:rPr>
          <w:rFonts w:ascii="Times New Roman" w:hAnsi="Times New Roman"/>
          <w:b w:val="false"/>
          <w:color w:val="000000"/>
          <w:sz w:val="20"/>
        </w:rPr>
        <w:t xml:space="preserve"> shall be null and void.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9.11.      </w:t>
      </w:r>
      <w:r>
        <w:rPr>
          <w:rFonts w:ascii="Times New Roman" w:hAnsi="Times New Roman"/>
          <w:b w:val="false"/>
          <w:color w:val="000000"/>
          <w:sz w:val="20"/>
          <w:u w:val="single"/>
        </w:rPr>
        <w:t>Third-Party Beneficiaries</w:t>
      </w:r>
      <w:r>
        <w:rPr>
          <w:rFonts w:ascii="Times New Roman" w:hAnsi="Times New Roman"/>
          <w:b w:val="false"/>
          <w:color w:val="000000"/>
          <w:sz w:val="20"/>
        </w:rPr>
        <w:t xml:space="preserve">. This Agreement is not intended to and does not confer upon any Person other than the parties hereto any rights or remedies hereunder, except for: (a) if the Closing occurs, the right of the Company’s stockholders and holders of Company Partnership Units to receive the applicable Merger Consideration; (b) if the Closing occurs, the right of the holders of Company Equity Awards to receive such amounts as provided for in </w:t>
      </w:r>
      <w:r>
        <w:rPr>
          <w:rFonts w:ascii="Times New Roman" w:hAnsi="Times New Roman"/>
          <w:b w:val="false"/>
          <w:color w:val="000000"/>
          <w:sz w:val="20"/>
          <w:u w:val="single"/>
        </w:rPr>
        <w:t>Section 3.1(c)</w:t>
      </w:r>
      <w:r>
        <w:rPr>
          <w:rFonts w:ascii="Times New Roman" w:hAnsi="Times New Roman"/>
          <w:b w:val="false"/>
          <w:color w:val="000000"/>
          <w:sz w:val="20"/>
        </w:rPr>
        <w:t xml:space="preserve">; (c) if the Closing occurs, the rights of the Covered Persons set forth in </w:t>
      </w:r>
      <w:r>
        <w:rPr>
          <w:rFonts w:ascii="Times New Roman" w:hAnsi="Times New Roman"/>
          <w:b w:val="false"/>
          <w:color w:val="000000"/>
          <w:sz w:val="20"/>
          <w:u w:val="single"/>
        </w:rPr>
        <w:t>Section 6.11</w:t>
      </w:r>
      <w:r>
        <w:rPr>
          <w:rFonts w:ascii="Times New Roman" w:hAnsi="Times New Roman"/>
          <w:b w:val="false"/>
          <w:color w:val="000000"/>
          <w:sz w:val="20"/>
        </w:rPr>
        <w:t xml:space="preserve">; (d) as provided in </w:t>
      </w:r>
      <w:r>
        <w:rPr>
          <w:rFonts w:ascii="Times New Roman" w:hAnsi="Times New Roman"/>
          <w:b w:val="false"/>
          <w:color w:val="000000"/>
          <w:sz w:val="20"/>
          <w:u w:val="single"/>
        </w:rPr>
        <w:t>Section 8.3(a)</w:t>
      </w:r>
      <w:r>
        <w:rPr>
          <w:rFonts w:ascii="Times New Roman" w:hAnsi="Times New Roman"/>
          <w:b w:val="false"/>
          <w:color w:val="000000"/>
          <w:sz w:val="20"/>
        </w:rPr>
        <w:t xml:space="preserve">; and (e) if the Closing occurs, the right of the Company Director Designees to enforce </w:t>
      </w:r>
      <w:r>
        <w:rPr>
          <w:rFonts w:ascii="Times New Roman" w:hAnsi="Times New Roman"/>
          <w:b w:val="false"/>
          <w:color w:val="000000"/>
          <w:sz w:val="20"/>
          <w:u w:val="single"/>
        </w:rPr>
        <w:t>Section 2.7</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9.12.     </w:t>
      </w:r>
      <w:r>
        <w:rPr>
          <w:rFonts w:ascii="Times New Roman" w:hAnsi="Times New Roman"/>
          <w:b w:val="false"/>
          <w:color w:val="000000"/>
          <w:sz w:val="20"/>
          <w:u w:val="single"/>
        </w:rPr>
        <w:t>Severability</w:t>
      </w:r>
      <w:r>
        <w:rPr>
          <w:rFonts w:ascii="Times New Roman" w:hAnsi="Times New Roman"/>
          <w:b w:val="false"/>
          <w:color w:val="000000"/>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are fulfilled to the extent possible.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 xml:space="preserve">9.13.     </w:t>
      </w:r>
      <w:r>
        <w:rPr>
          <w:rFonts w:ascii="Times New Roman" w:hAnsi="Times New Roman"/>
          <w:b w:val="false"/>
          <w:color w:val="000000"/>
          <w:sz w:val="20"/>
          <w:u w:val="single"/>
        </w:rPr>
        <w:t>Construction</w:t>
      </w:r>
      <w:r>
        <w:rPr>
          <w:rFonts w:ascii="Times New Roman" w:hAnsi="Times New Roman"/>
          <w:b w:val="false"/>
          <w:color w:val="000000"/>
          <w:sz w:val="20"/>
        </w:rPr>
        <w:t>. The parties hereto have participated jointly in the negotiation and drafting of this Agreement. In the event that an ambiguity or question of intent or interpretation arises, the language shall be construed as mutually chosen by the parties hereto to express their mutual intent, and no rule of strict construction shall be applied against any party hereto. Any reference to any federal, state, local or foreign statute or Law shall be deemed also to refer to all rules and regulations promulgated thereunder, unless the context requires otherwise.</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w:t>
      </w:r>
      <w:r>
        <w:rPr>
          <w:rFonts w:ascii="Times New Roman" w:hAnsi="Times New Roman"/>
          <w:b w:val="false"/>
          <w:i/>
          <w:color w:val="000000"/>
          <w:sz w:val="20"/>
        </w:rPr>
        <w:t>Remainder of page left intentionally blank. Signature pages follow.</w:t>
      </w:r>
      <w:r>
        <w:rPr>
          <w:rFonts w:ascii="Times New Roman" w:hAnsi="Times New Roman"/>
          <w:b w:val="false"/>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color w:val="000000"/>
          <w:sz w:val="20"/>
        </w:rPr>
      </w:pPr>
      <w:r>
        <w:rPr>
          <w:rFonts w:ascii="Times New Roman" w:hAnsi="Times New Roman"/>
          <w:b w:val="false"/>
          <w:color w:val="000000"/>
          <w:sz w:val="20"/>
        </w:rPr>
        <w:t>IN WITNESS WHEREOF, the parties hereto have caused this Agreement to be executed and delivered as of the date first above written.</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12" w:name="zcacd8f9af38546478e675422fbf21896"/>
      <w:bookmarkStart w:id="13" w:name="zcacd8f9af38546478e675422fbf21896"/>
      <w:bookmarkEnd w:id="13"/>
    </w:p>
    <w:tbl>
      <w:tblPr>
        <w:tblW w:w="6934" w:type="dxa"/>
        <w:jc w:val="left"/>
        <w:tblInd w:w="0" w:type="dxa"/>
        <w:tblLayout w:type="fixed"/>
        <w:tblCellMar>
          <w:top w:w="0" w:type="dxa"/>
          <w:left w:w="0" w:type="dxa"/>
          <w:bottom w:w="0" w:type="dxa"/>
          <w:right w:w="0" w:type="dxa"/>
        </w:tblCellMar>
      </w:tblPr>
      <w:tblGrid>
        <w:gridCol w:w="60"/>
        <w:gridCol w:w="552"/>
        <w:gridCol w:w="6322"/>
      </w:tblGrid>
      <w:tr>
        <w:trPr/>
        <w:tc>
          <w:tcPr>
            <w:tcW w:w="60"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0"/>
              <w:jc w:val="left"/>
              <w:rPr>
                <w:b/>
              </w:rPr>
            </w:pPr>
            <w:r>
              <w:rPr>
                <w:b/>
              </w:rPr>
              <w:t>CHERRY HILL MORTGAGE INVESTMENT CORPORATION</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32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jc w:val="left"/>
              <w:rPr/>
            </w:pPr>
            <w:r>
              <w:rPr/>
              <w:t>By:</w:t>
            </w:r>
          </w:p>
        </w:tc>
        <w:tc>
          <w:tcPr>
            <w:tcW w:w="6322" w:type="dxa"/>
            <w:tcBorders>
              <w:bottom w:val="single" w:sz="12" w:space="0" w:color="000000"/>
            </w:tcBorders>
            <w:tcMar>
              <w:bottom w:w="28" w:type="dxa"/>
            </w:tcMar>
            <w:vAlign w:val="center"/>
          </w:tcPr>
          <w:p>
            <w:pPr>
              <w:pStyle w:val="TableContents"/>
              <w:bidi w:val="0"/>
              <w:spacing w:before="0" w:after="0"/>
              <w:jc w:val="left"/>
              <w:rPr/>
            </w:pPr>
            <w:r>
              <w:rPr/>
              <w:t>/s/ Jeffery Lown II</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322" w:type="dxa"/>
            <w:tcBorders/>
            <w:vAlign w:val="center"/>
          </w:tcPr>
          <w:p>
            <w:pPr>
              <w:pStyle w:val="TableContents"/>
              <w:bidi w:val="0"/>
              <w:spacing w:before="0" w:after="0"/>
              <w:jc w:val="left"/>
              <w:rPr/>
            </w:pPr>
            <w:r>
              <w:rPr/>
              <w:t>Name: Jeffrey Lown II</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322" w:type="dxa"/>
            <w:tcBorders/>
            <w:vAlign w:val="center"/>
          </w:tcPr>
          <w:p>
            <w:pPr>
              <w:pStyle w:val="TableContents"/>
              <w:bidi w:val="0"/>
              <w:spacing w:before="0" w:after="0"/>
              <w:jc w:val="left"/>
              <w:rPr/>
            </w:pPr>
            <w:r>
              <w:rPr/>
              <w:t>Title: President and Chief Executive Officer</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32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0"/>
              <w:jc w:val="left"/>
              <w:rPr>
                <w:b/>
              </w:rPr>
            </w:pPr>
            <w:r>
              <w:rPr>
                <w:b/>
              </w:rPr>
              <w:t>CHERRY HILL OPERATING PARTNERSHIP, LP</w:t>
            </w:r>
          </w:p>
        </w:tc>
      </w:tr>
      <w:tr>
        <w:trPr/>
        <w:tc>
          <w:tcPr>
            <w:tcW w:w="60"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74" w:type="dxa"/>
            <w:gridSpan w:val="2"/>
            <w:tcBorders/>
            <w:vAlign w:val="center"/>
          </w:tcPr>
          <w:p>
            <w:pPr>
              <w:pStyle w:val="TableContents"/>
              <w:bidi w:val="0"/>
              <w:spacing w:before="0" w:after="0"/>
              <w:jc w:val="left"/>
              <w:rPr/>
            </w:pPr>
            <w:r>
              <w:rPr/>
              <w:t>By: Cherry Hill Mortgage Investment Corporation, its General Partner</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32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jc w:val="left"/>
              <w:rPr/>
            </w:pPr>
            <w:r>
              <w:rPr/>
              <w:t>By:</w:t>
            </w:r>
          </w:p>
        </w:tc>
        <w:tc>
          <w:tcPr>
            <w:tcW w:w="6322" w:type="dxa"/>
            <w:tcBorders>
              <w:bottom w:val="single" w:sz="12" w:space="0" w:color="000000"/>
            </w:tcBorders>
            <w:tcMar>
              <w:bottom w:w="28" w:type="dxa"/>
            </w:tcMar>
            <w:vAlign w:val="center"/>
          </w:tcPr>
          <w:p>
            <w:pPr>
              <w:pStyle w:val="TableContents"/>
              <w:bidi w:val="0"/>
              <w:spacing w:before="0" w:after="0"/>
              <w:jc w:val="left"/>
              <w:rPr/>
            </w:pPr>
            <w:r>
              <w:rPr/>
              <w:t>/s/ Jeffery Lown II</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322" w:type="dxa"/>
            <w:tcBorders/>
            <w:vAlign w:val="center"/>
          </w:tcPr>
          <w:p>
            <w:pPr>
              <w:pStyle w:val="TableContents"/>
              <w:bidi w:val="0"/>
              <w:spacing w:before="0" w:after="0"/>
              <w:jc w:val="left"/>
              <w:rPr/>
            </w:pPr>
            <w:r>
              <w:rPr/>
              <w:t>Name: Jeffrey Lown II</w:t>
            </w:r>
          </w:p>
        </w:tc>
      </w:tr>
      <w:tr>
        <w:trPr/>
        <w:tc>
          <w:tcPr>
            <w:tcW w:w="60"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6322" w:type="dxa"/>
            <w:tcBorders/>
            <w:vAlign w:val="center"/>
          </w:tcPr>
          <w:p>
            <w:pPr>
              <w:pStyle w:val="TableContents"/>
              <w:bidi w:val="0"/>
              <w:spacing w:before="0" w:after="0"/>
              <w:jc w:val="left"/>
              <w:rPr/>
            </w:pPr>
            <w:r>
              <w:rPr/>
              <w:t>Title: President and Chief Executive Officer</w:t>
            </w:r>
          </w:p>
        </w:tc>
      </w:tr>
    </w:tbl>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[Signature page to Agreement and Plan of Merger]</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 w:name="zde89754c61ba4c41994fb2ed5267427b"/>
      <w:bookmarkStart w:id="15" w:name="zde89754c61ba4c41994fb2ed5267427b"/>
      <w:bookmarkEnd w:id="15"/>
    </w:p>
    <w:tbl>
      <w:tblPr>
        <w:tblW w:w="5314" w:type="dxa"/>
        <w:jc w:val="left"/>
        <w:tblInd w:w="0" w:type="dxa"/>
        <w:tblLayout w:type="fixed"/>
        <w:tblCellMar>
          <w:top w:w="0" w:type="dxa"/>
          <w:left w:w="0" w:type="dxa"/>
          <w:bottom w:w="0" w:type="dxa"/>
          <w:right w:w="0" w:type="dxa"/>
        </w:tblCellMar>
      </w:tblPr>
      <w:tblGrid>
        <w:gridCol w:w="60"/>
        <w:gridCol w:w="422"/>
        <w:gridCol w:w="4832"/>
      </w:tblGrid>
      <w:tr>
        <w:trPr/>
        <w:tc>
          <w:tcPr>
            <w:tcW w:w="60" w:type="dxa"/>
            <w:tcBorders/>
            <w:vAlign w:val="center"/>
          </w:tcPr>
          <w:p>
            <w:pPr>
              <w:pStyle w:val="TableContents"/>
              <w:bidi w:val="0"/>
              <w:spacing w:before="0" w:after="0"/>
              <w:jc w:val="left"/>
              <w:rPr/>
            </w:pPr>
            <w:r>
              <w:rPr/>
              <w:t> </w:t>
            </w:r>
          </w:p>
        </w:tc>
        <w:tc>
          <w:tcPr>
            <w:tcW w:w="5254" w:type="dxa"/>
            <w:gridSpan w:val="2"/>
            <w:tcBorders/>
            <w:vAlign w:val="center"/>
          </w:tcPr>
          <w:p>
            <w:pPr>
              <w:pStyle w:val="TableContents"/>
              <w:bidi w:val="0"/>
              <w:spacing w:before="0" w:after="0"/>
              <w:jc w:val="left"/>
              <w:rPr>
                <w:b/>
              </w:rPr>
            </w:pPr>
            <w:r>
              <w:rPr>
                <w:b/>
              </w:rPr>
              <w:t>TPG MORTGAGE INVESTMENT TRUST, INC.</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 </w:t>
            </w:r>
          </w:p>
        </w:tc>
        <w:tc>
          <w:tcPr>
            <w:tcW w:w="4832"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By:</w:t>
            </w:r>
          </w:p>
        </w:tc>
        <w:tc>
          <w:tcPr>
            <w:tcW w:w="4832" w:type="dxa"/>
            <w:tcBorders>
              <w:bottom w:val="single" w:sz="12" w:space="0" w:color="000000"/>
            </w:tcBorders>
            <w:tcMar>
              <w:bottom w:w="28" w:type="dxa"/>
            </w:tcMar>
            <w:vAlign w:val="center"/>
          </w:tcPr>
          <w:p>
            <w:pPr>
              <w:pStyle w:val="TableContents"/>
              <w:bidi w:val="0"/>
              <w:spacing w:before="0" w:after="0"/>
              <w:jc w:val="left"/>
              <w:rPr/>
            </w:pPr>
            <w:r>
              <w:rPr/>
              <w:t>/s/ Thomas J. Durkin</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 </w:t>
            </w:r>
          </w:p>
        </w:tc>
        <w:tc>
          <w:tcPr>
            <w:tcW w:w="4832" w:type="dxa"/>
            <w:tcBorders/>
            <w:vAlign w:val="center"/>
          </w:tcPr>
          <w:p>
            <w:pPr>
              <w:pStyle w:val="TableContents"/>
              <w:bidi w:val="0"/>
              <w:spacing w:before="0" w:after="0"/>
              <w:jc w:val="left"/>
              <w:rPr/>
            </w:pPr>
            <w:r>
              <w:rPr/>
              <w:t>Name: Thomas J. Durkin</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 </w:t>
            </w:r>
          </w:p>
        </w:tc>
        <w:tc>
          <w:tcPr>
            <w:tcW w:w="4832" w:type="dxa"/>
            <w:tcBorders/>
            <w:vAlign w:val="center"/>
          </w:tcPr>
          <w:p>
            <w:pPr>
              <w:pStyle w:val="TableContents"/>
              <w:bidi w:val="0"/>
              <w:spacing w:before="0" w:after="0"/>
              <w:jc w:val="left"/>
              <w:rPr/>
            </w:pPr>
            <w:r>
              <w:rPr/>
              <w:t>Title: Chief Executive Officer and President</w:t>
            </w:r>
          </w:p>
        </w:tc>
      </w:tr>
      <w:tr>
        <w:trPr/>
        <w:tc>
          <w:tcPr>
            <w:tcW w:w="6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5254" w:type="dxa"/>
            <w:gridSpan w:val="2"/>
            <w:tcBorders/>
            <w:vAlign w:val="center"/>
          </w:tcPr>
          <w:p>
            <w:pPr>
              <w:pStyle w:val="TableContents"/>
              <w:bidi w:val="0"/>
              <w:spacing w:before="0" w:after="0"/>
              <w:jc w:val="left"/>
              <w:rPr>
                <w:b/>
              </w:rPr>
            </w:pPr>
            <w:r>
              <w:rPr>
                <w:b/>
              </w:rPr>
              <w:t>MIT MERGER SUB II, LLC</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 </w:t>
            </w:r>
          </w:p>
        </w:tc>
        <w:tc>
          <w:tcPr>
            <w:tcW w:w="4832" w:type="dxa"/>
            <w:tcBorders/>
            <w:vAlign w:val="center"/>
          </w:tcPr>
          <w:p>
            <w:pPr>
              <w:pStyle w:val="TableContents"/>
              <w:bidi w:val="0"/>
              <w:spacing w:before="0" w:after="0"/>
              <w:jc w:val="left"/>
              <w:rPr/>
            </w:pPr>
            <w:r>
              <w:rPr/>
              <w:t> </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By:</w:t>
            </w:r>
          </w:p>
        </w:tc>
        <w:tc>
          <w:tcPr>
            <w:tcW w:w="4832" w:type="dxa"/>
            <w:tcBorders>
              <w:bottom w:val="single" w:sz="12" w:space="0" w:color="000000"/>
            </w:tcBorders>
            <w:tcMar>
              <w:bottom w:w="28" w:type="dxa"/>
            </w:tcMar>
            <w:vAlign w:val="center"/>
          </w:tcPr>
          <w:p>
            <w:pPr>
              <w:pStyle w:val="TableContents"/>
              <w:bidi w:val="0"/>
              <w:spacing w:before="0" w:after="0"/>
              <w:jc w:val="left"/>
              <w:rPr/>
            </w:pPr>
            <w:r>
              <w:rPr/>
              <w:t>/s/ Thomas J. Durkin</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 </w:t>
            </w:r>
          </w:p>
        </w:tc>
        <w:tc>
          <w:tcPr>
            <w:tcW w:w="4832" w:type="dxa"/>
            <w:tcBorders/>
            <w:vAlign w:val="center"/>
          </w:tcPr>
          <w:p>
            <w:pPr>
              <w:pStyle w:val="TableContents"/>
              <w:bidi w:val="0"/>
              <w:spacing w:before="0" w:after="0"/>
              <w:jc w:val="left"/>
              <w:rPr/>
            </w:pPr>
            <w:r>
              <w:rPr/>
              <w:t>Name: Thomas J. Durkin</w:t>
            </w:r>
          </w:p>
        </w:tc>
      </w:tr>
      <w:tr>
        <w:trPr/>
        <w:tc>
          <w:tcPr>
            <w:tcW w:w="60" w:type="dxa"/>
            <w:tcBorders/>
            <w:vAlign w:val="center"/>
          </w:tcPr>
          <w:p>
            <w:pPr>
              <w:pStyle w:val="TableContents"/>
              <w:bidi w:val="0"/>
              <w:spacing w:before="0" w:after="0"/>
              <w:jc w:val="left"/>
              <w:rPr/>
            </w:pPr>
            <w:r>
              <w:rPr/>
              <w:t> </w:t>
            </w:r>
          </w:p>
        </w:tc>
        <w:tc>
          <w:tcPr>
            <w:tcW w:w="422" w:type="dxa"/>
            <w:tcBorders/>
            <w:vAlign w:val="center"/>
          </w:tcPr>
          <w:p>
            <w:pPr>
              <w:pStyle w:val="TableContents"/>
              <w:bidi w:val="0"/>
              <w:spacing w:before="0" w:after="0"/>
              <w:jc w:val="left"/>
              <w:rPr/>
            </w:pPr>
            <w:r>
              <w:rPr/>
              <w:t> </w:t>
            </w:r>
          </w:p>
        </w:tc>
        <w:tc>
          <w:tcPr>
            <w:tcW w:w="4832" w:type="dxa"/>
            <w:tcBorders/>
            <w:vAlign w:val="center"/>
          </w:tcPr>
          <w:p>
            <w:pPr>
              <w:pStyle w:val="TableContents"/>
              <w:bidi w:val="0"/>
              <w:spacing w:before="0" w:after="0"/>
              <w:jc w:val="left"/>
              <w:rPr/>
            </w:pPr>
            <w:r>
              <w:rPr/>
              <w:t>Title: Chief Executive Officer and President</w:t>
            </w:r>
          </w:p>
        </w:tc>
      </w:tr>
    </w:tbl>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[Signature page to Agreement and Plan of Merger]</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2bae5b4514c34173985b58759057ff8f"/>
      <w:bookmarkStart w:id="17" w:name="z2bae5b4514c34173985b58759057ff8f"/>
      <w:bookmarkEnd w:id="17"/>
    </w:p>
    <w:tbl>
      <w:tblPr>
        <w:tblW w:w="6199" w:type="dxa"/>
        <w:jc w:val="left"/>
        <w:tblInd w:w="0" w:type="dxa"/>
        <w:tblLayout w:type="fixed"/>
        <w:tblCellMar>
          <w:top w:w="0" w:type="dxa"/>
          <w:left w:w="0" w:type="dxa"/>
          <w:bottom w:w="0" w:type="dxa"/>
          <w:right w:w="0" w:type="dxa"/>
        </w:tblCellMar>
      </w:tblPr>
      <w:tblGrid>
        <w:gridCol w:w="60"/>
        <w:gridCol w:w="705"/>
        <w:gridCol w:w="5434"/>
      </w:tblGrid>
      <w:tr>
        <w:trPr/>
        <w:tc>
          <w:tcPr>
            <w:tcW w:w="60" w:type="dxa"/>
            <w:tcBorders/>
            <w:vAlign w:val="center"/>
          </w:tcPr>
          <w:p>
            <w:pPr>
              <w:pStyle w:val="TableContents"/>
              <w:bidi w:val="0"/>
              <w:spacing w:before="0" w:after="283"/>
              <w:jc w:val="left"/>
              <w:rPr/>
            </w:pPr>
            <w:r>
              <w:rPr/>
              <w:t> </w:t>
            </w:r>
          </w:p>
        </w:tc>
        <w:tc>
          <w:tcPr>
            <w:tcW w:w="6139" w:type="dxa"/>
            <w:gridSpan w:val="2"/>
            <w:tcBorders/>
            <w:vAlign w:val="center"/>
          </w:tcPr>
          <w:p>
            <w:pPr>
              <w:pStyle w:val="TableContents"/>
              <w:bidi w:val="0"/>
              <w:spacing w:before="0" w:after="0"/>
              <w:jc w:val="left"/>
              <w:rPr>
                <w:sz w:val="24"/>
              </w:rPr>
            </w:pPr>
            <w:r>
              <w:rPr>
                <w:b/>
                <w:sz w:val="20"/>
              </w:rPr>
              <w:t>AG REIT MANAGEMENT, LLC,</w:t>
            </w:r>
            <w:r>
              <w:rPr>
                <w:color w:val="000000"/>
                <w:sz w:val="24"/>
              </w:rPr>
              <w:t> </w:t>
            </w:r>
            <w:r>
              <w:rPr>
                <w:b/>
                <w:color w:val="000000"/>
                <w:sz w:val="20"/>
              </w:rPr>
              <w:t>solely for the purposes set forth herein</w:t>
            </w:r>
          </w:p>
        </w:tc>
      </w:tr>
      <w:tr>
        <w:trPr/>
        <w:tc>
          <w:tcPr>
            <w:tcW w:w="60" w:type="dxa"/>
            <w:tcBorders/>
            <w:vAlign w:val="center"/>
          </w:tcPr>
          <w:p>
            <w:pPr>
              <w:pStyle w:val="TableContents"/>
              <w:bidi w:val="0"/>
              <w:spacing w:before="0" w:after="283"/>
              <w:jc w:val="left"/>
              <w:rPr/>
            </w:pPr>
            <w:r>
              <w:rPr/>
              <w:t> </w:t>
            </w:r>
          </w:p>
        </w:tc>
        <w:tc>
          <w:tcPr>
            <w:tcW w:w="61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39" w:type="dxa"/>
            <w:gridSpan w:val="2"/>
            <w:tcBorders/>
            <w:vAlign w:val="center"/>
          </w:tcPr>
          <w:p>
            <w:pPr>
              <w:pStyle w:val="TableContents"/>
              <w:bidi w:val="0"/>
              <w:spacing w:before="0" w:after="0"/>
              <w:jc w:val="left"/>
              <w:rPr/>
            </w:pPr>
            <w:r>
              <w:rPr/>
              <w:t>By: Angelo, Gordon &amp; Co., L.P., its sole member</w:t>
            </w:r>
          </w:p>
        </w:tc>
      </w:tr>
      <w:tr>
        <w:trPr/>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543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0"/>
              <w:jc w:val="left"/>
              <w:rPr/>
            </w:pPr>
            <w:r>
              <w:rPr/>
              <w:t>By:</w:t>
            </w:r>
          </w:p>
        </w:tc>
        <w:tc>
          <w:tcPr>
            <w:tcW w:w="5434" w:type="dxa"/>
            <w:tcBorders>
              <w:bottom w:val="single" w:sz="12" w:space="0" w:color="000000"/>
            </w:tcBorders>
            <w:tcMar>
              <w:bottom w:w="28" w:type="dxa"/>
            </w:tcMar>
            <w:vAlign w:val="center"/>
          </w:tcPr>
          <w:p>
            <w:pPr>
              <w:pStyle w:val="TableContents"/>
              <w:bidi w:val="0"/>
              <w:spacing w:before="0" w:after="0"/>
              <w:jc w:val="left"/>
              <w:rPr/>
            </w:pPr>
            <w:r>
              <w:rPr/>
              <w:t>/s/ Christopher D. Moore</w:t>
            </w:r>
          </w:p>
        </w:tc>
      </w:tr>
      <w:tr>
        <w:trPr/>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5434" w:type="dxa"/>
            <w:tcBorders/>
            <w:vAlign w:val="center"/>
          </w:tcPr>
          <w:p>
            <w:pPr>
              <w:pStyle w:val="TableContents"/>
              <w:bidi w:val="0"/>
              <w:spacing w:before="0" w:after="0"/>
              <w:jc w:val="left"/>
              <w:rPr/>
            </w:pPr>
            <w:r>
              <w:rPr/>
              <w:t>Name: Christopher D. Moore</w:t>
            </w:r>
          </w:p>
        </w:tc>
      </w:tr>
      <w:tr>
        <w:trPr/>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left"/>
              <w:rPr/>
            </w:pPr>
            <w:r>
              <w:rPr/>
              <w:t> </w:t>
            </w:r>
          </w:p>
        </w:tc>
        <w:tc>
          <w:tcPr>
            <w:tcW w:w="5434" w:type="dxa"/>
            <w:tcBorders/>
            <w:vAlign w:val="center"/>
          </w:tcPr>
          <w:p>
            <w:pPr>
              <w:pStyle w:val="TableContents"/>
              <w:bidi w:val="0"/>
              <w:spacing w:before="0" w:after="0"/>
              <w:jc w:val="left"/>
              <w:rPr/>
            </w:pPr>
            <w:r>
              <w:rPr/>
              <w:t>Title: General Counsel</w:t>
            </w:r>
          </w:p>
        </w:tc>
      </w:tr>
    </w:tbl>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[Signature page to Agreement and Plan of Merger]</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Articles Supplementary</w:t>
      </w:r>
    </w:p>
    <w:p>
      <w:pPr>
        <w:pStyle w:val="TextBody"/>
        <w:bidi w:val="0"/>
        <w:spacing w:before="0" w:after="0"/>
        <w:jc w:val="center"/>
        <w:rPr>
          <w:color w:val="000000"/>
        </w:rPr>
      </w:pPr>
      <w:r>
        <w:rPr>
          <w:color w:val="000000"/>
        </w:rPr>
        <w:t> </w:t>
      </w:r>
      <w:r>
        <w:rPr>
          <w:rFonts w:ascii="Times New Roman" w:hAnsi="Times New Roman"/>
          <w:b/>
          <w:color w:val="000000"/>
          <w:sz w:val="20"/>
        </w:rPr>
        <w:t>Classifying Parent Series D Cumulative Redeemable Preferred Stock</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See attached.</w:t>
      </w:r>
    </w:p>
    <w:p>
      <w:pPr>
        <w:pStyle w:val="TextBody"/>
        <w:bidi w:val="0"/>
        <w:spacing w:before="0" w:after="0"/>
        <w:jc w:val="center"/>
        <w:rPr>
          <w:b/>
        </w:rPr>
      </w:pPr>
      <w:r>
        <w:rPr>
          <w:b/>
        </w:rPr>
      </w:r>
    </w:p>
    <w:p>
      <w:pPr>
        <w:pStyle w:val="HorizontalLine"/>
        <w:pBdr>
          <w:bottom w:val="single" w:sz="12" w:space="0" w:color="808080"/>
        </w:pBdr>
        <w:bidi w:val="0"/>
        <w:spacing w:before="200" w:after="20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TPG MORTGAGE INVESTMENT TRUST, INC.</w:t>
      </w:r>
    </w:p>
    <w:p>
      <w:pPr>
        <w:pStyle w:val="TextBody"/>
        <w:bidi w:val="0"/>
        <w:spacing w:before="0" w:after="0"/>
        <w:jc w:val="center"/>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ARTICLES SUPPLEMENTARY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8.20% Series D Cumulative Redeemable Preferred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TPG Mortgage Investment Trust, Inc., a Maryland corporation (the “</w:t>
      </w:r>
      <w:r>
        <w:rPr>
          <w:rFonts w:ascii="Times New Roman" w:hAnsi="Times New Roman"/>
          <w:color w:val="000000"/>
          <w:sz w:val="20"/>
          <w:u w:val="single"/>
        </w:rPr>
        <w:t>Corporation</w:t>
      </w:r>
      <w:r>
        <w:rPr>
          <w:rFonts w:ascii="Times New Roman" w:hAnsi="Times New Roman"/>
          <w:color w:val="000000"/>
          <w:sz w:val="20"/>
        </w:rPr>
        <w:t>”), hereby certifies to the State Department of Assessments and Taxation of Maryland that: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u w:val="single"/>
        </w:rPr>
        <w:t>FIRST</w:t>
      </w:r>
      <w:r>
        <w:rPr>
          <w:rFonts w:ascii="Times New Roman" w:hAnsi="Times New Roman"/>
          <w:color w:val="000000"/>
          <w:sz w:val="20"/>
        </w:rPr>
        <w:t>: Under a power contained in Article VI of the charter of the Corporation (the “</w:t>
      </w:r>
      <w:r>
        <w:rPr>
          <w:rFonts w:ascii="Times New Roman" w:hAnsi="Times New Roman"/>
          <w:color w:val="000000"/>
          <w:sz w:val="20"/>
          <w:u w:val="single"/>
        </w:rPr>
        <w:t>Charter</w:t>
      </w:r>
      <w:r>
        <w:rPr>
          <w:rFonts w:ascii="Times New Roman" w:hAnsi="Times New Roman"/>
          <w:color w:val="000000"/>
          <w:sz w:val="20"/>
        </w:rPr>
        <w:t>”), the Board of Directors of the Corporation (the “</w:t>
      </w:r>
      <w:r>
        <w:rPr>
          <w:rFonts w:ascii="Times New Roman" w:hAnsi="Times New Roman"/>
          <w:color w:val="000000"/>
          <w:sz w:val="20"/>
          <w:u w:val="single"/>
        </w:rPr>
        <w:t>Board</w:t>
      </w:r>
      <w:r>
        <w:rPr>
          <w:rFonts w:ascii="Times New Roman" w:hAnsi="Times New Roman"/>
          <w:color w:val="000000"/>
          <w:sz w:val="20"/>
        </w:rPr>
        <w:t>”) and a duly authorized committee thereof, by duly adopted resolutions, classified and designated 2,781,635 shares of authorized but unissued shares of preferred stock, $0.01 par value per share (the “</w:t>
      </w:r>
      <w:r>
        <w:rPr>
          <w:rFonts w:ascii="Times New Roman" w:hAnsi="Times New Roman"/>
          <w:color w:val="000000"/>
          <w:sz w:val="20"/>
          <w:u w:val="single"/>
        </w:rPr>
        <w:t>Preferred Stock</w:t>
      </w:r>
      <w:r>
        <w:rPr>
          <w:rFonts w:ascii="Times New Roman" w:hAnsi="Times New Roman"/>
          <w:color w:val="000000"/>
          <w:sz w:val="20"/>
        </w:rPr>
        <w:t>”), of the Corporation as shares of 8.20% Series D Cumulative Redeemable Preferred Stock, $0.01 par value per share (the “</w:t>
      </w:r>
      <w:r>
        <w:rPr>
          <w:rFonts w:ascii="Times New Roman" w:hAnsi="Times New Roman"/>
          <w:color w:val="000000"/>
          <w:sz w:val="20"/>
          <w:u w:val="single"/>
        </w:rPr>
        <w:t>Series D Preferred Stock</w:t>
      </w:r>
      <w:r>
        <w:rPr>
          <w:rFonts w:ascii="Times New Roman" w:hAnsi="Times New Roman"/>
          <w:color w:val="000000"/>
          <w:sz w:val="20"/>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Designation and Number</w:t>
      </w:r>
      <w:r>
        <w:rPr>
          <w:rFonts w:ascii="Times New Roman" w:hAnsi="Times New Roman"/>
          <w:color w:val="000000"/>
          <w:sz w:val="20"/>
        </w:rPr>
        <w:t>. A series of Preferred Stock, classified as the “8.20% Series D Cumulative  Redeemable Preferred Stock” is hereby established. The par value of the Series D Preferred Stock is $0.01 per share.  The number of authorized shares of the Series D Preferred Stock shall be 2,781,635.</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Maturity</w:t>
      </w:r>
      <w:r>
        <w:rPr>
          <w:rFonts w:ascii="Times New Roman" w:hAnsi="Times New Roman"/>
          <w:color w:val="000000"/>
          <w:sz w:val="20"/>
        </w:rPr>
        <w:t xml:space="preserve">. The Series D Preferred Stock has no stated maturity, is not subject to any sinking fund or mandatory redemption and will remain outstanding indefinitely unless (i) the Corporation decides to redeem or otherwise repurchase the Series D Preferred Stock or (ii) the Series D Preferred Stock becomes convertible and is actually converted pursuant to </w:t>
      </w:r>
      <w:r>
        <w:rPr>
          <w:rFonts w:ascii="Times New Roman" w:hAnsi="Times New Roman"/>
          <w:color w:val="000000"/>
          <w:sz w:val="20"/>
          <w:u w:val="single"/>
        </w:rPr>
        <w:t>Section 7</w:t>
      </w:r>
      <w:r>
        <w:rPr>
          <w:rFonts w:ascii="Times New Roman" w:hAnsi="Times New Roman"/>
          <w:color w:val="000000"/>
          <w:sz w:val="20"/>
        </w:rPr>
        <w:t xml:space="preserve"> hereof. The Corporation is not required to set apart for payment funds of the Corporation to redeem the Series D Preferred Stock.</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Ranking</w:t>
      </w:r>
      <w:r>
        <w:rPr>
          <w:rFonts w:ascii="Times New Roman" w:hAnsi="Times New Roman"/>
          <w:color w:val="000000"/>
          <w:sz w:val="20"/>
        </w:rPr>
        <w:t>. The Series D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 w:hAnsi="Times New Roman"/>
          <w:color w:val="000000"/>
          <w:sz w:val="20"/>
          <w:u w:val="single"/>
        </w:rPr>
        <w:t>Common Stock</w:t>
      </w:r>
      <w:r>
        <w:rPr>
          <w:rFonts w:ascii="Times New Roman" w:hAnsi="Times New Roman"/>
          <w:color w:val="000000"/>
          <w:sz w:val="20"/>
        </w:rPr>
        <w:t xml:space="preserve">”), of the Corporation and to all classes or series of stock of the Corporation other than the stock of the Corporation referred to in clauses (ii) and (iii) of this </w:t>
      </w:r>
      <w:r>
        <w:rPr>
          <w:rFonts w:ascii="Times New Roman" w:hAnsi="Times New Roman"/>
          <w:color w:val="000000"/>
          <w:sz w:val="20"/>
          <w:u w:val="single"/>
        </w:rPr>
        <w:t>Section 3</w:t>
      </w:r>
      <w:r>
        <w:rPr>
          <w:rFonts w:ascii="Times New Roman" w:hAnsi="Times New Roman"/>
          <w:color w:val="000000"/>
          <w:sz w:val="20"/>
        </w:rPr>
        <w:t>; (ii) on parity with the Corporation’s 8.25% Series A Cumulative Redeemable Preferred Stock, $0.01 par value per share, the 8.00% Series B Cumulative Redeemable Preferred Stock, $0.01 par value per share, the 8.000% Series C Fixed-to-Floating Rate Cumulative Redeemable Preferred Stock, $0.01 par value per share, and all classes or series of stock of the Corporation with terms specifically providing that such stock ranks on parity with the Series D Preferred Stock with respect to rights to the payment of dividends and the distribution of assets upon any liquidation, dissolution or winding up of the Corporation; (iii) junior to all classes or series of stock of the Corporation with terms specifically providing that such stock ranks senior to the Series D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Dividends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(a)          Holders of shares of the Series D Preferred Stock are entitled to receive, when, as and if authorized by the Board and declared by the Corporation, out of funds of the Corporation legally available for the payment of dividends, cumulative cash dividends at the rate of 8.20% of the $25.00 per share liquidation preference per annum (equivalent to $2.05 per annum per share). Dividends on the Series D Preferred Stock shall accumulate daily and shall be cumulative from, and including, [●], 20261 and shall be payable quarterly in arrears on the 17th day of each March, June, September and December (each, a “</w:t>
      </w:r>
      <w:r>
        <w:rPr>
          <w:rFonts w:ascii="Times New Roman" w:hAnsi="Times New Roman"/>
          <w:color w:val="000000"/>
          <w:sz w:val="20"/>
          <w:u w:val="single"/>
        </w:rPr>
        <w:t>Dividend Payment Date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Any dividend payable on the Series D Preferred Stock, including dividends payable for any partial dividend period, will be computed on the basis of a 360-day year consisting of twelve 30-day months (it being understood that the dividend payable on [●], 20262 will be for less than the full quarterly period). Dividends will be payable to holders of record as they appear in the stock records of the Corporation for the Series D Preferred Stock at the close of business on the applicable record date, which will be the last Business Day of the preceding calendar month in which the applicable Dividend Payment Date falls (each, a “</w:t>
      </w:r>
      <w:r>
        <w:rPr>
          <w:rFonts w:ascii="Times New Roman" w:hAnsi="Times New Roman"/>
          <w:color w:val="000000"/>
          <w:sz w:val="20"/>
          <w:u w:val="single"/>
        </w:rPr>
        <w:t>Dividend Record Date</w:t>
      </w:r>
      <w:r>
        <w:rPr>
          <w:rFonts w:ascii="Times New Roman" w:hAnsi="Times New Roman"/>
          <w:color w:val="000000"/>
          <w:sz w:val="20"/>
        </w:rPr>
        <w:t>”). The dividends payable on any Dividend Payment Date shall include dividends accumulated to, but not including, such Dividend Payment Date.  No holder of any shares of Series D Preferred Stock shall be entitled to receive any dividends paid or payable on the Series D Preferred Stock with a Dividend Record Date before the date such shares of Series D Preferred Stock are issued.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No dividends on shares of Series D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the agreement or a default under the agreement, or if the authorization, payment or setting apart for payment is restricted or prohibited by law.</w:t>
      </w:r>
    </w:p>
    <w:p>
      <w:pPr>
        <w:pStyle w:val="TextBody"/>
        <w:bidi w:val="0"/>
        <w:spacing w:before="0" w:after="0"/>
        <w:ind w:left="0" w:right="0" w:firstLine="72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w:t>
      </w:r>
      <w:r>
        <w:rPr>
          <w:rFonts w:ascii="Times New Roman" w:hAnsi="Times New Roman"/>
          <w:color w:val="000000"/>
          <w:sz w:val="20"/>
          <w:u w:val="single"/>
        </w:rPr>
        <w:t>Note to draft</w:t>
      </w:r>
      <w:r>
        <w:rPr>
          <w:rFonts w:ascii="Times New Roman" w:hAnsi="Times New Roman"/>
          <w:color w:val="000000"/>
          <w:sz w:val="20"/>
        </w:rPr>
        <w:t>: This date will be the first day of the current dividend quarterly period under the Cherry Hill Mortgage Investment Corporation 8.20% Series A Cumulative Redeemable Preferred Stock during which the Closing Date for the Company Merger occurs.  Capitalized terms used in the footnotes but not defined in these articles supplementary have the meaning set forth in the Agreement and Plan of Merger, dated as of August 9, 2026, among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Note to draft</w:t>
      </w:r>
      <w:r>
        <w:rPr>
          <w:rFonts w:ascii="Times New Roman" w:hAnsi="Times New Roman"/>
          <w:color w:val="000000"/>
          <w:sz w:val="20"/>
        </w:rPr>
        <w:t>: This is the date of the first dividend payment after the Closing Date for the Company Merger for this 8.20% Series D Cumulative Redeemable Preferred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Notwithstanding anything to the contrary contained herein, dividends on the Series D Preferred Stock will accumulate whether or not the terms and provisions of any laws or agreements referred to in </w:t>
      </w:r>
      <w:r>
        <w:rPr>
          <w:rFonts w:ascii="Times New Roman" w:hAnsi="Times New Roman"/>
          <w:color w:val="000000"/>
          <w:sz w:val="20"/>
          <w:u w:val="single"/>
        </w:rPr>
        <w:t>Section 4(b)</w:t>
      </w:r>
      <w:r>
        <w:rPr>
          <w:rFonts w:ascii="Times New Roman" w:hAnsi="Times New Roman"/>
          <w:color w:val="000000"/>
          <w:sz w:val="20"/>
        </w:rPr>
        <w:t xml:space="preserve"> 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D Preferred Stock which may be in arrears, and holders of Series D Preferred Stock will not be entitled to any dividends in excess of full cumulative dividends described in </w:t>
      </w:r>
      <w:r>
        <w:rPr>
          <w:rFonts w:ascii="Times New Roman" w:hAnsi="Times New Roman"/>
          <w:color w:val="000000"/>
          <w:sz w:val="20"/>
          <w:u w:val="single"/>
        </w:rPr>
        <w:t>Section 4(a)</w:t>
      </w:r>
      <w:r>
        <w:rPr>
          <w:rFonts w:ascii="Times New Roman" w:hAnsi="Times New Roman"/>
          <w:color w:val="000000"/>
          <w:sz w:val="20"/>
        </w:rPr>
        <w:t xml:space="preserve"> hereof. Any dividend payment made on the Series D Preferred Stock will first be credited against the earliest accumulated but unpaid dividend due with respect to the Series D Preferred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Except as provided in </w:t>
      </w:r>
      <w:r>
        <w:rPr>
          <w:rFonts w:ascii="Times New Roman" w:hAnsi="Times New Roman"/>
          <w:color w:val="000000"/>
          <w:sz w:val="20"/>
          <w:u w:val="single"/>
        </w:rPr>
        <w:t>Section 4(e)</w:t>
      </w:r>
      <w:r>
        <w:rPr>
          <w:rFonts w:ascii="Times New Roman" w:hAnsi="Times New Roman"/>
          <w:color w:val="000000"/>
          <w:sz w:val="20"/>
        </w:rPr>
        <w:t xml:space="preserve"> hereof, unless full cumulative dividends on the Series D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D Preferred Stock as to dividends and upon liquidation) shall be declared or paid or set apart for payment upon shares of Common Stock or shares of any other class or series of stock of the Corporation ranking junior to or on parity with the Series D Preferred Stock as to dividends or upon liquidation, (ii) no other distribution shall be declared or made upon shares of Common Stock or shares of any other class or series of stock of the Corporation ranking junior to or on parity with the Series D Preferred Stock as to dividends or upon liquidation, and (iii)  shares of Common Stock and shares of any other class or series of stock of the Corporation ranking junior to or on parity with the Series D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D Preferred Stock as to dividends and upon liquidation or pursuant to a purchase or exchange offer made on the same terms to holders of all outstanding shares of Series D Preferred Stock and shares of any other class or series of stock of the Corporation ranking on parity with the Series D Preferred Stock as to dividends or upon liquidation); </w:t>
      </w:r>
      <w:r>
        <w:rPr>
          <w:rFonts w:ascii="Times New Roman" w:hAnsi="Times New Roman"/>
          <w:i/>
          <w:color w:val="000000"/>
          <w:sz w:val="20"/>
        </w:rPr>
        <w:t>provided, however</w:t>
      </w:r>
      <w:r>
        <w:rPr>
          <w:rFonts w:ascii="Times New Roman" w:hAnsi="Times New Roman"/>
          <w:color w:val="000000"/>
          <w:sz w:val="20"/>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When dividends are not paid in full (or a sum sufficient for such full payment is not so set apart) upon the Series D Preferred Stock and shares of any other classes or series of stock of the Corporation ranking on parity as to dividends with the Series D Preferred Stock, all dividends declared upon the Series D Preferred Stock and all other such shares of stock shall be declared </w:t>
      </w:r>
      <w:r>
        <w:rPr>
          <w:rFonts w:ascii="Times New Roman" w:hAnsi="Times New Roman"/>
          <w:i/>
          <w:color w:val="000000"/>
          <w:sz w:val="20"/>
        </w:rPr>
        <w:t>pro rata</w:t>
      </w:r>
      <w:r>
        <w:rPr>
          <w:rFonts w:ascii="Times New Roman" w:hAnsi="Times New Roman"/>
          <w:color w:val="000000"/>
          <w:sz w:val="20"/>
        </w:rPr>
        <w:t xml:space="preserve"> so that the amount of dividends declared per share of Series D Preferred Stock and all other such shares of stock shall in all cases bear to each other the same ratio that accumulated dividends per share on the Series D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D Preferred Stock which may be in arrears.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Business Day</w:t>
      </w:r>
      <w:r>
        <w:rPr>
          <w:rFonts w:ascii="Times New Roman" w:hAnsi="Times New Roman"/>
          <w:color w:val="000000"/>
          <w:sz w:val="20"/>
        </w:rPr>
        <w:t>” shall mean any day, other than a Saturday or Sunday, that is neither a legal holiday nor a day on which banking institutions in New York, New York are authorized or required by law, regulation or executive order to close.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Set apart for payment</w:t>
      </w:r>
      <w:r>
        <w:rPr>
          <w:rFonts w:ascii="Times New Roman" w:hAnsi="Times New Roman"/>
          <w:color w:val="000000"/>
          <w:sz w:val="20"/>
        </w:rPr>
        <w:t>” 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D Preferred Stock as to the payment of dividends are placed in a separate account of the Corporation or delivered to a disbursing, paying or other similar agent, then “set apart for payment” with respect to the Series D Preferred Stock shall mean placing such funds in a separate account or delivering such funds to a disbursing, paying or other similar agent.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Liquidation Preference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In the event of any voluntary or involuntary liquidation, dissolution or winding up of the Corporation, the holders of Series D Preferred Stock will be entitled to be paid out of the assets the Corporation has legally available for distribution to its stockholders, subject to the preferential rights of the holders of any class or series of stock of the Corporation ranking senior to the Series D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D Preferred Stock as to liquidation rights; and such holders of Series D Preferred Stock shall not be entitled to any further payment.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In the event that, upon any such voluntary or involuntary liquidation, dissolution or winding up, the available assets of the Corporation are insufficient to pay the amount of the liquidating distributions on all outstanding shares of Series D Preferred Stock and the corresponding amounts payable on all shares of other classes or series of stock of the Corporation ranking on parity with the Series D Preferred Stock in the distribution of assets upon liquidation, dissolution or winding up, then the holders of Series D Preferred Stock and all other such classes or series of stock shall share ratably in any such distribution of assets in proportion to the full liquidating distributions to which they would otherwise be respectively entitled.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D Preferred Stock at the address of such holder as it shall appear on the stock records of the Corporation. After payment of the full amount of the liquidating distributions to which they are entitled, the holders of Series D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the Corporation or a statutory share exchange, shall not be deemed to constitute a liquidation, dissolution or winding up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D Preferred Stock shall not be added to the Corporation’s total liabilities.</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Redemption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As described in this </w:t>
      </w:r>
      <w:r>
        <w:rPr>
          <w:rFonts w:ascii="Times New Roman" w:hAnsi="Times New Roman"/>
          <w:color w:val="000000"/>
          <w:sz w:val="20"/>
          <w:u w:val="single"/>
        </w:rPr>
        <w:t>Section 6</w:t>
      </w:r>
      <w:r>
        <w:rPr>
          <w:rFonts w:ascii="Times New Roman" w:hAnsi="Times New Roman"/>
          <w:color w:val="000000"/>
          <w:sz w:val="20"/>
        </w:rPr>
        <w:t xml:space="preserve"> and as provided in Article VII of the Charter, the Corporation may purchase or redeem shares of the Series D Preferred Stock, including under circumstances where it is necessary to preserve the Corporation’s qualification as a real estate investment trust for U.S. federal income tax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Optional Redemption Right</w:t>
      </w:r>
      <w:r>
        <w:rPr>
          <w:rFonts w:ascii="Times New Roman" w:hAnsi="Times New Roman"/>
          <w:color w:val="000000"/>
          <w:sz w:val="20"/>
        </w:rPr>
        <w:t xml:space="preserve">. The Corporation may, at its option, upon not less than 30 nor more than 60 days’ notice, as provided below, redeem the Series D Preferred Stock, in whole or in part, at any time or from time to time, for cash at a redemption price of $25.00 per share, plus, subject to </w:t>
      </w:r>
      <w:r>
        <w:rPr>
          <w:rFonts w:ascii="Times New Roman" w:hAnsi="Times New Roman"/>
          <w:color w:val="000000"/>
          <w:sz w:val="20"/>
          <w:u w:val="single"/>
        </w:rPr>
        <w:t>Section 6(j)</w:t>
      </w:r>
      <w:r>
        <w:rPr>
          <w:rFonts w:ascii="Times New Roman" w:hAnsi="Times New Roman"/>
          <w:color w:val="000000"/>
          <w:sz w:val="20"/>
        </w:rPr>
        <w:t xml:space="preserve"> hereof, any accumulated and unpaid dividends thereon (whether or not authorized or declared) to, but not including, the date fixed for redemption.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Special Optional Redemption Right</w:t>
      </w:r>
      <w:r>
        <w:rPr>
          <w:rFonts w:ascii="Times New Roman" w:hAnsi="Times New Roman"/>
          <w:color w:val="000000"/>
          <w:sz w:val="20"/>
        </w:rPr>
        <w:t xml:space="preserve">. Upon the occurrence of a Change of Control (as defined below), the Corporation may, at its option, upon not less than 30 nor more than 60 days’ notice, as provided below, redeem the Series D Preferred Stock, in whole or in part, within 120 days after the first date on which such Change of Control occurred, for cash at a redemption price of $25.00 per share, plus, subject to </w:t>
      </w:r>
      <w:r>
        <w:rPr>
          <w:rFonts w:ascii="Times New Roman" w:hAnsi="Times New Roman"/>
          <w:color w:val="000000"/>
          <w:sz w:val="20"/>
          <w:u w:val="single"/>
        </w:rPr>
        <w:t>Section 6(j)</w:t>
      </w:r>
      <w:r>
        <w:rPr>
          <w:rFonts w:ascii="Times New Roman" w:hAnsi="Times New Roman"/>
          <w:color w:val="000000"/>
          <w:sz w:val="20"/>
        </w:rPr>
        <w:t xml:space="preserve"> 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D Preferred Stock pursuant to this </w:t>
      </w:r>
      <w:r>
        <w:rPr>
          <w:rFonts w:ascii="Times New Roman" w:hAnsi="Times New Roman"/>
          <w:color w:val="000000"/>
          <w:sz w:val="20"/>
          <w:u w:val="single"/>
        </w:rPr>
        <w:t>Section 6</w:t>
      </w:r>
      <w:r>
        <w:rPr>
          <w:rFonts w:ascii="Times New Roman" w:hAnsi="Times New Roman"/>
          <w:color w:val="000000"/>
          <w:sz w:val="20"/>
        </w:rPr>
        <w:t>, the holders of Series D Preferred Stock will not have the Change of Control Conversion Right (as defined below) with respect to the shares of Series D Preferred Stock called for redemption.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(d)          A “</w:t>
      </w:r>
      <w:r>
        <w:rPr>
          <w:rFonts w:ascii="Times New Roman" w:hAnsi="Times New Roman"/>
          <w:color w:val="000000"/>
          <w:sz w:val="20"/>
          <w:u w:val="single"/>
        </w:rPr>
        <w:t>Change of Control</w:t>
      </w:r>
      <w:r>
        <w:rPr>
          <w:rFonts w:ascii="Times New Roman" w:hAnsi="Times New Roman"/>
          <w:color w:val="000000"/>
          <w:sz w:val="20"/>
        </w:rPr>
        <w:t>” is deemed to occur when, after [●], 20263 (the “</w:t>
      </w:r>
      <w:r>
        <w:rPr>
          <w:rFonts w:ascii="Times New Roman" w:hAnsi="Times New Roman"/>
          <w:color w:val="000000"/>
          <w:sz w:val="20"/>
          <w:u w:val="single"/>
        </w:rPr>
        <w:t>Original Issue Date</w:t>
      </w:r>
      <w:r>
        <w:rPr>
          <w:rFonts w:ascii="Times New Roman" w:hAnsi="Times New Roman"/>
          <w:color w:val="000000"/>
          <w:sz w:val="20"/>
        </w:rPr>
        <w:t>”), the following have occurred and are continuing: (i) the acquisition by any person, including any syndicate or group deemed to be a “person” under Section 13(d)(3)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neither the Corporation nor the acquiring or surviving entity has a class of common securities (or American Depositary Receipts representing such securities) listed on the New York Stock Exchange (the “</w:t>
      </w:r>
      <w:r>
        <w:rPr>
          <w:rFonts w:ascii="Times New Roman" w:hAnsi="Times New Roman"/>
          <w:color w:val="000000"/>
          <w:sz w:val="20"/>
          <w:u w:val="single"/>
        </w:rPr>
        <w:t>NYSE</w:t>
      </w:r>
      <w:r>
        <w:rPr>
          <w:rFonts w:ascii="Times New Roman" w:hAnsi="Times New Roman"/>
          <w:color w:val="000000"/>
          <w:sz w:val="20"/>
        </w:rPr>
        <w:t>”), the NYSE MKT LLC (the “</w:t>
      </w:r>
      <w:r>
        <w:rPr>
          <w:rFonts w:ascii="Times New Roman" w:hAnsi="Times New Roman"/>
          <w:color w:val="000000"/>
          <w:sz w:val="20"/>
          <w:u w:val="single"/>
        </w:rPr>
        <w:t>NYSE MKT</w:t>
      </w:r>
      <w:r>
        <w:rPr>
          <w:rFonts w:ascii="Times New Roman" w:hAnsi="Times New Roman"/>
          <w:color w:val="000000"/>
          <w:sz w:val="20"/>
        </w:rPr>
        <w:t>”) or the Nasdaq Stock Market (“</w:t>
      </w:r>
      <w:r>
        <w:rPr>
          <w:rFonts w:ascii="Times New Roman" w:hAnsi="Times New Roman"/>
          <w:color w:val="000000"/>
          <w:sz w:val="20"/>
          <w:u w:val="single"/>
        </w:rPr>
        <w:t>Nasdaq</w:t>
      </w:r>
      <w:r>
        <w:rPr>
          <w:rFonts w:ascii="Times New Roman" w:hAnsi="Times New Roman"/>
          <w:color w:val="000000"/>
          <w:sz w:val="20"/>
        </w:rPr>
        <w:t>”), or listed or quoted on an exchange or quotation system that is a successor to the NYSE, the NYSE MKT or Nasdaq.</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In the event the Corporation elects to redeem Series D Preferred Stock, the notice of redemption will be given by the Corporation, postage prepaid, not less than 30 nor more than 60 days prior to the redemption date, to each holder of record of Series D Preferred Stock called for redemption at such holder’s address as it appears on the stock records of the Corporation and shall state: (i) the redemption date; (ii) the number of shares of Series D Preferred Stock to be redeemed; (iii) the redemption price; (iv) the place or places where certificates (if any) for the Series D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for redemption will be redeemed on the related date of redemption instead of converted on the Change of Control Conversion Date. If less than all of the shares of Series D Preferred Stock held by any holder are to be redeemed, the notice given to such holder shall also specify the number of shares of Series D Preferred Stock held by such holder to be redeemed. No failure to give such notice or any defect thereto or in the giving thereof shall affect the validity of the proceedings for the redemption of any shares of Series D Preferred Stock except as to the holder to whom notice was defective or not given. Notwithstanding the foregoing, no notice of redemption will be required where the Corporation elects to redeem Series D Preferred Stock pursuant to Article VII of the Charter, including to preserve the Corporation’s qualification as a real estate investment trust for U.S. federal income tax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Holders of shares of Series D Preferred Stock to be redeemed shall surrender the shares of Series D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If notice of redemption of any shares of Series D Preferred Stock has been given and if the Corporation irrevocably sets apart for payment the funds necessary for redemption (including any accumulated and unpaid dividends) in trust for the benefit of the holders of the shares of Series D Preferred Stock so called for redemption, then from and after the redemption date (unless the Corporation shall default in providing for the payment of the redemption price plus accumulated and unpaid dividends, if any), dividends will cease to accumulate on those shares of Series D Preferred Stock, those shares of Series D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before="0" w:after="0"/>
        <w:ind w:left="0" w:right="0" w:firstLine="72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Note to draft</w:t>
      </w:r>
      <w:r>
        <w:rPr>
          <w:rFonts w:ascii="Times New Roman" w:hAnsi="Times New Roman"/>
          <w:color w:val="000000"/>
          <w:sz w:val="20"/>
        </w:rPr>
        <w:t>: This is the Closing Date for the Company Merger.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           If less than all of the outstanding shares of Series D Preferred Stock are to be redeemed, the shares of Series D Preferred Stock to be redeemed shall be selected </w:t>
      </w:r>
      <w:r>
        <w:rPr>
          <w:rFonts w:ascii="Times New Roman" w:hAnsi="Times New Roman"/>
          <w:i/>
          <w:color w:val="000000"/>
          <w:sz w:val="20"/>
        </w:rPr>
        <w:t>pro rata</w:t>
      </w:r>
      <w:r>
        <w:rPr>
          <w:rFonts w:ascii="Times New Roman" w:hAnsi="Times New Roman"/>
          <w:color w:val="000000"/>
          <w:sz w:val="20"/>
        </w:rPr>
        <w:t xml:space="preserve"> (as nearly as may be practicable without creating fractional shares) or by lot if the Corporation shall determine that such method of selection will not result in the automatic transfer of any shares of Series D Preferred Stock to a trust pursuant to Article VII of the Charter (as to restrictions on transfer and ownership of shares of the Corporation’s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(j)           Immediately prior to any redemption of Series D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D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 w:hAnsi="Times New Roman"/>
          <w:color w:val="000000"/>
          <w:sz w:val="20"/>
          <w:u w:val="single"/>
        </w:rPr>
        <w:t>Section 6(j)</w:t>
      </w:r>
      <w:r>
        <w:rPr>
          <w:rFonts w:ascii="Times New Roman" w:hAnsi="Times New Roman"/>
          <w:color w:val="000000"/>
          <w:sz w:val="20"/>
        </w:rPr>
        <w:t>, the Corporation will make no payment or allowance for unpaid dividends, whether or not in arrears, on shares of the Series D Preferred Stock to be redeemed.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(k)          Unless full cumulative dividends on all shares of Series D Preferred Stock shall have been or contemporaneously are declared and paid or declared and a sum sufficient for the payment thereof has been or contemporaneously is set apart for payment for all past dividend periods, no shares of Series D Preferred Stock shall be redeemed unless all outstanding shares of Series D Preferred Stock are simultaneously redeemed, and the Corporation shall not purchase or otherwise acquire directly or indirectly any shares of Series D Preferred Stock (except by conversion into or exchange for shares of, or options, warrants or rights to purchase or subscribe for, Common Stock or stock ranking junior to the Series D Preferred Stock as to dividends and upon liquidation or pursuant to a purchase or exchange offer made on the same terms to holders of all outstanding shares of Series D Preferred Stock); </w:t>
      </w:r>
      <w:r>
        <w:rPr>
          <w:rFonts w:ascii="Times New Roman" w:hAnsi="Times New Roman"/>
          <w:i/>
          <w:color w:val="000000"/>
          <w:sz w:val="20"/>
        </w:rPr>
        <w:t>provided, however</w:t>
      </w:r>
      <w:r>
        <w:rPr>
          <w:rFonts w:ascii="Times New Roman" w:hAnsi="Times New Roman"/>
          <w:color w:val="000000"/>
          <w:sz w:val="20"/>
        </w:rPr>
        <w:t>, that the foregoing shall not prevent the redemption, purchase or acquisition by the Corporation of shares of Series D Preferred Stock pursuant to Article VII of the Charter to preserve the Corporation’s qualification as a real estate investment trust for U.S. federal income tax purposes, among other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Subject to applicable law, the Corporation may purchase shares of Series D Preferred Stock in the open market, by tender or by private agreement. Any shares of Series D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before="0" w:after="0"/>
        <w:ind w:left="0" w:right="0" w:firstLine="72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Conversion Rights</w:t>
      </w:r>
      <w:r>
        <w:rPr>
          <w:rFonts w:ascii="Times New Roman" w:hAnsi="Times New Roman"/>
          <w:color w:val="000000"/>
          <w:sz w:val="20"/>
        </w:rPr>
        <w:t xml:space="preserve">. Shares of Series D Preferred Stock are not convertible into or exchangeable for any other property or securities of the Corporation, except as provided in this </w:t>
      </w:r>
      <w:r>
        <w:rPr>
          <w:rFonts w:ascii="Times New Roman" w:hAnsi="Times New Roman"/>
          <w:color w:val="000000"/>
          <w:sz w:val="20"/>
          <w:u w:val="single"/>
        </w:rPr>
        <w:t>Section 7</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 xml:space="preserve">(a)          Upon the occurrence of a Change of Control, each holder of Series D Preferred Stock will have the right (unless, prior to the Change of Control Conversion Date, the Corporation has provided notice of its election to redeem some or all of the shares of Series D Preferred Stock held by such holder pursuant to </w:t>
      </w:r>
      <w:r>
        <w:rPr>
          <w:rFonts w:ascii="Times New Roman" w:hAnsi="Times New Roman"/>
          <w:color w:val="000000"/>
          <w:sz w:val="20"/>
          <w:u w:val="single"/>
        </w:rPr>
        <w:t>Section 6</w:t>
      </w:r>
      <w:r>
        <w:rPr>
          <w:rFonts w:ascii="Times New Roman" w:hAnsi="Times New Roman"/>
          <w:color w:val="000000"/>
          <w:sz w:val="20"/>
        </w:rPr>
        <w:t xml:space="preserve"> hereof, in which case such holder will have the right only with respect to shares of Series D Preferred Stock that are not called for redemption) to convert some or all of the shares of Series D Preferred Stock held by such holder (the “</w:t>
      </w:r>
      <w:r>
        <w:rPr>
          <w:rFonts w:ascii="Times New Roman" w:hAnsi="Times New Roman"/>
          <w:color w:val="000000"/>
          <w:sz w:val="20"/>
          <w:u w:val="single"/>
        </w:rPr>
        <w:t>Change of Control Conversion Right</w:t>
      </w:r>
      <w:r>
        <w:rPr>
          <w:rFonts w:ascii="Times New Roman" w:hAnsi="Times New Roman"/>
          <w:color w:val="000000"/>
          <w:sz w:val="20"/>
        </w:rPr>
        <w:t>”) on the Change of Control Conversion Date into a number of shares of Common Stock per share of Series D Preferred Stock (the “</w:t>
      </w:r>
      <w:r>
        <w:rPr>
          <w:rFonts w:ascii="Times New Roman" w:hAnsi="Times New Roman"/>
          <w:color w:val="000000"/>
          <w:sz w:val="20"/>
          <w:u w:val="single"/>
        </w:rPr>
        <w:t>Common Stock Conversion Consideration</w:t>
      </w:r>
      <w:r>
        <w:rPr>
          <w:rFonts w:ascii="Times New Roman" w:hAnsi="Times New Roman"/>
          <w:color w:val="000000"/>
          <w:sz w:val="20"/>
        </w:rPr>
        <w:t xml:space="preserve">”) equal to the lesser of: (i) the quotient obtained by dividing (x) the sum of the $25.00 liquidation preference per share of Series D Preferred Stock plus (subject to </w:t>
      </w:r>
      <w:r>
        <w:rPr>
          <w:rFonts w:ascii="Times New Roman" w:hAnsi="Times New Roman"/>
          <w:color w:val="000000"/>
          <w:sz w:val="20"/>
          <w:u w:val="single"/>
        </w:rPr>
        <w:t>Section 7(p)</w:t>
      </w:r>
      <w:r>
        <w:rPr>
          <w:rFonts w:ascii="Times New Roman" w:hAnsi="Times New Roman"/>
          <w:color w:val="000000"/>
          <w:sz w:val="20"/>
        </w:rPr>
        <w:t xml:space="preserve"> hereof) the amount of any accumulated and unpaid dividends (whether or not earned or declared) thereon to, but not including, the Change of Control Conversion Date (unless the Change of Control Conversion Date is after a Dividend Record Date and prior to the corresponding Dividend Payment Date for the Series D Preferred Stock, in which case no additional amount for such accumulated and unpaid dividends will be included in this sum) by (y) the Common Stock Price (as defined below) (such quotient, the “</w:t>
      </w:r>
      <w:r>
        <w:rPr>
          <w:rFonts w:ascii="Times New Roman" w:hAnsi="Times New Roman"/>
          <w:color w:val="000000"/>
          <w:sz w:val="20"/>
          <w:u w:val="single"/>
        </w:rPr>
        <w:t>Conversion Rate</w:t>
      </w:r>
      <w:r>
        <w:rPr>
          <w:rFonts w:ascii="Times New Roman" w:hAnsi="Times New Roman"/>
          <w:color w:val="000000"/>
          <w:sz w:val="20"/>
        </w:rPr>
        <w:t>”); and (ii) [●]4 (the “</w:t>
      </w:r>
      <w:r>
        <w:rPr>
          <w:rFonts w:ascii="Times New Roman" w:hAnsi="Times New Roman"/>
          <w:color w:val="000000"/>
          <w:sz w:val="20"/>
          <w:u w:val="single"/>
        </w:rPr>
        <w:t>Share Cap</w:t>
      </w:r>
      <w:r>
        <w:rPr>
          <w:rFonts w:ascii="Times New Roman" w:hAnsi="Times New Roman"/>
          <w:color w:val="000000"/>
          <w:sz w:val="20"/>
        </w:rPr>
        <w:t xml:space="preserve">”), subject to adjustments provided in </w:t>
      </w:r>
      <w:r>
        <w:rPr>
          <w:rFonts w:ascii="Times New Roman" w:hAnsi="Times New Roman"/>
          <w:color w:val="000000"/>
          <w:sz w:val="20"/>
          <w:u w:val="single"/>
        </w:rPr>
        <w:t>Section 7(b)</w:t>
      </w:r>
      <w:r>
        <w:rPr>
          <w:rFonts w:ascii="Times New Roman" w:hAnsi="Times New Roman"/>
          <w:color w:val="000000"/>
          <w:sz w:val="20"/>
        </w:rPr>
        <w:t xml:space="preserve">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The Share Cap is subject to </w:t>
      </w:r>
      <w:r>
        <w:rPr>
          <w:rFonts w:ascii="Times New Roman" w:hAnsi="Times New Roman"/>
          <w:i/>
          <w:color w:val="000000"/>
          <w:sz w:val="20"/>
        </w:rPr>
        <w:t>pro rata</w:t>
      </w:r>
      <w:r>
        <w:rPr>
          <w:rFonts w:ascii="Times New Roman" w:hAnsi="Times New Roman"/>
          <w:color w:val="000000"/>
          <w:sz w:val="20"/>
        </w:rPr>
        <w:t xml:space="preserve"> adjustments for any share splits (including those effected pursuant to a distribution of Common Stock to existing holders of Common Stock), subdivisions or combinations (in each case, a “</w:t>
      </w:r>
      <w:r>
        <w:rPr>
          <w:rFonts w:ascii="Times New Roman" w:hAnsi="Times New Roman"/>
          <w:color w:val="000000"/>
          <w:sz w:val="20"/>
          <w:u w:val="single"/>
        </w:rPr>
        <w:t>Share Split</w:t>
      </w:r>
      <w:r>
        <w:rPr>
          <w:rFonts w:ascii="Times New Roman" w:hAnsi="Times New Roman"/>
          <w:color w:val="000000"/>
          <w:sz w:val="20"/>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D Preferred Stock issued and outstanding at the Change of Control Conversion Date (or equivalent Alternative Conversion Consideration, as applicable) (the “</w:t>
      </w:r>
      <w:r>
        <w:rPr>
          <w:rFonts w:ascii="Times New Roman" w:hAnsi="Times New Roman"/>
          <w:color w:val="000000"/>
          <w:sz w:val="20"/>
          <w:u w:val="single"/>
        </w:rPr>
        <w:t>Exchange Cap</w:t>
      </w:r>
      <w:r>
        <w:rPr>
          <w:rFonts w:ascii="Times New Roman" w:hAnsi="Times New Roman"/>
          <w:color w:val="000000"/>
          <w:sz w:val="20"/>
        </w:rPr>
        <w:t xml:space="preserve">”). The Exchange Cap is subject to </w:t>
      </w:r>
      <w:r>
        <w:rPr>
          <w:rFonts w:ascii="Times New Roman" w:hAnsi="Times New Roman"/>
          <w:i/>
          <w:color w:val="000000"/>
          <w:sz w:val="20"/>
        </w:rPr>
        <w:t>pro rata</w:t>
      </w:r>
      <w:r>
        <w:rPr>
          <w:rFonts w:ascii="Times New Roman" w:hAnsi="Times New Roman"/>
          <w:color w:val="000000"/>
          <w:sz w:val="20"/>
        </w:rPr>
        <w:t xml:space="preserve"> adjustments for any Share Splits on the same basis as the corresponding adjustments to the Share Cap.</w:t>
      </w:r>
    </w:p>
    <w:p>
      <w:pPr>
        <w:pStyle w:val="TextBody"/>
        <w:bidi w:val="0"/>
        <w:spacing w:before="0" w:after="0"/>
        <w:ind w:left="0" w:right="0" w:firstLine="720"/>
        <w:jc w:val="left"/>
        <w:rPr/>
      </w:pPr>
      <w:r>
        <w:rPr/>
      </w:r>
    </w:p>
    <w:p>
      <w:pPr>
        <w:pStyle w:val="HorizontalLine"/>
        <w:pBdr>
          <w:bottom w:val="single" w:sz="12" w:space="0" w:color="808080"/>
        </w:pBdr>
        <w:bidi w:val="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4 </w:t>
      </w:r>
      <w:r>
        <w:rPr>
          <w:rFonts w:ascii="Times New Roman" w:hAnsi="Times New Roman"/>
          <w:color w:val="000000"/>
          <w:sz w:val="20"/>
          <w:u w:val="single"/>
        </w:rPr>
        <w:t>Note to Draft</w:t>
      </w:r>
      <w:r>
        <w:rPr>
          <w:rFonts w:ascii="Times New Roman" w:hAnsi="Times New Roman"/>
          <w:color w:val="000000"/>
          <w:sz w:val="20"/>
        </w:rPr>
        <w:t>: The original Share Cap of 2.62881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w:t>
      </w:r>
      <w:r>
        <w:rPr>
          <w:rFonts w:ascii="Times New Roman" w:hAnsi="Times New Roman"/>
          <w:color w:val="000000"/>
          <w:sz w:val="20"/>
          <w:u w:val="single"/>
        </w:rPr>
        <w:t>Change of Control Conversion Date</w:t>
      </w:r>
      <w:r>
        <w:rPr>
          <w:rFonts w:ascii="Times New Roman" w:hAnsi="Times New Roman"/>
          <w:color w:val="000000"/>
          <w:sz w:val="20"/>
        </w:rPr>
        <w:t xml:space="preserve">” is the date the Series D Preferred Stock is to be converted, which will be a Business Day selected by the Corporation that is neither fewer than 20 days nor more than 35 days after the date on which it provides the notice described in </w:t>
      </w:r>
      <w:r>
        <w:rPr>
          <w:rFonts w:ascii="Times New Roman" w:hAnsi="Times New Roman"/>
          <w:color w:val="000000"/>
          <w:sz w:val="20"/>
          <w:u w:val="single"/>
        </w:rPr>
        <w:t>Section 7(h)</w:t>
      </w:r>
      <w:r>
        <w:rPr>
          <w:rFonts w:ascii="Times New Roman" w:hAnsi="Times New Roman"/>
          <w:color w:val="000000"/>
          <w:sz w:val="20"/>
        </w:rPr>
        <w:t xml:space="preserve"> to the holders of Series D Preferred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w:t>
      </w:r>
      <w:r>
        <w:rPr>
          <w:rFonts w:ascii="Times New Roman" w:hAnsi="Times New Roman"/>
          <w:color w:val="000000"/>
          <w:sz w:val="20"/>
          <w:u w:val="single"/>
        </w:rPr>
        <w:t>Common Stock Price</w:t>
      </w:r>
      <w:r>
        <w:rPr>
          <w:rFonts w:ascii="Times New Roman" w:hAnsi="Times New Roman"/>
          <w:color w:val="000000"/>
          <w:sz w:val="20"/>
        </w:rPr>
        <w:t>” 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In the case of a Change of Control pursuant to which Common Stock is or will be converted into cash, securities or other property or assets (including any combination thereof) (the “</w:t>
      </w:r>
      <w:r>
        <w:rPr>
          <w:rFonts w:ascii="Times New Roman" w:hAnsi="Times New Roman"/>
          <w:color w:val="000000"/>
          <w:sz w:val="20"/>
          <w:u w:val="single"/>
        </w:rPr>
        <w:t>Alternative Form Consideration</w:t>
      </w:r>
      <w:r>
        <w:rPr>
          <w:rFonts w:ascii="Times New Roman" w:hAnsi="Times New Roman"/>
          <w:color w:val="000000"/>
          <w:sz w:val="20"/>
        </w:rPr>
        <w:t>”), a holder of Series D Preferred Stock will receive upon conversion of such shares of Series D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 w:hAnsi="Times New Roman"/>
          <w:color w:val="000000"/>
          <w:sz w:val="20"/>
          <w:u w:val="single"/>
        </w:rPr>
        <w:t>Alternative Conversion Consideration</w:t>
      </w:r>
      <w:r>
        <w:rPr>
          <w:rFonts w:ascii="Times New Roman" w:hAnsi="Times New Roman"/>
          <w:color w:val="000000"/>
          <w:sz w:val="20"/>
        </w:rPr>
        <w:t>”; the Common Stock Conversion Consideration or the Alternative Conversion Consideration, whichever shall be applicable to a Change of Control, is referred to as the “</w:t>
      </w:r>
      <w:r>
        <w:rPr>
          <w:rFonts w:ascii="Times New Roman" w:hAnsi="Times New Roman"/>
          <w:color w:val="000000"/>
          <w:sz w:val="20"/>
          <w:u w:val="single"/>
        </w:rPr>
        <w:t>Conversion Consideration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w:t>
      </w:r>
      <w:r>
        <w:rPr>
          <w:rFonts w:ascii="Times New Roman" w:hAnsi="Times New Roman"/>
          <w:i/>
          <w:color w:val="000000"/>
          <w:sz w:val="20"/>
        </w:rPr>
        <w:t>pro rata</w:t>
      </w:r>
      <w:r>
        <w:rPr>
          <w:rFonts w:ascii="Times New Roman" w:hAnsi="Times New Roman"/>
          <w:color w:val="000000"/>
          <w:sz w:val="20"/>
        </w:rPr>
        <w:t xml:space="preserve"> reductions applicable to any portion of the consideration payable in such Change of Control.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The Corporation will not issue any fractional shares of Common Stock upon the conversion of the Series D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(h)          Within 15 days following the occurrence of a Change of Control, provided that the Corporation has not exercised its right to redeem all shares of Series D Preferred Stock pursuant to </w:t>
      </w:r>
      <w:r>
        <w:rPr>
          <w:rFonts w:ascii="Times New Roman" w:hAnsi="Times New Roman"/>
          <w:color w:val="000000"/>
          <w:sz w:val="20"/>
          <w:u w:val="single"/>
        </w:rPr>
        <w:t>Section 6</w:t>
      </w:r>
      <w:r>
        <w:rPr>
          <w:rFonts w:ascii="Times New Roman" w:hAnsi="Times New Roman"/>
          <w:color w:val="000000"/>
          <w:sz w:val="20"/>
        </w:rPr>
        <w:t xml:space="preserve"> hereof, the Corporation will provide to holders of Series D Preferred Stock a notice of occurrence of the Change of Control that describes the resulting Change of Control Conversion Right, which notice shall be delivered to the holders of record of the shares of the Series D Preferred Stock to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of Series D Preferred Stock for conversion through the facilities of a Depositary (as defined below)), including the form of conversion notice to be delivered by such holders as described below; and (x) the last date on which holders of Series D Preferred Stock may withdraw shares of Series D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D Preferred Stock except as to the holder to whom notice was defective or not given.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           The Corporation shall also issue a press release containing such notice provided for in </w:t>
      </w:r>
      <w:r>
        <w:rPr>
          <w:rFonts w:ascii="Times New Roman" w:hAnsi="Times New Roman"/>
          <w:color w:val="000000"/>
          <w:sz w:val="20"/>
          <w:u w:val="single"/>
        </w:rPr>
        <w:t>Section 7(h)</w:t>
      </w:r>
      <w:r>
        <w:rPr>
          <w:rFonts w:ascii="Times New Roman" w:hAnsi="Times New Roman"/>
          <w:color w:val="000000"/>
          <w:sz w:val="20"/>
        </w:rPr>
        <w:t xml:space="preserve"> 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 w:hAnsi="Times New Roman"/>
          <w:color w:val="000000"/>
          <w:sz w:val="20"/>
          <w:u w:val="single"/>
        </w:rPr>
        <w:t>Section 7(h)</w:t>
      </w:r>
      <w:r>
        <w:rPr>
          <w:rFonts w:ascii="Times New Roman" w:hAnsi="Times New Roman"/>
          <w:color w:val="000000"/>
          <w:sz w:val="20"/>
        </w:rPr>
        <w:t xml:space="preserve"> hereof to the holders of Series D Preferred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(j)           To exercise the Change of Control Conversion Right, the holders of Series D Preferred Stock will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or shares directly registered with the transfer agent therefor, to deliver, on or before the close of business on the Change of Control Conversion Date, the shares of Series D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shares of Series D Preferred Stock are to be converted pursuant to the applicable provisions of the Series D Preferred Stock.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Notwithstanding anything to the contrary contained in Sections 7(j) and (k) hereof, if any shares of Series D Preferred Stock are held in book-entry form through The Depository Trust Company (“</w:t>
      </w:r>
      <w:r>
        <w:rPr>
          <w:rFonts w:ascii="Times New Roman" w:hAnsi="Times New Roman"/>
          <w:color w:val="000000"/>
          <w:sz w:val="20"/>
          <w:u w:val="single"/>
        </w:rPr>
        <w:t>DTC</w:t>
      </w:r>
      <w:r>
        <w:rPr>
          <w:rFonts w:ascii="Times New Roman" w:hAnsi="Times New Roman"/>
          <w:color w:val="000000"/>
          <w:sz w:val="20"/>
        </w:rPr>
        <w:t>”) or a similar depositary (each, a “</w:t>
      </w:r>
      <w:r>
        <w:rPr>
          <w:rFonts w:ascii="Times New Roman" w:hAnsi="Times New Roman"/>
          <w:color w:val="000000"/>
          <w:sz w:val="20"/>
          <w:u w:val="single"/>
        </w:rPr>
        <w:t>Depositary</w:t>
      </w:r>
      <w:r>
        <w:rPr>
          <w:rFonts w:ascii="Times New Roman" w:hAnsi="Times New Roman"/>
          <w:color w:val="000000"/>
          <w:sz w:val="20"/>
        </w:rPr>
        <w:t>”), the conversion notice and/or the notice of withdrawal, as applicable, must comply with applicable procedures, if any, of the applicable Depositary.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(m)         Shares of 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w:t>
      </w:r>
      <w:r>
        <w:rPr>
          <w:rFonts w:ascii="Times New Roman" w:hAnsi="Times New Roman"/>
          <w:color w:val="000000"/>
          <w:sz w:val="20"/>
          <w:u w:val="single"/>
        </w:rPr>
        <w:t>Section 6</w:t>
      </w:r>
      <w:r>
        <w:rPr>
          <w:rFonts w:ascii="Times New Roman" w:hAnsi="Times New Roman"/>
          <w:color w:val="000000"/>
          <w:sz w:val="20"/>
        </w:rPr>
        <w:t xml:space="preserve"> hereof,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will not be so converted and the holders of such shares will be entitled to receive on the applicable redemption date the redemption price as provided in </w:t>
      </w:r>
      <w:r>
        <w:rPr>
          <w:rFonts w:ascii="Times New Roman" w:hAnsi="Times New Roman"/>
          <w:color w:val="000000"/>
          <w:sz w:val="20"/>
          <w:u w:val="single"/>
        </w:rPr>
        <w:t>Section 6</w:t>
      </w:r>
      <w:r>
        <w:rPr>
          <w:rFonts w:ascii="Times New Roman" w:hAnsi="Times New Roman"/>
          <w:color w:val="000000"/>
          <w:sz w:val="20"/>
        </w:rPr>
        <w:t xml:space="preserv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          In connection with the exercise of any Change of Control Conversion Right, the Corporation shall comply with all applicable federal and state securities laws and stock exchange rules in connection with any conversion of shares of Series D Preferred Stock into shares of Common Stock or other property. Notwithstanding any other provision of the Series D Preferred Stock, no holder of Series D Preferred Stock will be entitled to convert such shares of Series D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(p)          Notwithstanding anything to the contrary herein and except as otherwise required by law, the persons who are the holders of record of shares of Series D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 w:hAnsi="Times New Roman"/>
          <w:color w:val="000000"/>
          <w:sz w:val="20"/>
          <w:u w:val="single"/>
        </w:rPr>
        <w:t>Section 7(p)</w:t>
      </w:r>
      <w:r>
        <w:rPr>
          <w:rFonts w:ascii="Times New Roman" w:hAnsi="Times New Roman"/>
          <w:color w:val="000000"/>
          <w:sz w:val="20"/>
        </w:rPr>
        <w:t>, the Corporation will make no allowance for unpaid dividends that are not in arrears on the shares of Series D Preferred Stock to be converted.</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Voting Rights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Holders of Series D Preferred Stock will not have any voting rights, except as set forth in this </w:t>
      </w:r>
      <w:r>
        <w:rPr>
          <w:rFonts w:ascii="Times New Roman" w:hAnsi="Times New Roman"/>
          <w:color w:val="000000"/>
          <w:sz w:val="20"/>
          <w:u w:val="single"/>
        </w:rPr>
        <w:t>Section 8</w:t>
      </w:r>
      <w:r>
        <w:rPr>
          <w:rFonts w:ascii="Times New Roman" w:hAnsi="Times New Roman"/>
          <w:color w:val="000000"/>
          <w:sz w:val="20"/>
        </w:rPr>
        <w:t>. On each matter on which holders of Series D Preferred Stock are entitled to vote, each share of Series D Preferred Stock will be entitled to one vote, except that when shares any other class or series of Preferred Stock the Corporation may issue have the right to vote with the Series D Preferred Stock as a single class on any matter, the Series D Preferred Stock and the shares of each such other class or series will have one vote for each $25.00 of liquidation preference (excluding accumulated dividends).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Whenever dividends on any shares of Series D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D Preferred Stock, voting as a single class with all other classes or series of Preferred Stock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D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 of the Corporation until all dividends accumulated on the Series D Preferred Stock for all past dividend periods and the then current dividend period shall have been fully paid.  In that case, the right of holders of Series D Preferred Stock to elect any directors will cease and, unless there are other classes or series of Preferred Stock upon which like voting rights have been conferred and are exercisable, the term of office of any directors elected by holders of Series D Preferred Stock shall immediately terminate and the number of directors constituting the Board shall be reduced accordingly. For the avoidance of doubt, in no event shall the total number of directors elected by holders of Series D Preferred Stock (voting together as a single class with all other classes or series of Preferred Stock upon which like voting rights have been conferred and are exercisable) pursuant to the voting rights under this </w:t>
      </w:r>
      <w:r>
        <w:rPr>
          <w:rFonts w:ascii="Times New Roman" w:hAnsi="Times New Roman"/>
          <w:color w:val="000000"/>
          <w:sz w:val="20"/>
          <w:u w:val="single"/>
        </w:rPr>
        <w:t>Section 8</w:t>
      </w:r>
      <w:r>
        <w:rPr>
          <w:rFonts w:ascii="Times New Roman" w:hAnsi="Times New Roman"/>
          <w:color w:val="000000"/>
          <w:sz w:val="20"/>
        </w:rPr>
        <w:t xml:space="preserve"> exceed two.  The directors elected by the holders of Series D Preferred Stock and the holders of all other classes or series of Preferred Stock upon which like voting rights have been conferred and are exercisable will be elected by a plurality of the votes cast by the holders of the outstanding shares of Series D Preferred Stock when they have the voting rights as set forth in this </w:t>
      </w:r>
      <w:r>
        <w:rPr>
          <w:rFonts w:ascii="Times New Roman" w:hAnsi="Times New Roman"/>
          <w:color w:val="000000"/>
          <w:sz w:val="20"/>
          <w:u w:val="single"/>
        </w:rPr>
        <w:t>Section 8(b)</w:t>
      </w:r>
      <w:r>
        <w:rPr>
          <w:rFonts w:ascii="Times New Roman" w:hAnsi="Times New Roman"/>
          <w:color w:val="000000"/>
          <w:sz w:val="20"/>
        </w:rPr>
        <w:t xml:space="preserve"> 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If, at any time when the voting rights conferred upon the Series D Preferred Stock pursuant to </w:t>
      </w:r>
      <w:r>
        <w:rPr>
          <w:rFonts w:ascii="Times New Roman" w:hAnsi="Times New Roman"/>
          <w:color w:val="000000"/>
          <w:sz w:val="20"/>
          <w:u w:val="single"/>
        </w:rPr>
        <w:t>Section 8(b)</w:t>
      </w:r>
      <w:r>
        <w:rPr>
          <w:rFonts w:ascii="Times New Roman" w:hAnsi="Times New Roman"/>
          <w:color w:val="000000"/>
          <w:sz w:val="20"/>
        </w:rPr>
        <w:t xml:space="preserve"> hereof are exercisable, any vacancy in the office of a director elected pursuant to </w:t>
      </w:r>
      <w:r>
        <w:rPr>
          <w:rFonts w:ascii="Times New Roman" w:hAnsi="Times New Roman"/>
          <w:color w:val="000000"/>
          <w:sz w:val="20"/>
          <w:u w:val="single"/>
        </w:rPr>
        <w:t>Section 8(b)</w:t>
      </w:r>
      <w:r>
        <w:rPr>
          <w:rFonts w:ascii="Times New Roman" w:hAnsi="Times New Roman"/>
          <w:color w:val="000000"/>
          <w:sz w:val="20"/>
        </w:rPr>
        <w:t xml:space="preserve"> shall occur, then such vacancy may be filled only by the remaining director or by vote of the holders of the outstanding Series D Preferred Stock and any other classes or series of Preferred Stock upon which like voting rights have been conferred and are exercisable.  Any director elected pursuant to </w:t>
      </w:r>
      <w:r>
        <w:rPr>
          <w:rFonts w:ascii="Times New Roman" w:hAnsi="Times New Roman"/>
          <w:color w:val="000000"/>
          <w:sz w:val="20"/>
          <w:u w:val="single"/>
        </w:rPr>
        <w:t>Section 8(b)</w:t>
      </w:r>
      <w:r>
        <w:rPr>
          <w:rFonts w:ascii="Times New Roman" w:hAnsi="Times New Roman"/>
          <w:color w:val="000000"/>
          <w:sz w:val="20"/>
        </w:rPr>
        <w:t xml:space="preserve"> may be removed at any time, with or without cause, only by the vote of, and may not be removed otherwise than by the vote of, the holders of record of a majority of the outstanding shares of Series D Preferred Stock and any class or series of Preferred Stock upon which like voting rights have been conferred and are exercisable (voting as a single class with all other classes or series of Preferred Stock upon which like voting rights have been conferred and are exercisable).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So long as any shares of Series D Preferred Stock remain outstanding, the Corporation will not, without the affirmative vote or consent of the holders of at least two-thirds of the shares of Series D Preferred Stock outstanding at the time, voting together as a single class with all other classes or series of Preferred Stock ranking on parity with the Series D Preferred Stock upon which like voting rights have been conferred and are exercisable,  (i) authorize or create, or increase the authorized or issued amount of, any class or series of capital stock ranking senior to the Series D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consolidation or otherwise, so as to materially and adversely affect any right, preference, privilege or voting power of the Series D Preferred Stock (each, an “</w:t>
      </w:r>
      <w:r>
        <w:rPr>
          <w:rFonts w:ascii="Times New Roman" w:hAnsi="Times New Roman"/>
          <w:color w:val="000000"/>
          <w:sz w:val="20"/>
          <w:u w:val="single"/>
        </w:rPr>
        <w:t>Event</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xml:space="preserve">, with respect to the occurrence of any Event set forth in clause (ii) above, so long as the Series D Preferred Stock remains outstanding with the terms thereof materially unchanged, or the holders of Series D Preferred Stock receive shares of stock or other equity interests with rights, preferences, privileges and voting powers substantially the same as those of the Series D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D Preferred Stock; </w:t>
      </w:r>
      <w:r>
        <w:rPr>
          <w:rFonts w:ascii="Times New Roman" w:hAnsi="Times New Roman"/>
          <w:i/>
          <w:color w:val="000000"/>
          <w:sz w:val="20"/>
        </w:rPr>
        <w:t>and, provided further</w:t>
      </w:r>
      <w:r>
        <w:rPr>
          <w:rFonts w:ascii="Times New Roman" w:hAnsi="Times New Roman"/>
          <w:color w:val="000000"/>
          <w:sz w:val="20"/>
        </w:rPr>
        <w:t>, that any increase in the amount of the authorized Series D Preferred Stock, or the creation or issuance, or any increase in the amounts authorized of any class or series ranking on parity with or junior to the Series D Preferred Stock that the Corporation may issue shall not be deemed to materially and adversely affect the rights, preferences, privileges or voting powers of holders of Series D Preferred Stock.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The voting rights provided for in this </w:t>
      </w:r>
      <w:r>
        <w:rPr>
          <w:rFonts w:ascii="Times New Roman" w:hAnsi="Times New Roman"/>
          <w:color w:val="000000"/>
          <w:sz w:val="20"/>
          <w:u w:val="single"/>
        </w:rPr>
        <w:t>Section 8</w:t>
      </w:r>
      <w:r>
        <w:rPr>
          <w:rFonts w:ascii="Times New Roman" w:hAnsi="Times New Roman"/>
          <w:color w:val="000000"/>
          <w:sz w:val="20"/>
        </w:rPr>
        <w:t xml:space="preserve"> will not apply if, at or prior to the time when the act with respect to which voting by holders of Series D Preferred Stock would otherwise be required pursuant to this </w:t>
      </w:r>
      <w:r>
        <w:rPr>
          <w:rFonts w:ascii="Times New Roman" w:hAnsi="Times New Roman"/>
          <w:color w:val="000000"/>
          <w:sz w:val="20"/>
          <w:u w:val="single"/>
        </w:rPr>
        <w:t>Section 8</w:t>
      </w:r>
      <w:r>
        <w:rPr>
          <w:rFonts w:ascii="Times New Roman" w:hAnsi="Times New Roman"/>
          <w:color w:val="000000"/>
          <w:sz w:val="20"/>
        </w:rPr>
        <w:t xml:space="preserve"> shall be effected, all outstanding shares of Series D Preferred Stock shall have been redeemed or called for redemption upon proper notice and sufficient funds have been irrevocably set apart to effect such redemption pursuant to </w:t>
      </w:r>
      <w:r>
        <w:rPr>
          <w:rFonts w:ascii="Times New Roman" w:hAnsi="Times New Roman"/>
          <w:color w:val="000000"/>
          <w:sz w:val="20"/>
          <w:u w:val="single"/>
        </w:rPr>
        <w:t>Section 6</w:t>
      </w:r>
      <w:r>
        <w:rPr>
          <w:rFonts w:ascii="Times New Roman" w:hAnsi="Times New Roman"/>
          <w:color w:val="000000"/>
          <w:sz w:val="20"/>
        </w:rPr>
        <w:t xml:space="preserv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Except as expressly stated in this </w:t>
      </w:r>
      <w:r>
        <w:rPr>
          <w:rFonts w:ascii="Times New Roman" w:hAnsi="Times New Roman"/>
          <w:color w:val="000000"/>
          <w:sz w:val="20"/>
          <w:u w:val="single"/>
        </w:rPr>
        <w:t>Section 8</w:t>
      </w:r>
      <w:r>
        <w:rPr>
          <w:rFonts w:ascii="Times New Roman" w:hAnsi="Times New Roman"/>
          <w:color w:val="000000"/>
          <w:sz w:val="20"/>
        </w:rPr>
        <w:t>, the Series D Preferred Stock will not have any relative, participating, optional or other special voting rights or powers and the consent of the holders thereof shall not be required for the taking of any corporate action. The holders of Series D Preferred Stock shall have exclusive voting rights on any Charter amendment that would alter the contract rights, as expressly set forth in the Charter, of only the Series D Preferred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Notwithstanding the foregoing, holders of any series of Preferred Stock ranking on parity with the Series D Preferred Stock with respect to payment of dividends of distribution of assets upon liquidating dissolution or winding up shall not be entitled to vote together as a class with the holders of Series D Preferred Stock on any amendment, alteration or repeal of any provision of the Charter unless such action affects the holders of Series D Preferred Stock and such other series of Preferred Stock equally.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9.          </w:t>
      </w:r>
      <w:r>
        <w:rPr>
          <w:rFonts w:ascii="Times New Roman" w:hAnsi="Times New Roman"/>
          <w:color w:val="000000"/>
          <w:sz w:val="20"/>
          <w:u w:val="single"/>
        </w:rPr>
        <w:t>Information Rights</w:t>
      </w:r>
      <w:r>
        <w:rPr>
          <w:rFonts w:ascii="Times New Roman" w:hAnsi="Times New Roman"/>
          <w:color w:val="000000"/>
          <w:sz w:val="20"/>
        </w:rPr>
        <w:t>. During any period in which the Corporation is not subject to Section 13 or 15(d) of the Exchange Act and any shares of Series D Preferred Stock are outstanding, the Corporation will use its best efforts to (i) transmit by mail (or other permissible means under the Exchange Act) to all holders of Series D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 w:hAnsi="Times New Roman"/>
          <w:color w:val="000000"/>
          <w:sz w:val="20"/>
          <w:u w:val="single"/>
        </w:rPr>
        <w:t>SEC</w:t>
      </w:r>
      <w:r>
        <w:rPr>
          <w:rFonts w:ascii="Times New Roman" w:hAnsi="Times New Roman"/>
          <w:color w:val="000000"/>
          <w:sz w:val="20"/>
        </w:rPr>
        <w:t>”) pursuant to Section 13 or 15(d) of the Exchange Act if it were subject thereto (other than any exhibits that would have been required); and (ii) promptly, upon request, supply copies of such reports to any holders or prospective holder of Series D Preferred Stock. The Corporation will use its best efforts to mail (or otherwise provide) such reports to the holders of Series D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Restrictions on Transfer and Ownership</w:t>
      </w:r>
      <w:r>
        <w:rPr>
          <w:rFonts w:ascii="Times New Roman" w:hAnsi="Times New Roman"/>
          <w:color w:val="000000"/>
          <w:sz w:val="20"/>
        </w:rPr>
        <w:t>. The Series D Preferred Stock shall be subject to the restrictions on transfer and ownership set forth in Article VII of the Charter.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Record Holders</w:t>
      </w:r>
      <w:r>
        <w:rPr>
          <w:rFonts w:ascii="Times New Roman" w:hAnsi="Times New Roman"/>
          <w:color w:val="000000"/>
          <w:sz w:val="20"/>
        </w:rPr>
        <w:t>. The Corporation and the transfer agent for the Series D Preferred Stock may deem and treat the record holder of any Series D Preferred Stock as the true and lawful owner thereof for all purposes, and neither the Corporation nor the transfer agent shall be affected by any notice to the contrary.</w:t>
      </w:r>
    </w:p>
    <w:p>
      <w:pPr>
        <w:pStyle w:val="TextBody"/>
        <w:bidi w:val="0"/>
        <w:spacing w:before="0" w:after="0"/>
        <w:jc w:val="left"/>
        <w:rPr>
          <w:color w:val="000000"/>
        </w:rPr>
      </w:pPr>
      <w:r>
        <w:rPr>
          <w:color w:val="000000"/>
        </w:rPr>
        <w:t> </w:t>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No Preemptive Rights</w:t>
      </w:r>
      <w:r>
        <w:rPr>
          <w:rFonts w:ascii="Times New Roman" w:hAnsi="Times New Roman"/>
          <w:color w:val="000000"/>
          <w:sz w:val="20"/>
        </w:rPr>
        <w:t>. No holders of Series D Preferred Stock will, as holders of Series D Preferred Stock, have any preemptive rights to purchase or subscribe for Common Stock or any other security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u w:val="single"/>
        </w:rPr>
        <w:t>SECOND</w:t>
      </w:r>
      <w:r>
        <w:rPr>
          <w:rFonts w:ascii="Times New Roman" w:hAnsi="Times New Roman"/>
          <w:color w:val="000000"/>
          <w:sz w:val="20"/>
        </w:rPr>
        <w:t>: The Series D Preferred Stock has been classified and designated by the Board under the authority contained in the Charter. These Articles Supplementary have been approved by the Board in the manner and vote required by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u w:val="single"/>
        </w:rPr>
        <w:t>THIRD</w:t>
      </w:r>
      <w:r>
        <w:rPr>
          <w:rFonts w:ascii="Times New Roman" w:hAnsi="Times New Roman"/>
          <w:color w:val="000000"/>
          <w:sz w:val="20"/>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bookmarkStart w:id="18" w:name="z_Hlk235791823"/>
      <w:bookmarkEnd w:id="18"/>
      <w:r>
        <w:rPr>
          <w:rFonts w:ascii="Times New Roman" w:hAnsi="Times New Roman"/>
          <w:color w:val="000000"/>
          <w:sz w:val="20"/>
        </w:rPr>
        <w:t>IN WITNESS WHEREOF, the Corporation has caused these Articles Supplementary to be signed in its name and on its behalf by its Chief Financial Officer and attested to by its Secretary on this ________ of _______,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 w:name="zcbebde9f44cf44b78ea02a211e5421b9"/>
      <w:bookmarkStart w:id="20" w:name="zcbebde9f44cf44b78ea02a211e5421b9"/>
      <w:bookmarkEnd w:id="20"/>
    </w:p>
    <w:tbl>
      <w:tblPr>
        <w:tblW w:w="7222" w:type="dxa"/>
        <w:jc w:val="left"/>
        <w:tblInd w:w="0" w:type="dxa"/>
        <w:tblLayout w:type="fixed"/>
        <w:tblCellMar>
          <w:top w:w="0" w:type="dxa"/>
          <w:left w:w="0" w:type="dxa"/>
          <w:bottom w:w="0" w:type="dxa"/>
          <w:right w:w="0" w:type="dxa"/>
        </w:tblCellMar>
      </w:tblPr>
      <w:tblGrid>
        <w:gridCol w:w="615"/>
        <w:gridCol w:w="1609"/>
        <w:gridCol w:w="4341"/>
        <w:gridCol w:w="325"/>
        <w:gridCol w:w="332"/>
      </w:tblGrid>
      <w:tr>
        <w:trPr/>
        <w:tc>
          <w:tcPr>
            <w:tcW w:w="2224" w:type="dxa"/>
            <w:gridSpan w:val="2"/>
            <w:tcBorders/>
            <w:vAlign w:val="center"/>
          </w:tcPr>
          <w:p>
            <w:pPr>
              <w:pStyle w:val="TableContents"/>
              <w:bidi w:val="0"/>
              <w:spacing w:before="0" w:after="0"/>
              <w:jc w:val="left"/>
              <w:rPr/>
            </w:pPr>
            <w:r>
              <w:rPr/>
              <w:t>ATTEST:</w:t>
            </w:r>
          </w:p>
        </w:tc>
        <w:tc>
          <w:tcPr>
            <w:tcW w:w="4998" w:type="dxa"/>
            <w:gridSpan w:val="3"/>
            <w:tcBorders/>
            <w:vAlign w:val="center"/>
          </w:tcPr>
          <w:p>
            <w:pPr>
              <w:pStyle w:val="TableContents"/>
              <w:bidi w:val="0"/>
              <w:spacing w:before="0" w:after="0"/>
              <w:jc w:val="left"/>
              <w:rPr/>
            </w:pPr>
            <w:r>
              <w:rPr/>
              <w:t>TPG MORTGAGE INVESTMENT TRUST, INC.</w:t>
            </w:r>
          </w:p>
        </w:tc>
      </w:tr>
      <w:tr>
        <w:trPr/>
        <w:tc>
          <w:tcPr>
            <w:tcW w:w="2224" w:type="dxa"/>
            <w:gridSpan w:val="2"/>
            <w:tcBorders/>
            <w:vAlign w:val="center"/>
          </w:tcPr>
          <w:p>
            <w:pPr>
              <w:pStyle w:val="TableContents"/>
              <w:bidi w:val="0"/>
              <w:spacing w:before="0" w:after="283"/>
              <w:jc w:val="left"/>
              <w:rPr/>
            </w:pPr>
            <w:r>
              <w:rPr/>
            </w:r>
          </w:p>
        </w:tc>
        <w:tc>
          <w:tcPr>
            <w:tcW w:w="4998" w:type="dxa"/>
            <w:gridSpan w:val="3"/>
            <w:tcBorders/>
            <w:vAlign w:val="center"/>
          </w:tcPr>
          <w:p>
            <w:pPr>
              <w:pStyle w:val="TableContents"/>
              <w:bidi w:val="0"/>
              <w:spacing w:before="0" w:after="283"/>
              <w:jc w:val="left"/>
              <w:rPr/>
            </w:pPr>
            <w:r>
              <w:rPr/>
            </w:r>
          </w:p>
        </w:tc>
      </w:tr>
      <w:tr>
        <w:trPr/>
        <w:tc>
          <w:tcPr>
            <w:tcW w:w="615" w:type="dxa"/>
            <w:tcBorders>
              <w:bottom w:val="single" w:sz="12" w:space="0" w:color="000000"/>
            </w:tcBorders>
            <w:tcMar>
              <w:bottom w:w="28" w:type="dxa"/>
            </w:tcMar>
            <w:vAlign w:val="center"/>
          </w:tcPr>
          <w:p>
            <w:pPr>
              <w:pStyle w:val="TableContents"/>
              <w:bidi w:val="0"/>
              <w:spacing w:before="0" w:after="283"/>
              <w:jc w:val="left"/>
              <w:rPr/>
            </w:pPr>
            <w:r>
              <w:rPr/>
            </w:r>
          </w:p>
        </w:tc>
        <w:tc>
          <w:tcPr>
            <w:tcW w:w="1609" w:type="dxa"/>
            <w:tcBorders/>
            <w:vAlign w:val="center"/>
          </w:tcPr>
          <w:p>
            <w:pPr>
              <w:pStyle w:val="TableContents"/>
              <w:bidi w:val="0"/>
              <w:spacing w:before="0" w:after="283"/>
              <w:jc w:val="left"/>
              <w:rPr/>
            </w:pPr>
            <w:r>
              <w:rPr/>
              <w:t> </w:t>
            </w:r>
          </w:p>
        </w:tc>
        <w:tc>
          <w:tcPr>
            <w:tcW w:w="4341" w:type="dxa"/>
            <w:tcBorders/>
            <w:vAlign w:val="center"/>
          </w:tcPr>
          <w:p>
            <w:pPr>
              <w:pStyle w:val="TableContents"/>
              <w:bidi w:val="0"/>
              <w:spacing w:before="0" w:after="283"/>
              <w:jc w:val="left"/>
              <w:rPr/>
            </w:pPr>
            <w:r>
              <w:rPr/>
              <w:t>By:</w:t>
            </w:r>
          </w:p>
        </w:tc>
        <w:tc>
          <w:tcPr>
            <w:tcW w:w="325" w:type="dxa"/>
            <w:tcBorders>
              <w:bottom w:val="single" w:sz="12" w:space="0" w:color="000000"/>
            </w:tcBorders>
            <w:tcMar>
              <w:bottom w:w="28" w:type="dxa"/>
            </w:tcMar>
            <w:vAlign w:val="center"/>
          </w:tcPr>
          <w:p>
            <w:pPr>
              <w:pStyle w:val="TableContents"/>
              <w:bidi w:val="0"/>
              <w:spacing w:before="0" w:after="283"/>
              <w:jc w:val="left"/>
              <w:rPr/>
            </w:pPr>
            <w:r>
              <w:rPr/>
            </w:r>
          </w:p>
        </w:tc>
        <w:tc>
          <w:tcPr>
            <w:tcW w:w="332" w:type="dxa"/>
            <w:tcBorders/>
            <w:vAlign w:val="center"/>
          </w:tcPr>
          <w:p>
            <w:pPr>
              <w:pStyle w:val="TableContents"/>
              <w:bidi w:val="0"/>
              <w:spacing w:before="0" w:after="283"/>
              <w:jc w:val="left"/>
              <w:rPr/>
            </w:pPr>
            <w:r>
              <w:rPr/>
            </w:r>
          </w:p>
        </w:tc>
      </w:tr>
      <w:tr>
        <w:trPr/>
        <w:tc>
          <w:tcPr>
            <w:tcW w:w="2224" w:type="dxa"/>
            <w:gridSpan w:val="2"/>
            <w:tcBorders/>
            <w:vAlign w:val="center"/>
          </w:tcPr>
          <w:p>
            <w:pPr>
              <w:pStyle w:val="TableContents"/>
              <w:bidi w:val="0"/>
              <w:spacing w:before="0" w:after="0"/>
              <w:jc w:val="left"/>
              <w:rPr/>
            </w:pPr>
            <w:r>
              <w:rPr/>
              <w:t>Name: Jenny B. Neslin</w:t>
            </w:r>
          </w:p>
        </w:tc>
        <w:tc>
          <w:tcPr>
            <w:tcW w:w="4998" w:type="dxa"/>
            <w:gridSpan w:val="3"/>
            <w:tcBorders/>
            <w:vAlign w:val="center"/>
          </w:tcPr>
          <w:p>
            <w:pPr>
              <w:pStyle w:val="TableContents"/>
              <w:bidi w:val="0"/>
              <w:spacing w:before="0" w:after="0"/>
              <w:jc w:val="left"/>
              <w:rPr/>
            </w:pPr>
            <w:r>
              <w:rPr/>
              <w:t>Name: Anthony Rossiello</w:t>
            </w:r>
          </w:p>
        </w:tc>
      </w:tr>
      <w:tr>
        <w:trPr/>
        <w:tc>
          <w:tcPr>
            <w:tcW w:w="2224" w:type="dxa"/>
            <w:gridSpan w:val="2"/>
            <w:tcBorders/>
            <w:vAlign w:val="center"/>
          </w:tcPr>
          <w:p>
            <w:pPr>
              <w:pStyle w:val="TableContents"/>
              <w:bidi w:val="0"/>
              <w:spacing w:before="0" w:after="0"/>
              <w:jc w:val="left"/>
              <w:rPr/>
            </w:pPr>
            <w:r>
              <w:rPr/>
              <w:t>Title:  Secretary</w:t>
            </w:r>
          </w:p>
        </w:tc>
        <w:tc>
          <w:tcPr>
            <w:tcW w:w="4998" w:type="dxa"/>
            <w:gridSpan w:val="3"/>
            <w:tcBorders/>
            <w:vAlign w:val="center"/>
          </w:tcPr>
          <w:p>
            <w:pPr>
              <w:pStyle w:val="TableContents"/>
              <w:bidi w:val="0"/>
              <w:spacing w:before="0" w:after="0"/>
              <w:jc w:val="left"/>
              <w:rPr/>
            </w:pPr>
            <w:r>
              <w:rPr/>
              <w:t>Title: Chief Financial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B</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Articles Supplementary</w:t>
      </w:r>
    </w:p>
    <w:p>
      <w:pPr>
        <w:pStyle w:val="TextBody"/>
        <w:bidi w:val="0"/>
        <w:spacing w:before="0" w:after="0"/>
        <w:jc w:val="center"/>
        <w:rPr>
          <w:color w:val="000000"/>
        </w:rPr>
      </w:pPr>
      <w:r>
        <w:rPr>
          <w:color w:val="000000"/>
        </w:rPr>
        <w:t> </w:t>
      </w:r>
      <w:r>
        <w:rPr>
          <w:rFonts w:ascii="Times New Roman" w:hAnsi="Times New Roman"/>
          <w:b/>
          <w:color w:val="000000"/>
          <w:sz w:val="20"/>
        </w:rPr>
        <w:t>Classifying Parent Series E Cumulative Redeemable Preferred Stock</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See attached.</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b/>
          <w:sz w:val="20"/>
        </w:rPr>
      </w:pPr>
      <w:r>
        <w:rPr>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TPG MORTGAGE INVESTMENT TRUST, INC.</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ARTICLES SUPPLEMENTARY</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8.250% Series E Floating Rate Cumulative Redeemable Preferred Stock</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TPG Mortgage Investment Trust, Inc., a Maryland corporation (the “</w:t>
      </w:r>
      <w:r>
        <w:rPr>
          <w:rFonts w:ascii="Times New Roman" w:hAnsi="Times New Roman"/>
          <w:color w:val="000000"/>
          <w:sz w:val="20"/>
          <w:u w:val="single"/>
        </w:rPr>
        <w:t>Corporation</w:t>
      </w:r>
      <w:r>
        <w:rPr>
          <w:rFonts w:ascii="Times New Roman" w:hAnsi="Times New Roman"/>
          <w:color w:val="000000"/>
          <w:sz w:val="20"/>
        </w:rPr>
        <w:t>”), hereby certifies to the State Department of Assessments and Taxation of Maryland that: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u w:val="single"/>
        </w:rPr>
        <w:t>FIRST</w:t>
      </w:r>
      <w:r>
        <w:rPr>
          <w:rFonts w:ascii="Times New Roman" w:hAnsi="Times New Roman"/>
          <w:color w:val="000000"/>
          <w:sz w:val="20"/>
        </w:rPr>
        <w:t>: Under a power contained in Article VI of the charter of the Corporation (the “</w:t>
      </w:r>
      <w:r>
        <w:rPr>
          <w:rFonts w:ascii="Times New Roman" w:hAnsi="Times New Roman"/>
          <w:color w:val="000000"/>
          <w:sz w:val="20"/>
          <w:u w:val="single"/>
        </w:rPr>
        <w:t>Charter</w:t>
      </w:r>
      <w:r>
        <w:rPr>
          <w:rFonts w:ascii="Times New Roman" w:hAnsi="Times New Roman"/>
          <w:color w:val="000000"/>
          <w:sz w:val="20"/>
        </w:rPr>
        <w:t>”), the Board of Directors of the Corporation (the “</w:t>
      </w:r>
      <w:r>
        <w:rPr>
          <w:rFonts w:ascii="Times New Roman" w:hAnsi="Times New Roman"/>
          <w:color w:val="000000"/>
          <w:sz w:val="20"/>
          <w:u w:val="single"/>
        </w:rPr>
        <w:t>Board</w:t>
      </w:r>
      <w:r>
        <w:rPr>
          <w:rFonts w:ascii="Times New Roman" w:hAnsi="Times New Roman"/>
          <w:color w:val="000000"/>
          <w:sz w:val="20"/>
        </w:rPr>
        <w:t>”) and a duly authorized committee thereof, by duly adopted resolutions, classified and designated 1,604,103 authorized but unissued shares of preferred stock, $0.01 par value per share (the “</w:t>
      </w:r>
      <w:r>
        <w:rPr>
          <w:rFonts w:ascii="Times New Roman" w:hAnsi="Times New Roman"/>
          <w:color w:val="000000"/>
          <w:sz w:val="20"/>
          <w:u w:val="single"/>
        </w:rPr>
        <w:t>Preferred Stock</w:t>
      </w:r>
      <w:r>
        <w:rPr>
          <w:rFonts w:ascii="Times New Roman" w:hAnsi="Times New Roman"/>
          <w:color w:val="000000"/>
          <w:sz w:val="20"/>
        </w:rPr>
        <w:t>”), of the Corporation as shares of 8.250% Series E Floating Rate Cumulative Redeemable Preferred Stock, par value $0.01 per share (the “</w:t>
      </w:r>
      <w:r>
        <w:rPr>
          <w:rFonts w:ascii="Times New Roman" w:hAnsi="Times New Roman"/>
          <w:color w:val="000000"/>
          <w:sz w:val="20"/>
          <w:u w:val="single"/>
        </w:rPr>
        <w:t>Series E Preferred Stock</w:t>
      </w:r>
      <w:r>
        <w:rPr>
          <w:rFonts w:ascii="Times New Roman" w:hAnsi="Times New Roman"/>
          <w:color w:val="000000"/>
          <w:sz w:val="20"/>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Designation and Number</w:t>
      </w:r>
      <w:r>
        <w:rPr>
          <w:rFonts w:ascii="Times New Roman" w:hAnsi="Times New Roman"/>
          <w:color w:val="000000"/>
          <w:sz w:val="20"/>
        </w:rPr>
        <w:t>. A series of Preferred Stock, classified as the “8.250% Series E Floating Rate Cumulative Redeemable Preferred Stock” is hereby established. The par value of the Series E Preferred Stock is $0.01 per share.  The number of authorized shares of the Series E Preferred Stock shall be 1,604,103.</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Maturity</w:t>
      </w:r>
      <w:r>
        <w:rPr>
          <w:rFonts w:ascii="Times New Roman" w:hAnsi="Times New Roman"/>
          <w:color w:val="000000"/>
          <w:sz w:val="20"/>
        </w:rPr>
        <w:t xml:space="preserve">. The Series E Preferred Stock has no stated maturity, is not subject to any sinking fund or mandatory redemption and will remain outstanding indefinitely unless (i) the Corporation decides to redeem or otherwise repurchase the Series E Preferred Stock or (ii) the Series E Preferred Stock becomes convertible and is actually converted pursuant to </w:t>
      </w:r>
      <w:r>
        <w:rPr>
          <w:rFonts w:ascii="Times New Roman" w:hAnsi="Times New Roman"/>
          <w:color w:val="000000"/>
          <w:sz w:val="20"/>
          <w:u w:val="single"/>
        </w:rPr>
        <w:t>Section 7</w:t>
      </w:r>
      <w:r>
        <w:rPr>
          <w:rFonts w:ascii="Times New Roman" w:hAnsi="Times New Roman"/>
          <w:color w:val="000000"/>
          <w:sz w:val="20"/>
        </w:rPr>
        <w:t xml:space="preserve"> hereof. The Corporation is not required to set apart for payment funds of the Corporation to redeem the Series E Preferred Stock.</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Ranking</w:t>
      </w:r>
      <w:r>
        <w:rPr>
          <w:rFonts w:ascii="Times New Roman" w:hAnsi="Times New Roman"/>
          <w:color w:val="000000"/>
          <w:sz w:val="20"/>
        </w:rPr>
        <w:t>. The Series E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 w:hAnsi="Times New Roman"/>
          <w:color w:val="000000"/>
          <w:sz w:val="20"/>
          <w:u w:val="single"/>
        </w:rPr>
        <w:t>Common Stock</w:t>
      </w:r>
      <w:r>
        <w:rPr>
          <w:rFonts w:ascii="Times New Roman" w:hAnsi="Times New Roman"/>
          <w:color w:val="000000"/>
          <w:sz w:val="20"/>
        </w:rPr>
        <w:t xml:space="preserve">”), and to all classes or series of stock of the Corporation other than the stock of the Corporation referred to in </w:t>
      </w:r>
      <w:r>
        <w:rPr>
          <w:rFonts w:ascii="Times New Roman" w:hAnsi="Times New Roman"/>
          <w:color w:val="000000"/>
          <w:sz w:val="20"/>
          <w:u w:val="single"/>
        </w:rPr>
        <w:t>clauses (ii)</w:t>
      </w:r>
      <w:r>
        <w:rPr>
          <w:rFonts w:ascii="Times New Roman" w:hAnsi="Times New Roman"/>
          <w:color w:val="000000"/>
          <w:sz w:val="20"/>
        </w:rPr>
        <w:t xml:space="preserve"> and </w:t>
      </w:r>
      <w:r>
        <w:rPr>
          <w:rFonts w:ascii="Times New Roman" w:hAnsi="Times New Roman"/>
          <w:color w:val="000000"/>
          <w:sz w:val="20"/>
          <w:u w:val="single"/>
        </w:rPr>
        <w:t>(iii)</w:t>
      </w:r>
      <w:r>
        <w:rPr>
          <w:rFonts w:ascii="Times New Roman" w:hAnsi="Times New Roman"/>
          <w:color w:val="000000"/>
          <w:sz w:val="20"/>
        </w:rPr>
        <w:t xml:space="preserve"> of this </w:t>
      </w:r>
      <w:r>
        <w:rPr>
          <w:rFonts w:ascii="Times New Roman" w:hAnsi="Times New Roman"/>
          <w:color w:val="000000"/>
          <w:sz w:val="20"/>
          <w:u w:val="single"/>
        </w:rPr>
        <w:t>Section 3</w:t>
      </w:r>
      <w:r>
        <w:rPr>
          <w:rFonts w:ascii="Times New Roman" w:hAnsi="Times New Roman"/>
          <w:color w:val="000000"/>
          <w:sz w:val="20"/>
        </w:rPr>
        <w:t>; (ii) on parity with the Corporation’s 8.25% Series A Cumulative Redeemable Preferred Stock, $0.01 par value per share, 8.00% Series B Cumulative Redeemable Preferred Stock, $0.01 par value per share, 8.000% Series C Fixed-to-Floating Rate Preferred Stock, $0.01 par value per share, 8.20% Series D Cumulative Redeemable Preferred Stock, $0.01 par value per share, and all other classes or series of stock of the Corporation with terms specifically providing that such stock ranks on parity with the Series E Preferred Stock with respect to rights to the payment of dividends and the distribution of assets upon any liquidation, dissolution or winding up of the Corporation; and (iii) junior to all classes or series of stock of the Corporation with terms specifically providing that such stock ranks senior to the Series E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Dividends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(a)          Holders of shares of the Series E Preferred Stock are entitled to receive, when, as and if authorized by the Board and declared by the Corporation, out of funds of the Corporation legally available for the payment of dividends, cumulative cash dividends from, and including, [●], 20261, at a floating rate equal to Three-Month CME Term SOFR (as defined below) plus a spread of 5.89261% per annum. Dividends on the Series E Preferred Stock shall accumulate daily and shall be cumulative from, and including, [●], 20262 and shall be payable quarterly in arrears on the 17th day of each March, June, September and December (each, as may be modified as provided below, a “</w:t>
      </w:r>
      <w:r>
        <w:rPr>
          <w:rFonts w:ascii="Times New Roman" w:hAnsi="Times New Roman"/>
          <w:color w:val="000000"/>
          <w:sz w:val="20"/>
          <w:u w:val="single"/>
        </w:rPr>
        <w:t>Dividend Payment Date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Dividends payable on the Series E Preferred Stock, including dividends for any partial Dividend Period, will be computed based on the actual number of days in a Dividend Period and a 360-day year (it being understood that the dividend payable on [●], 20263 will be for less than the full quarterly period). Dividends will be payable to holders of record as they appear in the stock records of the Corporation for the Series E Preferred Stock at the close of business on the applicable record date, which will be the last Business Day of the preceding calendar month in which the applicable Dividend Payment Date falls  (each, a “</w:t>
      </w:r>
      <w:r>
        <w:rPr>
          <w:rFonts w:ascii="Times New Roman" w:hAnsi="Times New Roman"/>
          <w:color w:val="000000"/>
          <w:sz w:val="20"/>
          <w:u w:val="single"/>
        </w:rPr>
        <w:t>Dividend Record Date</w:t>
      </w:r>
      <w:r>
        <w:rPr>
          <w:rFonts w:ascii="Times New Roman" w:hAnsi="Times New Roman"/>
          <w:color w:val="000000"/>
          <w:sz w:val="20"/>
        </w:rPr>
        <w:t>”). The dividends payable on any Dividend Payment Date shall include dividends accumulated to, but not including, such Dividend Payment Date.  No holder of any shares of Series E Preferred Stock shall be entitled to receive any dividends paid or payable on the Series E Preferred Stock with a Dividend Record Date before the date such shares of Series E Preferred Stock are issued.</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each Dividend Period, CME Term SOFR with a Designated Maturity of three months (“</w:t>
      </w:r>
      <w:r>
        <w:rPr>
          <w:rFonts w:ascii="Times New Roman" w:hAnsi="Times New Roman"/>
          <w:color w:val="000000"/>
          <w:sz w:val="20"/>
          <w:u w:val="single"/>
        </w:rPr>
        <w:t>Three-Month CME Term SOFR</w:t>
      </w:r>
      <w:r>
        <w:rPr>
          <w:rFonts w:ascii="Times New Roman" w:hAnsi="Times New Roman"/>
          <w:color w:val="000000"/>
          <w:sz w:val="20"/>
        </w:rPr>
        <w:t>”) will be determined by the Corporation, or a Calculation Agent (as defined below) if a Calculation Agent has been appointed by the Corporation, in either case, as of the applicable Dividend Determination Date, as the rate (expressed as a percentage per year) that appears on Bloomberg Page TSFR3M (or any successor page on such service or successor service) at approximately 6:00 a.m. (New York City time) on the relevant Dividend Determination Date.  Subject to the provisions below, if Three-Month CME Term SOFR is not published by the later of (i) 6:00 a.m., New York City time, on the Dividend Determination Date and (ii) the first day of the applicable Dividend Period, then Three-Month CME Term SOFR for such Dividend Period will be the last provided or published level of Three-Month CME Term SOFR prior to such Dividend Determination Date.</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w:t>
      </w:r>
      <w:r>
        <w:rPr>
          <w:rFonts w:ascii="Times New Roman" w:hAnsi="Times New Roman"/>
          <w:color w:val="000000"/>
          <w:sz w:val="20"/>
          <w:u w:val="single"/>
        </w:rPr>
        <w:t>Note to draft</w:t>
      </w:r>
      <w:r>
        <w:rPr>
          <w:rFonts w:ascii="Times New Roman" w:hAnsi="Times New Roman"/>
          <w:color w:val="000000"/>
          <w:sz w:val="20"/>
        </w:rPr>
        <w:t>: This date will be the first day of the current dividend quarterly period under the Cherry Hill Mortgage Investment Corporation 8.250% Series B Fixed-to-Floating Rate Cumulative Redeemable Preferred Stock during which the Closing Date for the Company Merger occurs. Capitalized terms used in the footnotes but not defined in these articles supplementary have the meaning set forth in the Agreement and Plan of Merger, dated as of August 9, 2026, among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Note to draft</w:t>
      </w:r>
      <w:r>
        <w:rPr>
          <w:rFonts w:ascii="Times New Roman" w:hAnsi="Times New Roman"/>
          <w:color w:val="000000"/>
          <w:sz w:val="20"/>
        </w:rPr>
        <w:t>: Same date as specified in Note 1.</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Note to draft</w:t>
      </w:r>
      <w:r>
        <w:rPr>
          <w:rFonts w:ascii="Times New Roman" w:hAnsi="Times New Roman"/>
          <w:color w:val="000000"/>
          <w:sz w:val="20"/>
        </w:rPr>
        <w:t>: This is the date of the first dividend payment after the Closing Date for the Company Merger for this 8.250% Series E Floating Rate Cumulative Redeemable Preferred Stock.</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an Index Cessation Event or an Administrator/Benchmark Event occurs with respect to Three-Month CME Term SOFR, then, from and including the Index Cessation Effective Date or the Administrator/Benchmark Event Date, as applicable, the CME Term SOFR Recommended Rate for a period of the Designated Maturity will apply to the Series E Preferred Stock.</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there is a CME Term SOFR Recommended Rate before the end of the first U.S. Government Securities Business Day following the Index Cessation Effective Date or the Administrator/Benchmark Event Date, but neither the Administrator nor authorized distributors provide or publish the CME Term SOFR Recommended Rate for a period of the Designated Maturity, then, subject to the next paragraph below, in respect of any day for which the CME Term SOFR Recommended Rate is required, references to the CME Term SOFR Recommended Rate for a period of the Designated Maturity will be deemed to be references to the last provided or published CME Term SOFR Recommended Rate for a period of the Designated Maturity.  However, if there is no last provided or published CME Term SOFR Recommended Rate for a period of the Designated Maturity, then in respect of any day for which the CME Term SOFR Recommended Rate is required, references to the CME Term SOFR Recommended Rate for a period of the Designated Maturity will be deemed to be references to the last provided or published CME Term SOFR for a period of the Designated Maturity.</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(a) there is no CME Term SOFR Recommended Rate before the end of the first U.S. Government Securities Business Day following the Index Cessation Effective Date or an Administrator/Benchmark Event Date,; or (b) there is a CME Term SOFR Recommended Rate and an Index Cessation Effective Date or an Administrator/Benchmark Event Date, as applicable, subsequently occurs with respect to it, then the rate for each Dividend Determination Date occurring on or after the Index Cessation Effective Date or Administrator/Benchmark Event Date, as applicable, with respect to CME Term SOFR or the CME Term SOFR Recommended Rate (as applicable) will be determined in accordance with the Calculation Agent Alternative Rate Determination.</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Administrator</w:t>
      </w:r>
      <w:r>
        <w:rPr>
          <w:rFonts w:ascii="Times New Roman" w:hAnsi="Times New Roman"/>
          <w:color w:val="000000"/>
          <w:sz w:val="20"/>
        </w:rPr>
        <w:t>” means CME Group Benchmark Administration Limited or any successor or other administrator as may be designated by the Corporation.</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Administrator/Benchmark Event</w:t>
      </w:r>
      <w:r>
        <w:rPr>
          <w:rFonts w:ascii="Times New Roman" w:hAnsi="Times New Roman"/>
          <w:color w:val="000000"/>
          <w:sz w:val="20"/>
        </w:rPr>
        <w:t>” means the delivery of a notice by the Corporation to the holders of the Series E Preferred Stock (which can include posting of such notice through DTC) specifying, and citing Publicly Available Information that reasonably confirms, an event or circumstance which has the effect that the Corporation or the Calculation Agent are not, or will not be, permitted under any applicable law or regulation to use the Applicable Benchmark to perform the respective obligations of the Corporation or the Calculation Agent, as applicable, under the terms of the Series E Preferred Stock.</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Administrator/Benchmark Event Date</w:t>
      </w:r>
      <w:r>
        <w:rPr>
          <w:rFonts w:ascii="Times New Roman" w:hAnsi="Times New Roman"/>
          <w:color w:val="000000"/>
          <w:sz w:val="20"/>
        </w:rPr>
        <w:t>” means, in respect of an Administrator/Benchmark Event, the date from which the Applicable Benchmark may no longer be used under any applicable law or regulation by the Corporation or the Calculation Agent.</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Applicable Benchmark</w:t>
      </w:r>
      <w:r>
        <w:rPr>
          <w:rFonts w:ascii="Times New Roman" w:hAnsi="Times New Roman"/>
          <w:color w:val="000000"/>
          <w:sz w:val="20"/>
        </w:rPr>
        <w:t>” means CME Term SOFR.</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Calculation Agent</w:t>
      </w:r>
      <w:r>
        <w:rPr>
          <w:rFonts w:ascii="Times New Roman" w:hAnsi="Times New Roman"/>
          <w:color w:val="000000"/>
          <w:sz w:val="20"/>
        </w:rPr>
        <w:t>” means a third party independent financial institution of national standing with experience providing such services, which has been selected by the Corporation in its sole discretion.</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Calculation Agent Alternative Rate Determination</w:t>
      </w:r>
      <w:r>
        <w:rPr>
          <w:rFonts w:ascii="Times New Roman" w:hAnsi="Times New Roman"/>
          <w:color w:val="000000"/>
          <w:sz w:val="20"/>
        </w:rPr>
        <w:t>” means that the Calculation Agent shall determine a commercially reasonable alternative for the Applicable Benchmark, taking into account all available information that in good faith it considers relevant including a rate implemented by central counterparties and/or futures exchanges (if any), in each case with trading volumes in derivatives or futures referencing the Applicable Benchmark that the Calculation Agent considers sufficient for that rate to be a representative alternative rate.</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CME Term SOFR</w:t>
      </w:r>
      <w:r>
        <w:rPr>
          <w:rFonts w:ascii="Times New Roman" w:hAnsi="Times New Roman"/>
          <w:color w:val="000000"/>
          <w:sz w:val="20"/>
        </w:rPr>
        <w:t>” means the forward-looking term Secured Overnight Financing Rate administrated by the Administrator (or any successor).</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CME Term SOFR Recommended Rate</w:t>
      </w:r>
      <w:r>
        <w:rPr>
          <w:rFonts w:ascii="Times New Roman" w:hAnsi="Times New Roman"/>
          <w:color w:val="000000"/>
          <w:sz w:val="20"/>
        </w:rPr>
        <w:t>” means the rate (inclusive of any spreads or adjustments) recommended as the replacement rate for CME Term SOFR by the Administrator or, if the Administrator does not make a recommendation, a committee officially endorsed or convened by the Federal Reserve Board or the Federal Reserve Bank of New York or the supervisor for the Administrator for the purpose of recommending a replacement for CME Term SOFR (which rate may be produced by the Administrator or another administrator) and as provided by the Administrator of that rate or, if that rate is not provided by the Administrator thereof, published by an authorized distributor.</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Designated Maturity</w:t>
      </w:r>
      <w:r>
        <w:rPr>
          <w:rFonts w:ascii="Times New Roman" w:hAnsi="Times New Roman"/>
          <w:color w:val="000000"/>
          <w:sz w:val="20"/>
        </w:rPr>
        <w:t>” means three months.</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Dividend Determination Date</w:t>
      </w:r>
      <w:r>
        <w:rPr>
          <w:rFonts w:ascii="Times New Roman" w:hAnsi="Times New Roman"/>
          <w:color w:val="000000"/>
          <w:sz w:val="20"/>
        </w:rPr>
        <w:t>” means, for any Dividend Period, the second U.S. Government Securities Business Day immediately preceding the first date of such Dividend Period.</w:t>
      </w:r>
    </w:p>
    <w:p>
      <w:pPr>
        <w:pStyle w:val="TextBody"/>
        <w:bidi w:val="0"/>
        <w:spacing w:before="0" w:after="0"/>
        <w:jc w:val="left"/>
        <w:rPr>
          <w:sz w:val="20"/>
        </w:rPr>
      </w:pPr>
      <w:r>
        <w:rPr>
          <w:sz w:val="20"/>
        </w:rPr>
      </w:r>
    </w:p>
    <w:p>
      <w:pPr>
        <w:pStyle w:val="TextBody"/>
        <w:bidi w:val="0"/>
        <w:spacing w:lineRule="auto" w:line="240" w:before="0" w:after="0"/>
        <w:ind w:left="0" w:right="0" w:firstLine="720"/>
        <w:jc w:val="left"/>
        <w:rPr>
          <w:color w:val="000000"/>
        </w:rPr>
      </w:pPr>
      <w:r>
        <w:rPr>
          <w:color w:val="000000"/>
        </w:rPr>
        <w:t>“</w:t>
      </w:r>
      <w:r>
        <w:rPr>
          <w:rFonts w:ascii="Times New Roman" w:hAnsi="Times New Roman"/>
          <w:color w:val="000000"/>
          <w:sz w:val="20"/>
          <w:u w:val="single"/>
        </w:rPr>
        <w:t>Dividend Period</w:t>
      </w:r>
      <w:r>
        <w:rPr>
          <w:rFonts w:ascii="Times New Roman" w:hAnsi="Times New Roman"/>
          <w:color w:val="000000"/>
          <w:sz w:val="20"/>
        </w:rPr>
        <w:t>” means the period from, and including, a Dividend Payment Date to, but excluding, the next succeeding Dividend Payment Date, except for the initial Dividend Period, which will be the period from, and including, [●], 20264 to, but excluding, [●], 20265.</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Index Cessation Effective Date</w:t>
      </w:r>
      <w:r>
        <w:rPr>
          <w:rFonts w:ascii="Times New Roman" w:hAnsi="Times New Roman"/>
          <w:color w:val="000000"/>
          <w:sz w:val="20"/>
        </w:rPr>
        <w:t>” means, with respect to one or more Index Cessation Events, the first date on which the Applicable Benchmark would ordinarily have been published or provided and is no longer published or provided.</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4 </w:t>
      </w:r>
      <w:r>
        <w:rPr>
          <w:rFonts w:ascii="Times New Roman" w:hAnsi="Times New Roman"/>
          <w:color w:val="000000"/>
          <w:sz w:val="20"/>
          <w:u w:val="single"/>
        </w:rPr>
        <w:t>Note to draft</w:t>
      </w:r>
      <w:r>
        <w:rPr>
          <w:rFonts w:ascii="Times New Roman" w:hAnsi="Times New Roman"/>
          <w:color w:val="000000"/>
          <w:sz w:val="20"/>
        </w:rPr>
        <w:t>: Same date as specified in Note 1.</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5 </w:t>
      </w:r>
      <w:r>
        <w:rPr>
          <w:rFonts w:ascii="Times New Roman" w:hAnsi="Times New Roman"/>
          <w:color w:val="000000"/>
          <w:sz w:val="20"/>
          <w:u w:val="single"/>
        </w:rPr>
        <w:t>Note to draft</w:t>
      </w:r>
      <w:r>
        <w:rPr>
          <w:rFonts w:ascii="Times New Roman" w:hAnsi="Times New Roman"/>
          <w:color w:val="000000"/>
          <w:sz w:val="20"/>
        </w:rPr>
        <w:t>: Same date as specified in Note 3.</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Index Cessation Event</w:t>
      </w:r>
      <w:r>
        <w:rPr>
          <w:rFonts w:ascii="Times New Roman" w:hAnsi="Times New Roman"/>
          <w:color w:val="000000"/>
          <w:sz w:val="20"/>
        </w:rPr>
        <w:t>” means, with respect to the Applicable Benchmark, (a) a public statement or publication of information by or on behalf of the Administrator announcing that it has ceased or will cease to provide the Applicable Benchmark permanently or indefinitely, provided that, at the time of the statement or publication, there is no successor administrator or provider, as applicable, that will continue to provide the Applicable Benchmark; or (b) a public statement or publication of information by the regulatory supervisor for the Administrator, the central bank for the currency of the Applicable Benchmark, an insolvency official with jurisdiction over the Administrator, a resolution authority with jurisdiction over the Administrator or a court or an entity with similar insolvency or resolution authority over the Administrator, which states that the Administrator has ceased or will cease to provide the Applicable Benchmark permanently or indefinitely, provided that, at the time of the statement or publication, there is no successor administrator or provider that will continue to provide the Applicable Benchmark.</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Publicly Available Information</w:t>
      </w:r>
      <w:r>
        <w:rPr>
          <w:rFonts w:ascii="Times New Roman" w:hAnsi="Times New Roman"/>
          <w:color w:val="000000"/>
          <w:sz w:val="20"/>
        </w:rPr>
        <w:t>” means, in respect of an Administrator/Benchmark Event, one or both of the following: (a) information received from or published by (i) the Administrator or sponsor of the Applicable Benchmark, if any, or (ii) any national, regional or other supervisory or regulatory authority which is responsible for supervising the Administrator or sponsor of the Applicable Benchmark, if any, or regulating the Applicable Benchmark; provided, however, that where any information of the type described in (i) or (ii) is not publicly available, it shall only constitute Publicly Available Information if it can be made public without violating any law, regulation, agreement, understanding or other restriction regarding the confidentiality of that information; or (b) information published in a Specified Public Source (regardless of whether the reader or user thereof pays a fee to obtain that information).</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Specified Public Source</w:t>
      </w:r>
      <w:r>
        <w:rPr>
          <w:rFonts w:ascii="Times New Roman" w:hAnsi="Times New Roman"/>
          <w:color w:val="000000"/>
          <w:sz w:val="20"/>
        </w:rPr>
        <w:t>” means each of Bloomberg, Refinitiv, Dow Jones Newswires, The Wall Street Journal, The New York Times, the Financial Times and, in each case, any successor publications, the main source(s) of business news in the country in which the Administrator is incorporated or organized and any other internationally recognized published or electronically displayed news sources.</w:t>
      </w:r>
    </w:p>
    <w:p>
      <w:pPr>
        <w:pStyle w:val="TextBody"/>
        <w:bidi w:val="0"/>
        <w:spacing w:before="0" w:after="0"/>
        <w:jc w:val="left"/>
        <w:rPr>
          <w:sz w:val="20"/>
        </w:rPr>
      </w:pPr>
      <w:r>
        <w:rPr>
          <w:sz w:val="20"/>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U.S. Government Securities Business Day</w:t>
      </w:r>
      <w:r>
        <w:rPr>
          <w:rFonts w:ascii="Times New Roman" w:hAnsi="Times New Roman"/>
          <w:color w:val="000000"/>
          <w:sz w:val="20"/>
        </w:rPr>
        <w:t>” means any day except for a Saturday, Sunday or a day on which The Securities Industry and Financial Markets Association recommends that the fixed income departments of its members be closed for the entire day for purposes of trading in U.S. government Securities.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No dividends on the Series E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the agreement or a default under the agreement, or if the authorization, payment or setting apart for payment is restricted or prohibited by law.</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Notwithstanding anything to the contrary contained herein, dividends on the Series E Preferred Stock will accumulate whether or not the terms and provisions of any laws or agreements referred to in </w:t>
      </w:r>
      <w:r>
        <w:rPr>
          <w:rFonts w:ascii="Times New Roman" w:hAnsi="Times New Roman"/>
          <w:color w:val="000000"/>
          <w:sz w:val="20"/>
          <w:u w:val="single"/>
        </w:rPr>
        <w:t>Section 4(b)</w:t>
      </w:r>
      <w:r>
        <w:rPr>
          <w:rFonts w:ascii="Times New Roman" w:hAnsi="Times New Roman"/>
          <w:color w:val="000000"/>
          <w:sz w:val="20"/>
        </w:rPr>
        <w:t xml:space="preserve"> 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E Preferred Stock which may be in arrears, and holders of Series E Preferred Stock will not be entitled to any dividends in excess of full cumulative dividends described in </w:t>
      </w:r>
      <w:r>
        <w:rPr>
          <w:rFonts w:ascii="Times New Roman" w:hAnsi="Times New Roman"/>
          <w:color w:val="000000"/>
          <w:sz w:val="20"/>
          <w:u w:val="single"/>
        </w:rPr>
        <w:t>Section 4(a)</w:t>
      </w:r>
      <w:r>
        <w:rPr>
          <w:rFonts w:ascii="Times New Roman" w:hAnsi="Times New Roman"/>
          <w:color w:val="000000"/>
          <w:sz w:val="20"/>
        </w:rPr>
        <w:t xml:space="preserve"> hereof. Any dividend payment made on the Series E Preferred Stock will first be credited against the earliest accumulated but unpaid dividend due with respect to the Series E Preferred Stock.</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Except as provided in </w:t>
      </w:r>
      <w:r>
        <w:rPr>
          <w:rFonts w:ascii="Times New Roman" w:hAnsi="Times New Roman"/>
          <w:color w:val="000000"/>
          <w:sz w:val="20"/>
          <w:u w:val="single"/>
        </w:rPr>
        <w:t>Section 4(e)</w:t>
      </w:r>
      <w:r>
        <w:rPr>
          <w:rFonts w:ascii="Times New Roman" w:hAnsi="Times New Roman"/>
          <w:color w:val="000000"/>
          <w:sz w:val="20"/>
        </w:rPr>
        <w:t xml:space="preserve"> hereof, unless full cumulative dividends on the Series E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E Preferred Stock as to dividends and upon liquidation) shall be declared or paid or set apart for payment upon shares of Common Stock or shares of any other class or series of stock of the Corporation ranking junior to or on parity with the Series E Preferred Stock as to dividends or upon liquidation, (ii) no other distribution shall be declared or made upon shares of Common Stock or shares of any other class or series of stock of the Corporation ranking junior to or on parity with the Series E Preferred Stock as to dividends or upon liquidation, and (iii) shares of Common Stock and shares of any other class or series of stock of the Corporation ranking junior to or on parity with the Series E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E Preferred Stock as to dividends and upon liquidation or pursuant to a purchase or exchange offer made on the same terms to holders of all outstanding Series E Preferred Stock and shares of any other class or series of stock of the Corporation ranking on parity with the Series E Preferred Stock as to dividends or upon liquidation); </w:t>
      </w:r>
      <w:r>
        <w:rPr>
          <w:rFonts w:ascii="Times New Roman" w:hAnsi="Times New Roman"/>
          <w:i/>
          <w:color w:val="000000"/>
          <w:sz w:val="20"/>
        </w:rPr>
        <w:t>provided, however</w:t>
      </w:r>
      <w:r>
        <w:rPr>
          <w:rFonts w:ascii="Times New Roman" w:hAnsi="Times New Roman"/>
          <w:color w:val="000000"/>
          <w:sz w:val="20"/>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When dividends are not paid in full (or a sum sufficient for such full payment is not so set apart) upon the Series E Preferred Stock and shares of any other classes or series of stock of the Corporation ranking on parity as to dividends with the Series E Preferred Stock, all dividends declared upon the Series E Preferred Stock and all other such shares of stock shall be declared </w:t>
      </w:r>
      <w:r>
        <w:rPr>
          <w:rFonts w:ascii="Times New Roman" w:hAnsi="Times New Roman"/>
          <w:i/>
          <w:color w:val="000000"/>
          <w:sz w:val="20"/>
        </w:rPr>
        <w:t>pro rata</w:t>
      </w:r>
      <w:r>
        <w:rPr>
          <w:rFonts w:ascii="Times New Roman" w:hAnsi="Times New Roman"/>
          <w:color w:val="000000"/>
          <w:sz w:val="20"/>
        </w:rPr>
        <w:t xml:space="preserve"> so that the amount of dividends declared per share of Series E Preferred Stock and all other such shares of stock shall in all cases bear to each other the same ratio that accumulated dividends per share on the Series E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E Preferred Stock which may be in arrears.</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Business Day</w:t>
      </w:r>
      <w:r>
        <w:rPr>
          <w:rFonts w:ascii="Times New Roman" w:hAnsi="Times New Roman"/>
          <w:color w:val="000000"/>
          <w:sz w:val="20"/>
        </w:rPr>
        <w:t>” shall mean any day, other than a Saturday or Sunday, that is neither a legal holiday nor a day on which banking institutions in New York, New York are authorized or required by law, regulation or executive order to close.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Set apart for payment</w:t>
      </w:r>
      <w:r>
        <w:rPr>
          <w:rFonts w:ascii="Times New Roman" w:hAnsi="Times New Roman"/>
          <w:color w:val="000000"/>
          <w:sz w:val="20"/>
        </w:rPr>
        <w:t>” 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E Preferred Stock as to the payment of dividends are placed in a separate account of the Corporation or delivered to a disbursing, paying or other similar agent, then “set apart for payment” with respect to the Series E Preferred Stock shall mean placing such funds in a separate account or delivering such funds to a disbursing, paying or other similar agent.</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Liquidation Preference</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In the event of any voluntary or involuntary liquidation, dissolution or winding up of the Corporation, the holders of Series E Preferred Stock will be entitled to be paid out of the assets the Corporation has legally available for distribution to its stockholders, subject to the preferential rights of the holders of any class or series of stock of the Corporation ranking senior to the Series E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E Preferred Stock as to liquidation rights; and such holders of Series E Preferred Stock shall not be entitled to any further payment.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In the event that, upon any such voluntary or involuntary liquidation, dissolution or winding up, the available assets of the Corporation are insufficient to pay the amount of the liquidating distributions on all outstanding shares of Series E Preferred Stock and the corresponding amounts payable on all shares of other classes or series of stock of the Corporation ranking on parity with the Series E Preferred Stock in the distribution of assets upon liquidation, dissolution or winding up, then the holders of Series E Preferred Stock and all other such classes or series of stock shall share ratably in any such distribution of assets in proportion to the full liquidating distributions to which they would otherwise be respectively entitled.</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E Preferred Stock at the address of such holder as it shall appear on the stock records of the Corporation. After payment of the full amount of the liquidating distributions to which they are entitled, the holders of Series E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of the Corporation or a statutory share exchange, shall not be deemed to constitute a liquidation, dissolution or winding up of the Corporation.</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E Preferred Stock shall not be added to the Corporation’s total liabilities.</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Redemption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As described in this </w:t>
      </w:r>
      <w:r>
        <w:rPr>
          <w:rFonts w:ascii="Times New Roman" w:hAnsi="Times New Roman"/>
          <w:color w:val="000000"/>
          <w:sz w:val="20"/>
          <w:u w:val="single"/>
        </w:rPr>
        <w:t>Section 6</w:t>
      </w:r>
      <w:r>
        <w:rPr>
          <w:rFonts w:ascii="Times New Roman" w:hAnsi="Times New Roman"/>
          <w:color w:val="000000"/>
          <w:sz w:val="20"/>
        </w:rPr>
        <w:t xml:space="preserve"> and as provided in Article VII of the Charter, the Corporation may purchase or redeem shares of the Series E Preferred Stock, including under circumstances where it is necessary to preserve the Corporation’s qualification as a real estate investment trust for U.S. federal income tax purposes.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Optional Redemption Right</w:t>
      </w:r>
      <w:r>
        <w:rPr>
          <w:rFonts w:ascii="Times New Roman" w:hAnsi="Times New Roman"/>
          <w:color w:val="000000"/>
          <w:sz w:val="20"/>
        </w:rPr>
        <w:t xml:space="preserve">. The Corporation may, at its option, upon not less than 30 nor more than 60 days’ notice, as provided below, redeem the Series E Preferred Stock, in whole or in part, at any time or from time to time, for cash at a redemption price of $25.00 per share, plus, subject to </w:t>
      </w:r>
      <w:r>
        <w:rPr>
          <w:rFonts w:ascii="Times New Roman" w:hAnsi="Times New Roman"/>
          <w:color w:val="000000"/>
          <w:sz w:val="20"/>
          <w:u w:val="single"/>
        </w:rPr>
        <w:t>Section 6(j)</w:t>
      </w:r>
      <w:r>
        <w:rPr>
          <w:rFonts w:ascii="Times New Roman" w:hAnsi="Times New Roman"/>
          <w:color w:val="000000"/>
          <w:sz w:val="20"/>
        </w:rPr>
        <w:t xml:space="preserve"> hereof, any accumulated and unpaid dividends thereon (whether or not authorized or declared) to, but not including, the date fixed for redemption.</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Special Optional Redemption Right</w:t>
      </w:r>
      <w:r>
        <w:rPr>
          <w:rFonts w:ascii="Times New Roman" w:hAnsi="Times New Roman"/>
          <w:color w:val="000000"/>
          <w:sz w:val="20"/>
        </w:rPr>
        <w:t xml:space="preserve">. Upon the occurrence of a Change of Control (as defined below), the Corporation may, at its option, upon not less than 30 nor more than 60 days’ notice, as provided below, redeem the Series E Preferred Stock, in whole or in part, within 120 days after the first date on which such Change of Control occurred, for cash at a redemption price of $25.00 per share, plus, subject to </w:t>
      </w:r>
      <w:r>
        <w:rPr>
          <w:rFonts w:ascii="Times New Roman" w:hAnsi="Times New Roman"/>
          <w:color w:val="000000"/>
          <w:sz w:val="20"/>
          <w:u w:val="single"/>
        </w:rPr>
        <w:t>Section 6(j)</w:t>
      </w:r>
      <w:r>
        <w:rPr>
          <w:rFonts w:ascii="Times New Roman" w:hAnsi="Times New Roman"/>
          <w:color w:val="000000"/>
          <w:sz w:val="20"/>
        </w:rPr>
        <w:t xml:space="preserve"> 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E Preferred Stock pursuant to this </w:t>
      </w:r>
      <w:r>
        <w:rPr>
          <w:rFonts w:ascii="Times New Roman" w:hAnsi="Times New Roman"/>
          <w:color w:val="000000"/>
          <w:sz w:val="20"/>
          <w:u w:val="single"/>
        </w:rPr>
        <w:t>Section 6</w:t>
      </w:r>
      <w:r>
        <w:rPr>
          <w:rFonts w:ascii="Times New Roman" w:hAnsi="Times New Roman"/>
          <w:color w:val="000000"/>
          <w:sz w:val="20"/>
        </w:rPr>
        <w:t>, the holders of Series E Preferred Stock will not have the Change of Control Conversion Right (as defined below) with respect to the shares of Series E Preferred Stock called for redemption.</w:t>
      </w:r>
    </w:p>
    <w:p>
      <w:pPr>
        <w:pStyle w:val="TextBody"/>
        <w:bidi w:val="0"/>
        <w:spacing w:before="0" w:after="0"/>
        <w:jc w:val="left"/>
        <w:rPr>
          <w:sz w:val="20"/>
        </w:rPr>
      </w:pPr>
      <w:r>
        <w:rPr>
          <w:sz w:val="20"/>
        </w:rPr>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(d)          A “</w:t>
      </w:r>
      <w:r>
        <w:rPr>
          <w:rFonts w:ascii="Times New Roman" w:hAnsi="Times New Roman"/>
          <w:color w:val="000000"/>
          <w:sz w:val="20"/>
          <w:u w:val="single"/>
        </w:rPr>
        <w:t>Change of Control</w:t>
      </w:r>
      <w:r>
        <w:rPr>
          <w:rFonts w:ascii="Times New Roman" w:hAnsi="Times New Roman"/>
          <w:color w:val="000000"/>
          <w:sz w:val="20"/>
        </w:rPr>
        <w:t>” is deemed to occur when, after [●], 20266 (the “</w:t>
      </w:r>
      <w:r>
        <w:rPr>
          <w:rFonts w:ascii="Times New Roman" w:hAnsi="Times New Roman"/>
          <w:color w:val="000000"/>
          <w:sz w:val="20"/>
          <w:u w:val="single"/>
        </w:rPr>
        <w:t>Original Issue Date</w:t>
      </w:r>
      <w:r>
        <w:rPr>
          <w:rFonts w:ascii="Times New Roman" w:hAnsi="Times New Roman"/>
          <w:color w:val="000000"/>
          <w:sz w:val="20"/>
        </w:rPr>
        <w:t>”), the following have occurred and are continuing: (i) the acquisition by any person, including any syndicate or group deemed to be a “person” under Section 13(d)(3) of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xml:space="preserve">”),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w:t>
      </w:r>
      <w:r>
        <w:rPr>
          <w:rFonts w:ascii="Times New Roman" w:hAnsi="Times New Roman"/>
          <w:color w:val="000000"/>
          <w:sz w:val="20"/>
          <w:u w:val="single"/>
        </w:rPr>
        <w:t>clause (i)</w:t>
      </w:r>
      <w:r>
        <w:rPr>
          <w:rFonts w:ascii="Times New Roman" w:hAnsi="Times New Roman"/>
          <w:color w:val="000000"/>
          <w:sz w:val="20"/>
        </w:rPr>
        <w:t>, neither the Corporation nor the acquiring or surviving entity has a class of common securities (or American Depositary Receipts representing such securities) listed on the New York Stock Exchange (the “</w:t>
      </w:r>
      <w:r>
        <w:rPr>
          <w:rFonts w:ascii="Times New Roman" w:hAnsi="Times New Roman"/>
          <w:color w:val="000000"/>
          <w:sz w:val="20"/>
          <w:u w:val="single"/>
        </w:rPr>
        <w:t>NYSE</w:t>
      </w:r>
      <w:r>
        <w:rPr>
          <w:rFonts w:ascii="Times New Roman" w:hAnsi="Times New Roman"/>
          <w:color w:val="000000"/>
          <w:sz w:val="20"/>
        </w:rPr>
        <w:t>”), the NYSE American or the Nasdaq Stock Market (“</w:t>
      </w:r>
      <w:r>
        <w:rPr>
          <w:rFonts w:ascii="Times New Roman" w:hAnsi="Times New Roman"/>
          <w:color w:val="000000"/>
          <w:sz w:val="20"/>
          <w:u w:val="single"/>
        </w:rPr>
        <w:t>Nasdaq</w:t>
      </w:r>
      <w:r>
        <w:rPr>
          <w:rFonts w:ascii="Times New Roman" w:hAnsi="Times New Roman"/>
          <w:color w:val="000000"/>
          <w:sz w:val="20"/>
        </w:rPr>
        <w:t>”), or listed or quoted on an exchange or quotation system that is a successor to the NYSE, the NYSE American or Nasdaq.</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6 </w:t>
      </w:r>
      <w:r>
        <w:rPr>
          <w:rFonts w:ascii="Times New Roman" w:hAnsi="Times New Roman"/>
          <w:color w:val="000000"/>
          <w:sz w:val="20"/>
          <w:u w:val="single"/>
        </w:rPr>
        <w:t>Note to draft</w:t>
      </w:r>
      <w:r>
        <w:rPr>
          <w:rFonts w:ascii="Times New Roman" w:hAnsi="Times New Roman"/>
          <w:color w:val="000000"/>
          <w:sz w:val="20"/>
        </w:rPr>
        <w:t>: This is the Closing Date for the Company Merger.</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In the event the Corporation elects to redeem Series E Preferred Stock, the notice of redemption will be given by the Corporation, postage prepaid, not less than 30 nor more than 60 days’ prior to the redemption date, to each holder of record of Series E Preferred Stock called for redemption at such holder’s address as it appears on the stock records of the Corporation and shall state: (i) the redemption date; (ii) the number of shares of Series E Preferred Stock to be redeemed; (iii) the redemption price; (iv) the place or places where certificates (if any) for the Series E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for redemption will be redeemed on the related date of redemption instead of converted on the Change of Control Conversion Date. If less than all of the shares of Series E Preferred Stock held by any holder are to be redeemed, the notice given to such holder shall also specify the number of shares of Series E Preferred Stock held by such holder to be redeemed. No failure to give such notice or any defect thereto or in the giving thereof shall affect the validity of the proceedings for the redemption of any shares of Series E Preferred Stock except as to the holder to whom notice was defective or not given. Notwithstanding the foregoing, no notice of redemption will be required where the Corporation elects to redeem Series E Preferred Stock pursuant to Article VII of the Charter, including to preserve the Corporation’s qualification as a real estate investment trust for U.S. federal income tax purposes.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Holders of shares of Series E Preferred Stock to be redeemed shall surrender the shares of Series E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If notice of redemption of any shares of Series E Preferred Stock has been given and if the Corporation irrevocably sets apart for payment the funds necessary for redemption (including any accumulated and unpaid dividends) in trust for the benefit of the holders of the shares of Series E Preferred Stock so called for redemption, then from and after the redemption date (unless the Corporation shall default in providing for the payment of the redemption price plus accumulated and unpaid dividends, if any), dividends will cease to accumulate on those shares of Series E Preferred Stock, those shares of Series E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           If less than all of the outstanding shares of Series E Preferred Stock are to be redeemed, the shares of Series E Preferred Stock to be redeemed shall be selected </w:t>
      </w:r>
      <w:r>
        <w:rPr>
          <w:rFonts w:ascii="Times New Roman" w:hAnsi="Times New Roman"/>
          <w:i/>
          <w:color w:val="000000"/>
          <w:sz w:val="20"/>
        </w:rPr>
        <w:t>pro rata</w:t>
      </w:r>
      <w:r>
        <w:rPr>
          <w:rFonts w:ascii="Times New Roman" w:hAnsi="Times New Roman"/>
          <w:color w:val="000000"/>
          <w:sz w:val="20"/>
        </w:rPr>
        <w:t xml:space="preserve"> (as nearly as may be practicable without creating fractional shares) or by lot. If such redemption is to be by lot and if, as a result of such redemption, any holder of Series E Preferred Stock would own shares of Series E Preferred Stock in excess of the Aggregate Stock Ownership Limit (as defined in the Charter) or violate any other restriction or limitation on ownership or transfer of Capital Stock (as defined in the Charter) set forth in Section 7.2.1 of Article VII of the Charter, then, except as otherwise provided in the Charter, the Corporation will redeem the requisite number of shares of Series E Preferred Stock of that holder such that the holder will not own shares of Series E Preferred Stock in excess of the Aggregate Stock Ownership Limit or violate any other restriction on ownership or transfer of Capital Stock set forth in Section 7.2.1 of Article VII of the Charter subsequent to such redemption.</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(j)           Immediately prior to any redemption of Series E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E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 w:hAnsi="Times New Roman"/>
          <w:color w:val="000000"/>
          <w:sz w:val="20"/>
          <w:u w:val="single"/>
        </w:rPr>
        <w:t>Section 6(j)</w:t>
      </w:r>
      <w:r>
        <w:rPr>
          <w:rFonts w:ascii="Times New Roman" w:hAnsi="Times New Roman"/>
          <w:color w:val="000000"/>
          <w:sz w:val="20"/>
        </w:rPr>
        <w:t>, the Corporation will make no payment or allowance for unpaid dividends, whether or not in arrears, on shares of the Series E Preferred Stock to be redeemed.</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(k)          Unless full cumulative dividends on all shares of Series E Preferred Stock shall have been or contemporaneously are declared and paid or declared and a sum sufficient for the payment thereof has been or contemporaneously is set apart for payment for all past Dividend Periods, no shares of Series E Preferred Stock shall be redeemed unless all outstanding shares of Series E Preferred Stock are simultaneously redeemed, and the Corporation shall not purchase or otherwise acquire directly or indirectly any shares of Series E Preferred Stock (except by conversion into or exchange for shares of, or options, warrants or rights to purchase or subscribe for, Common Stock or stock ranking junior to the Series E Preferred Stock as to dividends and upon liquidation or pursuant to a purchase or exchange offer made on the same terms to holders of all outstanding shares of Series E Preferred Stock and any other class or series of stock of the Corporation ranking on a parity with the Series E Preferred Stock as to the payment of dividends and the distribution of assets upon any liquidation, dissolution or winding up of the Corporation); </w:t>
      </w:r>
      <w:r>
        <w:rPr>
          <w:rFonts w:ascii="Times New Roman" w:hAnsi="Times New Roman"/>
          <w:i/>
          <w:color w:val="000000"/>
          <w:sz w:val="20"/>
        </w:rPr>
        <w:t>provided, however</w:t>
      </w:r>
      <w:r>
        <w:rPr>
          <w:rFonts w:ascii="Times New Roman" w:hAnsi="Times New Roman"/>
          <w:color w:val="000000"/>
          <w:sz w:val="20"/>
        </w:rPr>
        <w:t>, that the foregoing shall not prevent the redemption, purchase or acquisition by the Corporation of shares of Series E Preferred Stock pursuant to Article VII of the Charter to preserve the Corporation’s qualification as a real estate investment trust for U.S. federal income tax purposes, among other purposes.</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Subject to applicable law, the Corporation may purchase shares of Series E Preferred Stock in the open market, by tender or by privately negotiated transactions. Any shares of Series E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Conversion Rights</w:t>
      </w:r>
      <w:r>
        <w:rPr>
          <w:rFonts w:ascii="Times New Roman" w:hAnsi="Times New Roman"/>
          <w:color w:val="000000"/>
          <w:sz w:val="20"/>
        </w:rPr>
        <w:t xml:space="preserve">. Shares of Series E Preferred Stock are not convertible into or exchangeable for any other property or securities of the Corporation, except as provided in this </w:t>
      </w:r>
      <w:r>
        <w:rPr>
          <w:rFonts w:ascii="Times New Roman" w:hAnsi="Times New Roman"/>
          <w:color w:val="000000"/>
          <w:sz w:val="20"/>
          <w:u w:val="single"/>
        </w:rPr>
        <w:t>Section 7</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 xml:space="preserve">(a)          Upon the occurrence of a Change of Control, each holder of Series E Preferred Stock will have the right (unless, prior to the Change of Control Conversion Date, the Corporation has provided notice of its election to redeem some or all of the shares of Series E Preferred Stock held by such holder pursuant to </w:t>
      </w:r>
      <w:r>
        <w:rPr>
          <w:rFonts w:ascii="Times New Roman" w:hAnsi="Times New Roman"/>
          <w:color w:val="000000"/>
          <w:sz w:val="20"/>
          <w:u w:val="single"/>
        </w:rPr>
        <w:t>Section 6</w:t>
      </w:r>
      <w:r>
        <w:rPr>
          <w:rFonts w:ascii="Times New Roman" w:hAnsi="Times New Roman"/>
          <w:color w:val="000000"/>
          <w:sz w:val="20"/>
        </w:rPr>
        <w:t xml:space="preserve"> hereof, in which case such holder will have the right only with respect to shares of Series E Preferred Stock that are not called for redemption) to convert some or all of the shares of Series E Preferred Stock held by such holder (the “</w:t>
      </w:r>
      <w:r>
        <w:rPr>
          <w:rFonts w:ascii="Times New Roman" w:hAnsi="Times New Roman"/>
          <w:color w:val="000000"/>
          <w:sz w:val="20"/>
          <w:u w:val="single"/>
        </w:rPr>
        <w:t>Change of Control Conversion Right</w:t>
      </w:r>
      <w:r>
        <w:rPr>
          <w:rFonts w:ascii="Times New Roman" w:hAnsi="Times New Roman"/>
          <w:color w:val="000000"/>
          <w:sz w:val="20"/>
        </w:rPr>
        <w:t>”) on the Change of Control Conversion Date into a number of shares of Common Stock per share of Series E Preferred Stock (the “</w:t>
      </w:r>
      <w:r>
        <w:rPr>
          <w:rFonts w:ascii="Times New Roman" w:hAnsi="Times New Roman"/>
          <w:color w:val="000000"/>
          <w:sz w:val="20"/>
          <w:u w:val="single"/>
        </w:rPr>
        <w:t>Common Stock Conversion Consideration</w:t>
      </w:r>
      <w:r>
        <w:rPr>
          <w:rFonts w:ascii="Times New Roman" w:hAnsi="Times New Roman"/>
          <w:color w:val="000000"/>
          <w:sz w:val="20"/>
        </w:rPr>
        <w:t xml:space="preserve">”) equal to the lesser of: (i) the quotient obtained by dividing (x) the sum of the $25.00 liquidation preference per share of Series E Preferred Stock plus (subject to </w:t>
      </w:r>
      <w:r>
        <w:rPr>
          <w:rFonts w:ascii="Times New Roman" w:hAnsi="Times New Roman"/>
          <w:color w:val="000000"/>
          <w:sz w:val="20"/>
          <w:u w:val="single"/>
        </w:rPr>
        <w:t>Section 7(p)</w:t>
      </w:r>
      <w:r>
        <w:rPr>
          <w:rFonts w:ascii="Times New Roman" w:hAnsi="Times New Roman"/>
          <w:color w:val="000000"/>
          <w:sz w:val="20"/>
        </w:rPr>
        <w:t xml:space="preserve"> hereof) the amount of any accumulated and unpaid dividends (whether or not authorized or declared) thereon to, but not including, the Change of Control Conversion Date (unless the Change of Control Conversion Date is after a Dividend Record Date and prior to the corresponding Dividend Payment Date for the Series E Preferred Stock, in which case no additional amount for such accumulated and unpaid dividends will be included in this sum) by (y) the Common Stock Price (as defined below) (such quotient, the “</w:t>
      </w:r>
      <w:r>
        <w:rPr>
          <w:rFonts w:ascii="Times New Roman" w:hAnsi="Times New Roman"/>
          <w:color w:val="000000"/>
          <w:sz w:val="20"/>
          <w:u w:val="single"/>
        </w:rPr>
        <w:t>Conversion Rate</w:t>
      </w:r>
      <w:r>
        <w:rPr>
          <w:rFonts w:ascii="Times New Roman" w:hAnsi="Times New Roman"/>
          <w:color w:val="000000"/>
          <w:sz w:val="20"/>
        </w:rPr>
        <w:t>”); and (ii) [●]7 (the “</w:t>
      </w:r>
      <w:r>
        <w:rPr>
          <w:rFonts w:ascii="Times New Roman" w:hAnsi="Times New Roman"/>
          <w:color w:val="000000"/>
          <w:sz w:val="20"/>
          <w:u w:val="single"/>
        </w:rPr>
        <w:t>Share Cap</w:t>
      </w:r>
      <w:r>
        <w:rPr>
          <w:rFonts w:ascii="Times New Roman" w:hAnsi="Times New Roman"/>
          <w:color w:val="000000"/>
          <w:sz w:val="20"/>
        </w:rPr>
        <w:t xml:space="preserve">”), subject to adjustments provided in </w:t>
      </w:r>
      <w:r>
        <w:rPr>
          <w:rFonts w:ascii="Times New Roman" w:hAnsi="Times New Roman"/>
          <w:color w:val="000000"/>
          <w:sz w:val="20"/>
          <w:u w:val="single"/>
        </w:rPr>
        <w:t>Section 7(b)</w:t>
      </w:r>
      <w:r>
        <w:rPr>
          <w:rFonts w:ascii="Times New Roman" w:hAnsi="Times New Roman"/>
          <w:color w:val="000000"/>
          <w:sz w:val="20"/>
        </w:rPr>
        <w:t xml:space="preserve"> below.</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The Share Cap is subject to </w:t>
      </w:r>
      <w:r>
        <w:rPr>
          <w:rFonts w:ascii="Times New Roman" w:hAnsi="Times New Roman"/>
          <w:i/>
          <w:color w:val="000000"/>
          <w:sz w:val="20"/>
        </w:rPr>
        <w:t>pro rata</w:t>
      </w:r>
      <w:r>
        <w:rPr>
          <w:rFonts w:ascii="Times New Roman" w:hAnsi="Times New Roman"/>
          <w:color w:val="000000"/>
          <w:sz w:val="20"/>
        </w:rPr>
        <w:t xml:space="preserve"> adjustments for any share splits (including those effected pursuant to a distribution of Common Stock to existing holders of Common Stock), subdivisions or combinations (in each case, a “</w:t>
      </w:r>
      <w:r>
        <w:rPr>
          <w:rFonts w:ascii="Times New Roman" w:hAnsi="Times New Roman"/>
          <w:color w:val="000000"/>
          <w:sz w:val="20"/>
          <w:u w:val="single"/>
        </w:rPr>
        <w:t>Share Split</w:t>
      </w:r>
      <w:r>
        <w:rPr>
          <w:rFonts w:ascii="Times New Roman" w:hAnsi="Times New Roman"/>
          <w:color w:val="000000"/>
          <w:sz w:val="20"/>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E Preferred Stock issued and outstanding at the Change of Control Conversion Date (or equivalent Alternative Conversion Consideration, as applicable) (the “</w:t>
      </w:r>
      <w:r>
        <w:rPr>
          <w:rFonts w:ascii="Times New Roman" w:hAnsi="Times New Roman"/>
          <w:color w:val="000000"/>
          <w:sz w:val="20"/>
          <w:u w:val="single"/>
        </w:rPr>
        <w:t>Exchange Cap</w:t>
      </w:r>
      <w:r>
        <w:rPr>
          <w:rFonts w:ascii="Times New Roman" w:hAnsi="Times New Roman"/>
          <w:color w:val="000000"/>
          <w:sz w:val="20"/>
        </w:rPr>
        <w:t xml:space="preserve">”). The Exchange Cap is subject to </w:t>
      </w:r>
      <w:r>
        <w:rPr>
          <w:rFonts w:ascii="Times New Roman" w:hAnsi="Times New Roman"/>
          <w:i/>
          <w:color w:val="000000"/>
          <w:sz w:val="20"/>
        </w:rPr>
        <w:t>pro rata</w:t>
      </w:r>
      <w:r>
        <w:rPr>
          <w:rFonts w:ascii="Times New Roman" w:hAnsi="Times New Roman"/>
          <w:color w:val="000000"/>
          <w:sz w:val="20"/>
        </w:rPr>
        <w:t xml:space="preserve"> adjustments for any Share Splits on the same basis as the corresponding adjustments to the Share Cap.</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7 </w:t>
      </w:r>
      <w:r>
        <w:rPr>
          <w:rFonts w:ascii="Times New Roman" w:hAnsi="Times New Roman"/>
          <w:color w:val="000000"/>
          <w:sz w:val="20"/>
          <w:u w:val="single"/>
        </w:rPr>
        <w:t>Note to Draft</w:t>
      </w:r>
      <w:r>
        <w:rPr>
          <w:rFonts w:ascii="Times New Roman" w:hAnsi="Times New Roman"/>
          <w:color w:val="000000"/>
          <w:sz w:val="20"/>
        </w:rPr>
        <w:t>: The original Share Cap of 2.68962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The “</w:t>
      </w:r>
      <w:r>
        <w:rPr>
          <w:rFonts w:ascii="Times New Roman" w:hAnsi="Times New Roman"/>
          <w:color w:val="000000"/>
          <w:sz w:val="20"/>
          <w:u w:val="single"/>
        </w:rPr>
        <w:t>Change of Control Conversion Date</w:t>
      </w:r>
      <w:r>
        <w:rPr>
          <w:rFonts w:ascii="Times New Roman" w:hAnsi="Times New Roman"/>
          <w:color w:val="000000"/>
          <w:sz w:val="20"/>
        </w:rPr>
        <w:t xml:space="preserve">” is the date the Series E Preferred Stock is to be converted, which will be a Business Day selected by the Corporation that is neither fewer than 20 days nor more than 35 days after the date on which it provides the notice described in </w:t>
      </w:r>
      <w:r>
        <w:rPr>
          <w:rFonts w:ascii="Times New Roman" w:hAnsi="Times New Roman"/>
          <w:color w:val="000000"/>
          <w:sz w:val="20"/>
          <w:u w:val="single"/>
        </w:rPr>
        <w:t>Section 7(h)</w:t>
      </w:r>
      <w:r>
        <w:rPr>
          <w:rFonts w:ascii="Times New Roman" w:hAnsi="Times New Roman"/>
          <w:color w:val="000000"/>
          <w:sz w:val="20"/>
        </w:rPr>
        <w:t xml:space="preserve"> to the holders of Series E Preferred Stock.</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The “</w:t>
      </w:r>
      <w:r>
        <w:rPr>
          <w:rFonts w:ascii="Times New Roman" w:hAnsi="Times New Roman"/>
          <w:color w:val="000000"/>
          <w:sz w:val="20"/>
          <w:u w:val="single"/>
        </w:rPr>
        <w:t>Common Stock Price</w:t>
      </w:r>
      <w:r>
        <w:rPr>
          <w:rFonts w:ascii="Times New Roman" w:hAnsi="Times New Roman"/>
          <w:color w:val="000000"/>
          <w:sz w:val="20"/>
        </w:rPr>
        <w:t>” 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In the case of a Change of Control pursuant to which Common Stock is or will be converted into cash, securities or other property or assets (including any combination thereof) (the “</w:t>
      </w:r>
      <w:r>
        <w:rPr>
          <w:rFonts w:ascii="Times New Roman" w:hAnsi="Times New Roman"/>
          <w:color w:val="000000"/>
          <w:sz w:val="20"/>
          <w:u w:val="single"/>
        </w:rPr>
        <w:t>Alternative Form Consideration</w:t>
      </w:r>
      <w:r>
        <w:rPr>
          <w:rFonts w:ascii="Times New Roman" w:hAnsi="Times New Roman"/>
          <w:color w:val="000000"/>
          <w:sz w:val="20"/>
        </w:rPr>
        <w:t>”), a holder of Series E Preferred Stock will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 w:hAnsi="Times New Roman"/>
          <w:color w:val="000000"/>
          <w:sz w:val="20"/>
          <w:u w:val="single"/>
        </w:rPr>
        <w:t>Alternative Conversion Consideration</w:t>
      </w:r>
      <w:r>
        <w:rPr>
          <w:rFonts w:ascii="Times New Roman" w:hAnsi="Times New Roman"/>
          <w:color w:val="000000"/>
          <w:sz w:val="20"/>
        </w:rPr>
        <w:t>”; the Common Stock Conversion Consideration or the Alternative Conversion Consideration, whichever shall be applicable to a Change of Control, is referred to as the “</w:t>
      </w:r>
      <w:r>
        <w:rPr>
          <w:rFonts w:ascii="Times New Roman" w:hAnsi="Times New Roman"/>
          <w:color w:val="000000"/>
          <w:sz w:val="20"/>
          <w:u w:val="single"/>
        </w:rPr>
        <w:t>Conversion Consideration</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such Change of Control.</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The Corporation will not issue any fractional shares of Common Stock upon the conversion of the Series E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(h)          Within 15 days following the occurrence of a Change of Control, provided that the Corporation has not exercised its right to redeem all shares of Series E Preferred Stock pursuant to </w:t>
      </w:r>
      <w:r>
        <w:rPr>
          <w:rFonts w:ascii="Times New Roman" w:hAnsi="Times New Roman"/>
          <w:color w:val="000000"/>
          <w:sz w:val="20"/>
          <w:u w:val="single"/>
        </w:rPr>
        <w:t>Section 6</w:t>
      </w:r>
      <w:r>
        <w:rPr>
          <w:rFonts w:ascii="Times New Roman" w:hAnsi="Times New Roman"/>
          <w:color w:val="000000"/>
          <w:sz w:val="20"/>
        </w:rPr>
        <w:t xml:space="preserve"> hereof, the Corporation will provide to holders of Series E Preferred Stock a notice of occurrence of the Change of Control that describes the resulting Change of Control Conversion Right, which notice shall be delivered to the holders of record of the shares of the Series E Preferred Stock to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 must follow to exercise the Change of Control Conversion Right (including procedures for surrendering shares of Series E Preferred Stock for conversion through the facilities of a Depositary (as defined below)), including the form of conversion notice to be delivered by such holders as described below; and (x) the last date on which holders of Series E Preferred Stock may withdraw shares of Series E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E Preferred Stock except as to the holder to whom notice was defective or not given.</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           The Corporation shall also issue a press release containing such notice provided for in </w:t>
      </w:r>
      <w:r>
        <w:rPr>
          <w:rFonts w:ascii="Times New Roman" w:hAnsi="Times New Roman"/>
          <w:color w:val="000000"/>
          <w:sz w:val="20"/>
          <w:u w:val="single"/>
        </w:rPr>
        <w:t>Section 7(h)</w:t>
      </w:r>
      <w:r>
        <w:rPr>
          <w:rFonts w:ascii="Times New Roman" w:hAnsi="Times New Roman"/>
          <w:color w:val="000000"/>
          <w:sz w:val="20"/>
        </w:rPr>
        <w:t xml:space="preserve"> 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 w:hAnsi="Times New Roman"/>
          <w:color w:val="000000"/>
          <w:sz w:val="20"/>
          <w:u w:val="single"/>
        </w:rPr>
        <w:t>Section 7(h)</w:t>
      </w:r>
      <w:r>
        <w:rPr>
          <w:rFonts w:ascii="Times New Roman" w:hAnsi="Times New Roman"/>
          <w:color w:val="000000"/>
          <w:sz w:val="20"/>
        </w:rPr>
        <w:t xml:space="preserve"> hereof to the holders of Series E Preferred Stock.</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(j)           To exercise the Change of Control Conversion Right, the holders of Series E Preferred Stock will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or shares directly registered with the transfer agent therefor, to deliver, on or before the close of business on the Change of Control Conversion Date, the shares of Series E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(l)           Notwithstanding anything to the contrary contained in </w:t>
      </w:r>
      <w:r>
        <w:rPr>
          <w:rFonts w:ascii="Times New Roman" w:hAnsi="Times New Roman"/>
          <w:color w:val="000000"/>
          <w:sz w:val="20"/>
          <w:u w:val="single"/>
        </w:rPr>
        <w:t>Sections 7(j)</w:t>
      </w:r>
      <w:r>
        <w:rPr>
          <w:rFonts w:ascii="Times New Roman" w:hAnsi="Times New Roman"/>
          <w:color w:val="000000"/>
          <w:sz w:val="20"/>
        </w:rPr>
        <w:t xml:space="preserve"> and </w:t>
      </w:r>
      <w:r>
        <w:rPr>
          <w:rFonts w:ascii="Times New Roman" w:hAnsi="Times New Roman"/>
          <w:color w:val="000000"/>
          <w:sz w:val="20"/>
          <w:u w:val="single"/>
        </w:rPr>
        <w:t>(k)</w:t>
      </w:r>
      <w:r>
        <w:rPr>
          <w:rFonts w:ascii="Times New Roman" w:hAnsi="Times New Roman"/>
          <w:color w:val="000000"/>
          <w:sz w:val="20"/>
        </w:rPr>
        <w:t xml:space="preserve"> hereof, if any shares of Series E Preferred Stock are held in book-entry form through The Depository Trust Company (“</w:t>
      </w:r>
      <w:r>
        <w:rPr>
          <w:rFonts w:ascii="Times New Roman" w:hAnsi="Times New Roman"/>
          <w:color w:val="000000"/>
          <w:sz w:val="20"/>
          <w:u w:val="single"/>
        </w:rPr>
        <w:t>DTC</w:t>
      </w:r>
      <w:r>
        <w:rPr>
          <w:rFonts w:ascii="Times New Roman" w:hAnsi="Times New Roman"/>
          <w:color w:val="000000"/>
          <w:sz w:val="20"/>
        </w:rPr>
        <w:t>”) or a similar depositary (each, a “</w:t>
      </w:r>
      <w:r>
        <w:rPr>
          <w:rFonts w:ascii="Times New Roman" w:hAnsi="Times New Roman"/>
          <w:color w:val="000000"/>
          <w:sz w:val="20"/>
          <w:u w:val="single"/>
        </w:rPr>
        <w:t>Depositary</w:t>
      </w:r>
      <w:r>
        <w:rPr>
          <w:rFonts w:ascii="Times New Roman" w:hAnsi="Times New Roman"/>
          <w:color w:val="000000"/>
          <w:sz w:val="20"/>
        </w:rPr>
        <w:t>”), the conversion notice and/or the notice of withdrawal, as applicable, must comply with applicable procedures, if any, of the applicable Depositary.</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(m)         Shares of 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w:t>
      </w:r>
      <w:r>
        <w:rPr>
          <w:rFonts w:ascii="Times New Roman" w:hAnsi="Times New Roman"/>
          <w:color w:val="000000"/>
          <w:sz w:val="20"/>
          <w:u w:val="single"/>
        </w:rPr>
        <w:t>Section 6</w:t>
      </w:r>
      <w:r>
        <w:rPr>
          <w:rFonts w:ascii="Times New Roman" w:hAnsi="Times New Roman"/>
          <w:color w:val="000000"/>
          <w:sz w:val="20"/>
        </w:rPr>
        <w:t xml:space="preserve"> hereof,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will not be so converted and the holders of such shares will be entitled to receive on the applicable redemption date the redemption price as provided in </w:t>
      </w:r>
      <w:r>
        <w:rPr>
          <w:rFonts w:ascii="Times New Roman" w:hAnsi="Times New Roman"/>
          <w:color w:val="000000"/>
          <w:sz w:val="20"/>
          <w:u w:val="single"/>
        </w:rPr>
        <w:t>Section 6</w:t>
      </w:r>
      <w:r>
        <w:rPr>
          <w:rFonts w:ascii="Times New Roman" w:hAnsi="Times New Roman"/>
          <w:color w:val="000000"/>
          <w:sz w:val="20"/>
        </w:rPr>
        <w:t xml:space="preserve"> hereof.</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          In connection with the exercise of any Change of Control Conversion Right, the Corporation shall comply with all applicable federal and state securities laws and stock exchange rules in connection with any conversion of shares of Series E Preferred Stock into shares of Common Stock or other property. Notwithstanding any other provision of the Series E Preferred Stock, no holder of Series E Preferred Stock will be entitled to convert such shares of Series E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(p)          Notwithstanding anything to the contrary herein and except as otherwise required by law, the persons who are the holders of record of shares of Series E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 w:hAnsi="Times New Roman"/>
          <w:color w:val="000000"/>
          <w:sz w:val="20"/>
          <w:u w:val="single"/>
        </w:rPr>
        <w:t>Section 7(p)</w:t>
      </w:r>
      <w:r>
        <w:rPr>
          <w:rFonts w:ascii="Times New Roman" w:hAnsi="Times New Roman"/>
          <w:color w:val="000000"/>
          <w:sz w:val="20"/>
        </w:rPr>
        <w:t>, the Corporation will make no allowance for unpaid dividends that are not in arrears on the shares of Series E Preferred Stock to be converted.</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Voting Rights</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Holders of Series E Preferred Stock will not have any voting rights, except as set forth in this </w:t>
      </w:r>
      <w:r>
        <w:rPr>
          <w:rFonts w:ascii="Times New Roman" w:hAnsi="Times New Roman"/>
          <w:color w:val="000000"/>
          <w:sz w:val="20"/>
          <w:u w:val="single"/>
        </w:rPr>
        <w:t>Section 8</w:t>
      </w:r>
      <w:r>
        <w:rPr>
          <w:rFonts w:ascii="Times New Roman" w:hAnsi="Times New Roman"/>
          <w:color w:val="000000"/>
          <w:sz w:val="20"/>
        </w:rPr>
        <w:t>. On each matter on which holders of Series E Preferred Stock are entitled to vote, each share of Series E Preferred Stock will be entitled to one vote, except that when shares of any other class or series of Preferred Stock the Corporation may issue have the right to vote with the Series E Preferred Stock as a single class on any matter, the Series E Preferred Stock and the shares of each such other class or series will have one vote for each $25.00 of liquidation preference (excluding accumulated dividends).</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Whenever dividends on any shares of Series E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E Preferred Stock, voting as a single class with the holders of all other classes or series of Preferred Stock ranking on a parity with the Series E Preferred Stock as to the payment of dividends and the distribution of assets upon any liquidation, dissolution or winding up of the Corporation and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E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stockholders of the Corporation until all dividends accumulated on the Series E Preferred Stock for all past Dividend Periods and the then current Dividend Period shall have been fully paid.  In that case, the right of holders of Series E Preferred Stock to elect any directors will cease and, unless there are other classes or series of Preferred Stock upon which like voting rights have been conferred and are exercisable, the term of office of any directors elected by holders of Series E Preferred Stock shall immediately terminate and the number of directors constituting the Board shall be reduced accordingly. For the avoidance of doubt, in no event shall the total number of directors elected by holders of Series E Preferred Stock (voting together as a single class with the holders of all other classes or series of Preferred Stock upon which like voting rights have been conferred and are exercisable) pursuant to the voting rights under this </w:t>
      </w:r>
      <w:r>
        <w:rPr>
          <w:rFonts w:ascii="Times New Roman" w:hAnsi="Times New Roman"/>
          <w:color w:val="000000"/>
          <w:sz w:val="20"/>
          <w:u w:val="single"/>
        </w:rPr>
        <w:t>Section 8</w:t>
      </w:r>
      <w:r>
        <w:rPr>
          <w:rFonts w:ascii="Times New Roman" w:hAnsi="Times New Roman"/>
          <w:color w:val="000000"/>
          <w:sz w:val="20"/>
        </w:rPr>
        <w:t xml:space="preserve"> exceed two.  The directors elected by the holders of Series E Preferred Stock and the holders of all other classes or series of Preferred Stock upon which like voting rights have been conferred and are exercisable will be elected by a plurality of the votes cast by the holders of the outstanding shares of Series E Preferred Stock when they have the voting rights as set forth in this </w:t>
      </w:r>
      <w:r>
        <w:rPr>
          <w:rFonts w:ascii="Times New Roman" w:hAnsi="Times New Roman"/>
          <w:color w:val="000000"/>
          <w:sz w:val="20"/>
          <w:u w:val="single"/>
        </w:rPr>
        <w:t>Section 8(b)</w:t>
      </w:r>
      <w:r>
        <w:rPr>
          <w:rFonts w:ascii="Times New Roman" w:hAnsi="Times New Roman"/>
          <w:color w:val="000000"/>
          <w:sz w:val="20"/>
        </w:rPr>
        <w:t xml:space="preserve"> 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If, at any time when the voting rights conferred upon the Series E Preferred Stock pursuant to </w:t>
      </w:r>
      <w:r>
        <w:rPr>
          <w:rFonts w:ascii="Times New Roman" w:hAnsi="Times New Roman"/>
          <w:color w:val="000000"/>
          <w:sz w:val="20"/>
          <w:u w:val="single"/>
        </w:rPr>
        <w:t>Section 8(b)</w:t>
      </w:r>
      <w:r>
        <w:rPr>
          <w:rFonts w:ascii="Times New Roman" w:hAnsi="Times New Roman"/>
          <w:color w:val="000000"/>
          <w:sz w:val="20"/>
        </w:rPr>
        <w:t xml:space="preserve"> hereof are exercisable, any vacancy in the office of a director elected pursuant to </w:t>
      </w:r>
      <w:r>
        <w:rPr>
          <w:rFonts w:ascii="Times New Roman" w:hAnsi="Times New Roman"/>
          <w:color w:val="000000"/>
          <w:sz w:val="20"/>
          <w:u w:val="single"/>
        </w:rPr>
        <w:t>Section 8(b)</w:t>
      </w:r>
      <w:r>
        <w:rPr>
          <w:rFonts w:ascii="Times New Roman" w:hAnsi="Times New Roman"/>
          <w:color w:val="000000"/>
          <w:sz w:val="20"/>
        </w:rPr>
        <w:t xml:space="preserve"> shall occur, then such vacancy may be filled only by the remaining director or by vote of the holders of the outstanding Series E Preferred Stock and any other classes or series of Preferred Stock upon which like voting rights have been conferred and are exercisable.  Any director elected pursuant to </w:t>
      </w:r>
      <w:r>
        <w:rPr>
          <w:rFonts w:ascii="Times New Roman" w:hAnsi="Times New Roman"/>
          <w:color w:val="000000"/>
          <w:sz w:val="20"/>
          <w:u w:val="single"/>
        </w:rPr>
        <w:t>Section 8(b)</w:t>
      </w:r>
      <w:r>
        <w:rPr>
          <w:rFonts w:ascii="Times New Roman" w:hAnsi="Times New Roman"/>
          <w:color w:val="000000"/>
          <w:sz w:val="20"/>
        </w:rPr>
        <w:t xml:space="preserve"> may be removed at any time, with or without cause, only by the vote of, and may not be removed otherwise than by the vote of, the holders of record of a majority of the outstanding shares of Series E Preferred Stock and any class or series of Preferred Stock upon which like voting rights have been conferred and are exercisable (voting as a single class with all other classes or series of Preferred Stock upon which like voting rights have been conferred and are exercisable).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So long as any shares of Series E Preferred Stock remain outstanding, the Corporation will not, without the affirmative vote or consent of the holders of at least two-thirds of the shares of Series E Preferred Stock outstanding at the time, voting together as a single class with the holders of all classes or series of Preferred Stock ranking on parity with the Series E Preferred Stock upon which like voting rights have been conferred and are exercisable, (i) authorize or create, or increase the authorized or issued amount of, any class or series of capital stock ranking senior to the Series E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conversion, consolidation or otherwise, so as to materially and adversely affect any right, preference, privilege or voting power of the Series E Preferred Stock (each, an “</w:t>
      </w:r>
      <w:r>
        <w:rPr>
          <w:rFonts w:ascii="Times New Roman" w:hAnsi="Times New Roman"/>
          <w:color w:val="000000"/>
          <w:sz w:val="20"/>
          <w:u w:val="single"/>
        </w:rPr>
        <w:t>Event</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xml:space="preserve">, with respect to the occurrence of any Event set forth in </w:t>
      </w:r>
      <w:r>
        <w:rPr>
          <w:rFonts w:ascii="Times New Roman" w:hAnsi="Times New Roman"/>
          <w:color w:val="000000"/>
          <w:sz w:val="20"/>
          <w:u w:val="single"/>
        </w:rPr>
        <w:t>clause (ii)</w:t>
      </w:r>
      <w:r>
        <w:rPr>
          <w:rFonts w:ascii="Times New Roman" w:hAnsi="Times New Roman"/>
          <w:color w:val="000000"/>
          <w:sz w:val="20"/>
        </w:rPr>
        <w:t xml:space="preserve"> above, so long as the Series E Preferred Stock remains outstanding with the terms thereof materially unchanged, or the holders of Series E Preferred Stock receive shares of stock or other equity interests with rights, preferences, privileges and voting powers substantially the same as those of the Series E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E Preferred Stock; </w:t>
      </w:r>
      <w:r>
        <w:rPr>
          <w:rFonts w:ascii="Times New Roman" w:hAnsi="Times New Roman"/>
          <w:i/>
          <w:color w:val="000000"/>
          <w:sz w:val="20"/>
        </w:rPr>
        <w:t>provided further</w:t>
      </w:r>
      <w:r>
        <w:rPr>
          <w:rFonts w:ascii="Times New Roman" w:hAnsi="Times New Roman"/>
          <w:color w:val="000000"/>
          <w:sz w:val="20"/>
        </w:rPr>
        <w:t>, that any increase in the amount of the authorized Series E Preferred Stock, or the creation or issuance, or any increase in the amounts authorized of any class or series ranking on parity with or junior to the Series E Preferred Stock that the Corporation may issue shall not be deemed to materially and adversely affect the rights, preferences, privileges or voting powers of holders of Series E Preferred Stock.</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The voting rights provided for in this </w:t>
      </w:r>
      <w:r>
        <w:rPr>
          <w:rFonts w:ascii="Times New Roman" w:hAnsi="Times New Roman"/>
          <w:color w:val="000000"/>
          <w:sz w:val="20"/>
          <w:u w:val="single"/>
        </w:rPr>
        <w:t>Section 8</w:t>
      </w:r>
      <w:r>
        <w:rPr>
          <w:rFonts w:ascii="Times New Roman" w:hAnsi="Times New Roman"/>
          <w:color w:val="000000"/>
          <w:sz w:val="20"/>
        </w:rPr>
        <w:t xml:space="preserve"> will not apply if, at or prior to the time when the act with respect to which voting by holders of Series E Preferred Stock would otherwise be required pursuant to this </w:t>
      </w:r>
      <w:r>
        <w:rPr>
          <w:rFonts w:ascii="Times New Roman" w:hAnsi="Times New Roman"/>
          <w:color w:val="000000"/>
          <w:sz w:val="20"/>
          <w:u w:val="single"/>
        </w:rPr>
        <w:t>Section 8</w:t>
      </w:r>
      <w:r>
        <w:rPr>
          <w:rFonts w:ascii="Times New Roman" w:hAnsi="Times New Roman"/>
          <w:color w:val="000000"/>
          <w:sz w:val="20"/>
        </w:rPr>
        <w:t xml:space="preserve"> shall be effected, all outstanding shares of Series E Preferred Stock shall have been redeemed or called for redemption upon proper notice and sufficient funds have been irrevocably set apart to effect such redemption pursuant to </w:t>
      </w:r>
      <w:r>
        <w:rPr>
          <w:rFonts w:ascii="Times New Roman" w:hAnsi="Times New Roman"/>
          <w:color w:val="000000"/>
          <w:sz w:val="20"/>
          <w:u w:val="single"/>
        </w:rPr>
        <w:t>Section 6</w:t>
      </w:r>
      <w:r>
        <w:rPr>
          <w:rFonts w:ascii="Times New Roman" w:hAnsi="Times New Roman"/>
          <w:color w:val="000000"/>
          <w:sz w:val="20"/>
        </w:rPr>
        <w:t xml:space="preserve"> hereof.</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Except as expressly stated in this </w:t>
      </w:r>
      <w:r>
        <w:rPr>
          <w:rFonts w:ascii="Times New Roman" w:hAnsi="Times New Roman"/>
          <w:color w:val="000000"/>
          <w:sz w:val="20"/>
          <w:u w:val="single"/>
        </w:rPr>
        <w:t>Section 8</w:t>
      </w:r>
      <w:r>
        <w:rPr>
          <w:rFonts w:ascii="Times New Roman" w:hAnsi="Times New Roman"/>
          <w:color w:val="000000"/>
          <w:sz w:val="20"/>
        </w:rPr>
        <w:t>, the Series E Preferred Stock will not have any relative, participating, optional or other special voting rights or powers and the consent of the holders thereof shall not be required for the taking of any corporate action. The holders of Series E Preferred Stock shall have exclusive voting rights on any Charter amendment that would alter the contract rights, as expressly set forth in the Charter, of only the Series E Preferred Stock.</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Notwithstanding the foregoing, holders of any series of Preferred Stock ranking on parity with the Series E Preferred Stock with respect to rights to the payment of dividends and the distribution of assets upon liquidation, dissolution or winding up of the Corporation shall not be entitled to vote together as a class with the holders of Series E Preferred Stock on any amendment, alteration or repeal of any provision of the Charter unless such action affects the holders of Series E Preferred Stock and such other series of Preferred Stock equally.</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9.          </w:t>
      </w:r>
      <w:r>
        <w:rPr>
          <w:rFonts w:ascii="Times New Roman" w:hAnsi="Times New Roman"/>
          <w:color w:val="000000"/>
          <w:sz w:val="20"/>
          <w:u w:val="single"/>
        </w:rPr>
        <w:t>Information Rights</w:t>
      </w:r>
      <w:r>
        <w:rPr>
          <w:rFonts w:ascii="Times New Roman" w:hAnsi="Times New Roman"/>
          <w:color w:val="000000"/>
          <w:sz w:val="20"/>
        </w:rPr>
        <w:t>. During any period in which the Corporation is not subject to Section 13 or 15(d) of the Exchange Act and any shares of Series E Preferred Stock are outstanding, the Corporation will use its best efforts to (i) transmit by mail (or other permissible means under the Exchange Act) to all holders of Series E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 w:hAnsi="Times New Roman"/>
          <w:color w:val="000000"/>
          <w:sz w:val="20"/>
          <w:u w:val="single"/>
        </w:rPr>
        <w:t>SEC</w:t>
      </w:r>
      <w:r>
        <w:rPr>
          <w:rFonts w:ascii="Times New Roman" w:hAnsi="Times New Roman"/>
          <w:color w:val="000000"/>
          <w:sz w:val="20"/>
        </w:rPr>
        <w:t>”) pursuant to Section 13 or 15(d) of the Exchange Act if it were subject thereto (other than any exhibits that would have been required); and (ii) promptly, upon request, supply copies of such reports to any holders or prospective holder of Series E Preferred Stock. The Corporation will use its best efforts to mail (or otherwise provide) such reports to the holders of Series E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180" w:after="18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Restrictions on Transfer and Ownership</w:t>
      </w:r>
      <w:r>
        <w:rPr>
          <w:rFonts w:ascii="Times New Roman" w:hAnsi="Times New Roman"/>
          <w:color w:val="000000"/>
          <w:sz w:val="20"/>
        </w:rPr>
        <w:t>. The Series E Preferred Stock shall be subject to the restrictions on transfer and ownership set forth in Article VII of the Charter.</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Record Holders</w:t>
      </w:r>
      <w:r>
        <w:rPr>
          <w:rFonts w:ascii="Times New Roman" w:hAnsi="Times New Roman"/>
          <w:color w:val="000000"/>
          <w:sz w:val="20"/>
        </w:rPr>
        <w:t>. The Corporation and the transfer agent for the Series E Preferred Stock may deem and treat the record holder of any Series E Preferred Stock as the true and lawful owner thereof for all purposes, and neither the Corporation nor the transfer agent shall be affected by any notice to the contrary.</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No Preemptive Rights</w:t>
      </w:r>
      <w:r>
        <w:rPr>
          <w:rFonts w:ascii="Times New Roman" w:hAnsi="Times New Roman"/>
          <w:color w:val="000000"/>
          <w:sz w:val="20"/>
        </w:rPr>
        <w:t>. No holders of Series E Preferred Stock will, as holders of Series E Preferred Stock, have any preemptive rights to purchase or subscribe for Common Stock or any other security of the Corporation.</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u w:val="single"/>
        </w:rPr>
        <w:t>SECOND</w:t>
      </w:r>
      <w:r>
        <w:rPr>
          <w:rFonts w:ascii="Times New Roman" w:hAnsi="Times New Roman"/>
          <w:color w:val="000000"/>
          <w:sz w:val="20"/>
        </w:rPr>
        <w:t>: The Series E Preferred Stock has been classified and designated by the Board under the authority contained in the Charter. These Articles Supplementary have been approved by the Board in the manner and vote required by law.</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u w:val="single"/>
        </w:rPr>
        <w:t>THIRD</w:t>
      </w:r>
      <w:r>
        <w:rPr>
          <w:rFonts w:ascii="Times New Roman" w:hAnsi="Times New Roman"/>
          <w:color w:val="000000"/>
          <w:sz w:val="20"/>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before="0" w:after="0"/>
        <w:jc w:val="left"/>
        <w:rPr>
          <w:sz w:val="20"/>
        </w:rPr>
      </w:pPr>
      <w:r>
        <w:rPr>
          <w:sz w:val="20"/>
        </w:rPr>
      </w:r>
    </w:p>
    <w:p>
      <w:pPr>
        <w:pStyle w:val="TextBody"/>
        <w:bidi w:val="0"/>
        <w:spacing w:before="0" w:after="0"/>
        <w:ind w:left="0" w:right="0" w:firstLine="72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0" w:after="0"/>
        <w:jc w:val="left"/>
        <w:rPr>
          <w:sz w:val="20"/>
        </w:rPr>
      </w:pPr>
      <w:r>
        <w:rPr>
          <w:sz w:val="20"/>
        </w:rPr>
      </w:r>
    </w:p>
    <w:p>
      <w:pPr>
        <w:pStyle w:val="TextBody"/>
        <w:bidi w:val="0"/>
        <w:spacing w:before="180" w:after="18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180" w:after="18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Corporation has caused these Articles Supplementary to be signed in its name and on its behalf by its Chief Financial Officer and attested to by its Secretary on this ________ of _______, 2026.</w:t>
      </w:r>
    </w:p>
    <w:p>
      <w:pPr>
        <w:pStyle w:val="TextBody"/>
        <w:bidi w:val="0"/>
        <w:spacing w:before="0" w:after="0"/>
        <w:ind w:left="0" w:right="0" w:firstLine="720"/>
        <w:jc w:val="left"/>
        <w:rPr>
          <w:sz w:val="20"/>
        </w:rPr>
      </w:pPr>
      <w:r>
        <w:rPr>
          <w:sz w:val="20"/>
        </w:rPr>
      </w:r>
    </w:p>
    <w:p>
      <w:pPr>
        <w:pStyle w:val="Normal"/>
        <w:bidi w:val="0"/>
        <w:spacing w:before="0" w:after="0"/>
        <w:jc w:val="left"/>
        <w:rPr>
          <w:sz w:val="4"/>
          <w:szCs w:val="4"/>
        </w:rPr>
      </w:pPr>
      <w:r>
        <w:rPr>
          <w:sz w:val="4"/>
          <w:szCs w:val="4"/>
        </w:rPr>
      </w:r>
      <w:bookmarkStart w:id="21" w:name="zd57762166c434fe49a3dc350423d43f4"/>
      <w:bookmarkStart w:id="22" w:name="zd57762166c434fe49a3dc350423d43f4"/>
      <w:bookmarkEnd w:id="22"/>
    </w:p>
    <w:tbl>
      <w:tblPr>
        <w:tblW w:w="5827" w:type="dxa"/>
        <w:jc w:val="left"/>
        <w:tblInd w:w="0" w:type="dxa"/>
        <w:tblLayout w:type="fixed"/>
        <w:tblCellMar>
          <w:top w:w="0" w:type="dxa"/>
          <w:left w:w="0" w:type="dxa"/>
          <w:bottom w:w="0" w:type="dxa"/>
          <w:right w:w="0" w:type="dxa"/>
        </w:tblCellMar>
      </w:tblPr>
      <w:tblGrid>
        <w:gridCol w:w="528"/>
        <w:gridCol w:w="1381"/>
        <w:gridCol w:w="3330"/>
        <w:gridCol w:w="291"/>
        <w:gridCol w:w="297"/>
      </w:tblGrid>
      <w:tr>
        <w:trPr/>
        <w:tc>
          <w:tcPr>
            <w:tcW w:w="1909" w:type="dxa"/>
            <w:gridSpan w:val="2"/>
            <w:tcBorders/>
            <w:vAlign w:val="center"/>
          </w:tcPr>
          <w:p>
            <w:pPr>
              <w:pStyle w:val="TableContents"/>
              <w:bidi w:val="0"/>
              <w:spacing w:before="0" w:after="0"/>
              <w:jc w:val="left"/>
              <w:rPr>
                <w:sz w:val="20"/>
              </w:rPr>
            </w:pPr>
            <w:r>
              <w:rPr>
                <w:sz w:val="20"/>
              </w:rPr>
              <w:t>ATTEST:</w:t>
            </w:r>
          </w:p>
        </w:tc>
        <w:tc>
          <w:tcPr>
            <w:tcW w:w="3918" w:type="dxa"/>
            <w:gridSpan w:val="3"/>
            <w:tcBorders/>
            <w:vAlign w:val="center"/>
          </w:tcPr>
          <w:p>
            <w:pPr>
              <w:pStyle w:val="TableContents"/>
              <w:bidi w:val="0"/>
              <w:spacing w:before="0" w:after="0"/>
              <w:jc w:val="left"/>
              <w:rPr>
                <w:sz w:val="20"/>
              </w:rPr>
            </w:pPr>
            <w:r>
              <w:rPr>
                <w:sz w:val="20"/>
              </w:rPr>
              <w:t>TPG MORTGAGE INVESTMENT TRUST, INC.</w:t>
            </w:r>
          </w:p>
        </w:tc>
      </w:tr>
      <w:tr>
        <w:trPr/>
        <w:tc>
          <w:tcPr>
            <w:tcW w:w="1909" w:type="dxa"/>
            <w:gridSpan w:val="2"/>
            <w:tcBorders/>
            <w:vAlign w:val="center"/>
          </w:tcPr>
          <w:p>
            <w:pPr>
              <w:pStyle w:val="TableContents"/>
              <w:bidi w:val="0"/>
              <w:spacing w:before="0" w:after="283"/>
              <w:jc w:val="left"/>
              <w:rPr/>
            </w:pPr>
            <w:r>
              <w:rPr/>
            </w:r>
          </w:p>
        </w:tc>
        <w:tc>
          <w:tcPr>
            <w:tcW w:w="3918" w:type="dxa"/>
            <w:gridSpan w:val="3"/>
            <w:tcBorders/>
            <w:vAlign w:val="center"/>
          </w:tcPr>
          <w:p>
            <w:pPr>
              <w:pStyle w:val="TableContents"/>
              <w:bidi w:val="0"/>
              <w:spacing w:before="0" w:after="283"/>
              <w:jc w:val="left"/>
              <w:rPr/>
            </w:pPr>
            <w:r>
              <w:rPr/>
            </w:r>
          </w:p>
        </w:tc>
      </w:tr>
      <w:tr>
        <w:trPr/>
        <w:tc>
          <w:tcPr>
            <w:tcW w:w="528" w:type="dxa"/>
            <w:tcBorders>
              <w:bottom w:val="single" w:sz="12" w:space="0" w:color="000000"/>
            </w:tcBorders>
            <w:tcMar>
              <w:bottom w:w="28" w:type="dxa"/>
            </w:tcMar>
            <w:vAlign w:val="center"/>
          </w:tcPr>
          <w:p>
            <w:pPr>
              <w:pStyle w:val="TableContents"/>
              <w:bidi w:val="0"/>
              <w:spacing w:before="0" w:after="283"/>
              <w:jc w:val="left"/>
              <w:rPr/>
            </w:pPr>
            <w:r>
              <w:rPr/>
            </w:r>
          </w:p>
        </w:tc>
        <w:tc>
          <w:tcPr>
            <w:tcW w:w="1381" w:type="dxa"/>
            <w:tcBorders/>
            <w:vAlign w:val="center"/>
          </w:tcPr>
          <w:p>
            <w:pPr>
              <w:pStyle w:val="TableContents"/>
              <w:bidi w:val="0"/>
              <w:spacing w:before="0" w:after="283"/>
              <w:jc w:val="left"/>
              <w:rPr/>
            </w:pPr>
            <w:r>
              <w:rPr/>
              <w:t> </w:t>
            </w:r>
          </w:p>
        </w:tc>
        <w:tc>
          <w:tcPr>
            <w:tcW w:w="3330" w:type="dxa"/>
            <w:tcBorders/>
            <w:vAlign w:val="center"/>
          </w:tcPr>
          <w:p>
            <w:pPr>
              <w:pStyle w:val="TableContents"/>
              <w:bidi w:val="0"/>
              <w:spacing w:before="0" w:after="0"/>
              <w:jc w:val="left"/>
              <w:rPr>
                <w:sz w:val="20"/>
              </w:rPr>
            </w:pPr>
            <w:r>
              <w:rPr>
                <w:sz w:val="20"/>
              </w:rPr>
              <w:t>By:</w:t>
            </w:r>
          </w:p>
        </w:tc>
        <w:tc>
          <w:tcPr>
            <w:tcW w:w="291" w:type="dxa"/>
            <w:tcBorders>
              <w:bottom w:val="single" w:sz="12" w:space="0" w:color="000000"/>
            </w:tcBorders>
            <w:tcMar>
              <w:bottom w:w="28" w:type="dxa"/>
            </w:tcMar>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r>
          </w:p>
        </w:tc>
      </w:tr>
      <w:tr>
        <w:trPr/>
        <w:tc>
          <w:tcPr>
            <w:tcW w:w="1909" w:type="dxa"/>
            <w:gridSpan w:val="2"/>
            <w:tcBorders/>
            <w:vAlign w:val="center"/>
          </w:tcPr>
          <w:p>
            <w:pPr>
              <w:pStyle w:val="TableContents"/>
              <w:bidi w:val="0"/>
              <w:spacing w:before="0" w:after="0"/>
              <w:jc w:val="left"/>
              <w:rPr>
                <w:sz w:val="20"/>
              </w:rPr>
            </w:pPr>
            <w:r>
              <w:rPr>
                <w:sz w:val="20"/>
              </w:rPr>
              <w:t>Name:  Jenny B. Neslin</w:t>
            </w:r>
          </w:p>
        </w:tc>
        <w:tc>
          <w:tcPr>
            <w:tcW w:w="3918" w:type="dxa"/>
            <w:gridSpan w:val="3"/>
            <w:tcBorders/>
            <w:vAlign w:val="center"/>
          </w:tcPr>
          <w:p>
            <w:pPr>
              <w:pStyle w:val="TableContents"/>
              <w:bidi w:val="0"/>
              <w:spacing w:before="0" w:after="0"/>
              <w:jc w:val="left"/>
              <w:rPr>
                <w:sz w:val="20"/>
              </w:rPr>
            </w:pPr>
            <w:r>
              <w:rPr>
                <w:sz w:val="20"/>
              </w:rPr>
              <w:t>Name:  Anthony Rossiello</w:t>
            </w:r>
          </w:p>
        </w:tc>
      </w:tr>
      <w:tr>
        <w:trPr/>
        <w:tc>
          <w:tcPr>
            <w:tcW w:w="1909" w:type="dxa"/>
            <w:gridSpan w:val="2"/>
            <w:tcBorders/>
            <w:vAlign w:val="center"/>
          </w:tcPr>
          <w:p>
            <w:pPr>
              <w:pStyle w:val="TableContents"/>
              <w:bidi w:val="0"/>
              <w:spacing w:before="0" w:after="0"/>
              <w:jc w:val="left"/>
              <w:rPr>
                <w:sz w:val="20"/>
              </w:rPr>
            </w:pPr>
            <w:r>
              <w:rPr>
                <w:sz w:val="20"/>
              </w:rPr>
              <w:t>Title:  Secretary</w:t>
            </w:r>
          </w:p>
        </w:tc>
        <w:tc>
          <w:tcPr>
            <w:tcW w:w="3918" w:type="dxa"/>
            <w:gridSpan w:val="3"/>
            <w:tcBorders/>
            <w:vAlign w:val="center"/>
          </w:tcPr>
          <w:p>
            <w:pPr>
              <w:pStyle w:val="TableContents"/>
              <w:bidi w:val="0"/>
              <w:spacing w:before="0" w:after="0"/>
              <w:jc w:val="left"/>
              <w:rPr>
                <w:sz w:val="20"/>
              </w:rPr>
            </w:pPr>
            <w:r>
              <w:rPr>
                <w:sz w:val="20"/>
              </w:rPr>
              <w:t>Title: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19</w:t>
      </w:r>
      <w:r>
        <w:rPr>
          <w:rFonts w:ascii="Times New Roman" w:hAnsi="Times New Roman"/>
          <w:color w:val="000000"/>
          <w:sz w:val="20"/>
        </w:rPr>
        <w:t xml:space="preserve">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Mayer Brown LLP Opinion to Parent</w:t>
      </w:r>
    </w:p>
    <w:p>
      <w:pPr>
        <w:pStyle w:val="TextBody"/>
        <w:bidi w:val="0"/>
        <w:spacing w:before="0" w:after="0"/>
        <w:jc w:val="left"/>
        <w:rPr/>
      </w:pPr>
      <w:r>
        <w:rPr/>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[INTENTIONALLY OMITTED]</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Hunton Andrews Kurth LLP Opinion to Parent</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[INTENTIONALLY OMITTED]</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Hunton Andrews Kurth LLP Opinion to the Company</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[INTENTIONALLY OMITTED]</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ANNEX F</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Mayer Brown LLP Opinion to the Company</w:t>
      </w:r>
    </w:p>
    <w:p>
      <w:pPr>
        <w:pStyle w:val="TextBody"/>
        <w:bidi w:val="0"/>
        <w:spacing w:before="0" w:after="0"/>
        <w:jc w:val="left"/>
        <w:rPr/>
      </w:pPr>
      <w:r>
        <w:rPr/>
      </w:r>
    </w:p>
    <w:p>
      <w:pPr>
        <w:pStyle w:val="TextBody"/>
        <w:bidi w:val="0"/>
        <w:spacing w:before="0" w:after="0"/>
        <w:jc w:val="center"/>
        <w:rPr>
          <w:rFonts w:ascii="Times New Roman" w:hAnsi="Times New Roman"/>
          <w:b w:val="false"/>
          <w:color w:val="000000"/>
          <w:sz w:val="20"/>
        </w:rPr>
      </w:pPr>
      <w:r>
        <w:rPr>
          <w:rFonts w:ascii="Times New Roman" w:hAnsi="Times New Roman"/>
          <w:b w:val="false"/>
          <w:color w:val="000000"/>
          <w:sz w:val="20"/>
        </w:rPr>
        <w:t>[INTENTIONALLY OMITTED]</w:t>
      </w:r>
    </w:p>
    <w:p>
      <w:pPr>
        <w:pStyle w:val="TextBody"/>
        <w:bidi w:val="0"/>
        <w:spacing w:before="0" w:after="0"/>
        <w:jc w:val="center"/>
        <w:rPr/>
      </w:pPr>
      <w:r>
        <w:rPr/>
      </w:r>
    </w:p>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0"/>
        <w:jc w:val="center"/>
        <w:rPr>
          <w:b/>
        </w:rPr>
      </w:pPr>
      <w:r>
        <w:rPr>
          <w:b/>
        </w:rPr>
      </w:r>
    </w:p>
    <w:p>
      <w:pPr>
        <w:pStyle w:val="TextBody"/>
        <w:bidi w:val="0"/>
        <w:spacing w:before="0" w:after="0"/>
        <w:jc w:val="center"/>
        <w:rPr>
          <w:b/>
        </w:rPr>
      </w:pPr>
      <w:r>
        <w:rPr>
          <w:b/>
        </w:rPr>
      </w:r>
    </w:p>
    <w:p>
      <w:pPr>
        <w:pStyle w:val="TextBody"/>
        <w:bidi w:val="0"/>
        <w:spacing w:before="0" w:after="0"/>
        <w:jc w:val="center"/>
        <w:rPr>
          <w:b/>
        </w:rPr>
      </w:pPr>
      <w:r>
        <w:rPr>
          <w:b/>
        </w:rPr>
      </w:r>
    </w:p>
    <w:p>
      <w:pPr>
        <w:pStyle w:val="TextBody"/>
        <w:bidi w:val="0"/>
        <w:spacing w:before="0" w:after="0"/>
        <w:jc w:val="center"/>
        <w:rPr>
          <w:b/>
        </w:rPr>
      </w:pPr>
      <w:r>
        <w:rPr>
          <w:b/>
        </w:rPr>
      </w:r>
    </w:p>
    <w:p>
      <w:pPr>
        <w:pStyle w:val="TextBody"/>
        <w:bidi w:val="0"/>
        <w:spacing w:before="0" w:after="0"/>
        <w:jc w:val="center"/>
        <w:rPr>
          <w:b/>
        </w:rPr>
      </w:pPr>
      <w:r>
        <w:rPr>
          <w:b/>
        </w:rPr>
      </w:r>
    </w:p>
    <w:p>
      <w:pPr>
        <w:pStyle w:val="TextBody"/>
        <w:bidi w:val="0"/>
        <w:jc w:val="center"/>
        <w:rPr>
          <w:color w:val="000000"/>
        </w:rPr>
      </w:pPr>
      <w:r>
        <w:rPr>
          <w:color w:val="000000"/>
        </w:rPr>
        <w:t> </w:t>
      </w:r>
    </w:p>
    <w:p>
      <w:pPr>
        <w:pStyle w:val="HorizontalLine"/>
        <w:pBdr>
          <w:bottom w:val="single" w:sz="12" w:space="0" w:color="808080"/>
        </w:pBdr>
        <w:bidi w:val="0"/>
        <w:jc w:val="right"/>
        <w:rPr/>
      </w:pPr>
      <w:r>
        <w:rPr/>
      </w:r>
      <w:bookmarkStart w:id="23" w:name="ef20079827_ex10-1.htm"/>
      <w:bookmarkStart w:id="24" w:name="ksef20079827_ex101"/>
      <w:bookmarkStart w:id="25" w:name="ef20079827_ex10-1.htm"/>
      <w:bookmarkStart w:id="26" w:name="ksef20079827_ex101"/>
      <w:bookmarkEnd w:id="25"/>
      <w:bookmarkEnd w:id="2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EXECUTION VERSION</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VOTING AND SUPPORT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VOTING AND SUPPORT AGREEMENT (this “</w:t>
      </w:r>
      <w:r>
        <w:rPr>
          <w:rFonts w:ascii="Times New Roman" w:hAnsi="Times New Roman"/>
          <w:color w:val="000000"/>
          <w:sz w:val="20"/>
          <w:u w:val="single"/>
        </w:rPr>
        <w:t>Agreement</w:t>
      </w:r>
      <w:r>
        <w:rPr>
          <w:rFonts w:ascii="Times New Roman" w:hAnsi="Times New Roman"/>
          <w:color w:val="000000"/>
          <w:sz w:val="20"/>
        </w:rPr>
        <w:t>”) is made as of August 9, 2026 by and between Cherry Hill Mortgage Investment Corporation, a Maryland corporation (the “</w:t>
      </w:r>
      <w:r>
        <w:rPr>
          <w:rFonts w:ascii="Times New Roman" w:hAnsi="Times New Roman"/>
          <w:color w:val="000000"/>
          <w:sz w:val="20"/>
          <w:u w:val="single"/>
        </w:rPr>
        <w:t>Company</w:t>
      </w:r>
      <w:r>
        <w:rPr>
          <w:rFonts w:ascii="Times New Roman" w:hAnsi="Times New Roman"/>
          <w:color w:val="000000"/>
          <w:sz w:val="20"/>
        </w:rPr>
        <w:t>”), and AG MIT, LLC, a Delaware limited liability company (the “</w:t>
      </w:r>
      <w:r>
        <w:rPr>
          <w:rFonts w:ascii="Times New Roman" w:hAnsi="Times New Roman"/>
          <w:color w:val="000000"/>
          <w:sz w:val="20"/>
          <w:u w:val="single"/>
        </w:rPr>
        <w:t>Voting Party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execution and delivery of this Agreement, the Company, TPG Mortgage Investment Trust, Inc., a Maryland corporation (“</w:t>
      </w:r>
      <w:r>
        <w:rPr>
          <w:rFonts w:ascii="Times New Roman" w:hAnsi="Times New Roman"/>
          <w:color w:val="000000"/>
          <w:sz w:val="20"/>
          <w:u w:val="single"/>
        </w:rPr>
        <w:t>Parent</w:t>
      </w:r>
      <w:r>
        <w:rPr>
          <w:rFonts w:ascii="Times New Roman" w:hAnsi="Times New Roman"/>
          <w:color w:val="000000"/>
          <w:sz w:val="20"/>
        </w:rPr>
        <w:t>”), MIT Merger Sub II, LLC, a Delaware limited liability company and a Subsidiary of Parent (“</w:t>
      </w:r>
      <w:r>
        <w:rPr>
          <w:rFonts w:ascii="Times New Roman" w:hAnsi="Times New Roman"/>
          <w:color w:val="000000"/>
          <w:sz w:val="20"/>
          <w:u w:val="single"/>
        </w:rPr>
        <w:t>Merger Sub</w:t>
      </w:r>
      <w:r>
        <w:rPr>
          <w:rFonts w:ascii="Times New Roman" w:hAnsi="Times New Roman"/>
          <w:color w:val="000000"/>
          <w:sz w:val="20"/>
        </w:rPr>
        <w:t>”), and Cherry Hill Operating Partnership, LP, a Delaware limited partnership (the “</w:t>
      </w:r>
      <w:r>
        <w:rPr>
          <w:rFonts w:ascii="Times New Roman" w:hAnsi="Times New Roman"/>
          <w:color w:val="000000"/>
          <w:sz w:val="20"/>
          <w:u w:val="single"/>
        </w:rPr>
        <w:t>Company Operating Partnership</w:t>
      </w:r>
      <w:r>
        <w:rPr>
          <w:rFonts w:ascii="Times New Roman" w:hAnsi="Times New Roman"/>
          <w:color w:val="000000"/>
          <w:sz w:val="20"/>
        </w:rPr>
        <w:t>”), and, solely for purposes described therein, AG REIT Management, LLC, a Delaware limited liability company, have entered into an Agreement and Plan of Merger (as amended, restated, supplemented or otherwise modified from time to time in accordance with its terms, the “</w:t>
      </w:r>
      <w:r>
        <w:rPr>
          <w:rFonts w:ascii="Times New Roman" w:hAnsi="Times New Roman"/>
          <w:color w:val="000000"/>
          <w:sz w:val="20"/>
          <w:u w:val="single"/>
        </w:rPr>
        <w:t>Merger Agreement</w:t>
      </w:r>
      <w:r>
        <w:rPr>
          <w:rFonts w:ascii="Times New Roman" w:hAnsi="Times New Roman"/>
          <w:color w:val="000000"/>
          <w:sz w:val="20"/>
        </w:rPr>
        <w:t>”), pursuant to which, among other things, the Company, the Company Operating Partnership, Parent and Merger Sub will effect a business combination through (a) a merger of the Company Operating Partnership with and into the Company, with the Company being the surviving entity in such merger (the “</w:t>
      </w:r>
      <w:r>
        <w:rPr>
          <w:rFonts w:ascii="Times New Roman" w:hAnsi="Times New Roman"/>
          <w:color w:val="000000"/>
          <w:sz w:val="20"/>
          <w:u w:val="single"/>
        </w:rPr>
        <w:t>Partnership Merger</w:t>
      </w:r>
      <w:r>
        <w:rPr>
          <w:rFonts w:ascii="Times New Roman" w:hAnsi="Times New Roman"/>
          <w:color w:val="000000"/>
          <w:sz w:val="20"/>
        </w:rPr>
        <w:t>”), and then (b) a merger of the Company with and into Merger Sub, with Merger Sub being the surviving entity in such merger (the “</w:t>
      </w:r>
      <w:r>
        <w:rPr>
          <w:rFonts w:ascii="Times New Roman" w:hAnsi="Times New Roman"/>
          <w:color w:val="000000"/>
          <w:sz w:val="20"/>
          <w:u w:val="single"/>
        </w:rPr>
        <w:t>Company Merger</w:t>
      </w:r>
      <w:r>
        <w:rPr>
          <w:rFonts w:ascii="Times New Roman" w:hAnsi="Times New Roman"/>
          <w:color w:val="000000"/>
          <w:sz w:val="20"/>
        </w:rPr>
        <w:t>” and together with the Partnership Merger, the “</w:t>
      </w:r>
      <w:r>
        <w:rPr>
          <w:rFonts w:ascii="Times New Roman" w:hAnsi="Times New Roman"/>
          <w:color w:val="000000"/>
          <w:sz w:val="20"/>
          <w:u w:val="single"/>
        </w:rPr>
        <w:t>Mergers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of the date hereof, the Voting Party is the Beneficial Owner of Shares of Company Common Stock;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a condition to the willingness of the Company to enter into the Merger Agreement and as an inducement and in consideration therefor, the Company has required that the Voting Party execute and deliver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premises and for other good and valuable consideration, the receipt, sufficiency and adequacy of which are hereby acknowledged, the parties hereto agree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Definitions</w:t>
      </w:r>
      <w:r>
        <w:rPr>
          <w:rFonts w:ascii="Times New Roman" w:hAnsi="Times New Roman"/>
          <w:color w:val="000000"/>
          <w:sz w:val="20"/>
        </w:rPr>
        <w:t>. Capitalized terms used but not defined herein shall have the meanings given to them in the Merger Agreement. As used herein, “</w:t>
      </w:r>
      <w:r>
        <w:rPr>
          <w:rFonts w:ascii="Times New Roman" w:hAnsi="Times New Roman"/>
          <w:color w:val="000000"/>
          <w:sz w:val="20"/>
          <w:u w:val="single"/>
        </w:rPr>
        <w:t>Shares</w:t>
      </w:r>
      <w:r>
        <w:rPr>
          <w:rFonts w:ascii="Times New Roman" w:hAnsi="Times New Roman"/>
          <w:color w:val="000000"/>
          <w:sz w:val="20"/>
        </w:rPr>
        <w:t>” means shares of Company Common Stock. “</w:t>
      </w:r>
      <w:r>
        <w:rPr>
          <w:rFonts w:ascii="Times New Roman" w:hAnsi="Times New Roman"/>
          <w:color w:val="000000"/>
          <w:sz w:val="20"/>
          <w:u w:val="single"/>
        </w:rPr>
        <w:t>Voting Shares</w:t>
      </w:r>
      <w:r>
        <w:rPr>
          <w:rFonts w:ascii="Times New Roman" w:hAnsi="Times New Roman"/>
          <w:color w:val="000000"/>
          <w:sz w:val="20"/>
        </w:rPr>
        <w:t>” means all Shares Beneficially Owned by the Voting Party and any and all Shares acquired or Beneficially Owned by the Voting Party after the date hereof. “</w:t>
      </w:r>
      <w:r>
        <w:rPr>
          <w:rFonts w:ascii="Times New Roman" w:hAnsi="Times New Roman"/>
          <w:color w:val="000000"/>
          <w:sz w:val="20"/>
          <w:u w:val="single"/>
        </w:rPr>
        <w:t>Beneficially Own</w:t>
      </w:r>
      <w:r>
        <w:rPr>
          <w:rFonts w:ascii="Times New Roman" w:hAnsi="Times New Roman"/>
          <w:color w:val="000000"/>
          <w:sz w:val="20"/>
        </w:rPr>
        <w:t>,” “</w:t>
      </w:r>
      <w:r>
        <w:rPr>
          <w:rFonts w:ascii="Times New Roman" w:hAnsi="Times New Roman"/>
          <w:color w:val="000000"/>
          <w:sz w:val="20"/>
          <w:u w:val="single"/>
        </w:rPr>
        <w:t>Beneficially Owned</w:t>
      </w:r>
      <w:r>
        <w:rPr>
          <w:rFonts w:ascii="Times New Roman" w:hAnsi="Times New Roman"/>
          <w:color w:val="000000"/>
          <w:sz w:val="20"/>
        </w:rPr>
        <w:t>” and “</w:t>
      </w:r>
      <w:r>
        <w:rPr>
          <w:rFonts w:ascii="Times New Roman" w:hAnsi="Times New Roman"/>
          <w:color w:val="000000"/>
          <w:sz w:val="20"/>
          <w:u w:val="single"/>
        </w:rPr>
        <w:t>Beneficial Ownership</w:t>
      </w:r>
      <w:r>
        <w:rPr>
          <w:rFonts w:ascii="Times New Roman" w:hAnsi="Times New Roman"/>
          <w:color w:val="000000"/>
          <w:sz w:val="20"/>
        </w:rPr>
        <w:t>” have the meaning set forth in Rule 13d-3 under the Exchange Act. “</w:t>
      </w:r>
      <w:r>
        <w:rPr>
          <w:rFonts w:ascii="Times New Roman" w:hAnsi="Times New Roman"/>
          <w:color w:val="000000"/>
          <w:sz w:val="20"/>
          <w:u w:val="single"/>
        </w:rPr>
        <w:t>Controlled Affiliate</w:t>
      </w:r>
      <w:r>
        <w:rPr>
          <w:rFonts w:ascii="Times New Roman" w:hAnsi="Times New Roman"/>
          <w:color w:val="000000"/>
          <w:sz w:val="20"/>
        </w:rPr>
        <w:t>” means any Person controlled by the Voting Party and “</w:t>
      </w:r>
      <w:r>
        <w:rPr>
          <w:rFonts w:ascii="Times New Roman" w:hAnsi="Times New Roman"/>
          <w:color w:val="000000"/>
          <w:sz w:val="20"/>
          <w:u w:val="single"/>
        </w:rPr>
        <w:t>control</w:t>
      </w:r>
      <w:r>
        <w:rPr>
          <w:rFonts w:ascii="Times New Roman" w:hAnsi="Times New Roman"/>
          <w:color w:val="000000"/>
          <w:sz w:val="20"/>
        </w:rPr>
        <w:t>”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color w:val="000000"/>
          <w:sz w:val="20"/>
          <w:u w:val="single"/>
        </w:rPr>
        <w:t>Permitted Liens</w:t>
      </w:r>
      <w:r>
        <w:rPr>
          <w:rFonts w:ascii="Times New Roman" w:hAnsi="Times New Roman"/>
          <w:color w:val="000000"/>
          <w:sz w:val="20"/>
        </w:rPr>
        <w:t>” means (a) Liens created by this Agreement, (b) Liens imposed by applicable securities Laws and (c) pledges or other Liens that do not impair or restrict the Voting Party’s ability to vote or cause to be voted any Voting Shares in accordance with this Agreement. “</w:t>
      </w:r>
      <w:r>
        <w:rPr>
          <w:rFonts w:ascii="Times New Roman" w:hAnsi="Times New Roman"/>
          <w:color w:val="000000"/>
          <w:sz w:val="20"/>
          <w:u w:val="single"/>
        </w:rPr>
        <w:t>Transfer</w:t>
      </w:r>
      <w:r>
        <w:rPr>
          <w:rFonts w:ascii="Times New Roman" w:hAnsi="Times New Roman"/>
          <w:color w:val="000000"/>
          <w:sz w:val="20"/>
        </w:rPr>
        <w:t>” means, directly or indirectly, to sell, offer, exchange, assign, pledge, encumber, hypothecate, dispose of or otherwise transfer, whether by operation of Law or otherwise.</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Representations and Warranties of the Voting Party</w:t>
      </w:r>
      <w:r>
        <w:rPr>
          <w:rFonts w:ascii="Times New Roman" w:hAnsi="Times New Roman"/>
          <w:color w:val="000000"/>
          <w:sz w:val="20"/>
        </w:rPr>
        <w:t>. The Voting Party hereby represents and warrants to the Company as follows: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Authority</w:t>
      </w:r>
      <w:r>
        <w:rPr>
          <w:rFonts w:ascii="Times New Roman" w:hAnsi="Times New Roman"/>
          <w:color w:val="000000"/>
          <w:sz w:val="20"/>
        </w:rPr>
        <w:t>. The Voting Party is a limited liability company duly formed, validly existing and in good standing under the Laws of the State of Delaware. The Voting Party has all requisite organizational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Company, constitutes a legal, valid and binding obligation of the Voting Party enforceable against the Voting Party in accordance with its terms, subject to the Enforceability Exceptions.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No Consents</w:t>
      </w:r>
      <w:r>
        <w:rPr>
          <w:rFonts w:ascii="Times New Roman" w:hAnsi="Times New Roman"/>
          <w:color w:val="000000"/>
          <w:sz w:val="20"/>
        </w:rPr>
        <w:t>.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Voting Party of its obligations under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No Conflicts</w:t>
      </w:r>
      <w:r>
        <w:rPr>
          <w:rFonts w:ascii="Times New Roman" w:hAnsi="Times New Roman"/>
          <w:color w:val="000000"/>
          <w:sz w:val="20"/>
        </w:rPr>
        <w:t>. The execution, delivery and performance by the Voting Party of this Agreement do not and will not (i) conflict with or result in any violation or breach of any provision of the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Voting Party of its obligations under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Ownership of Shares</w:t>
      </w:r>
      <w:r>
        <w:rPr>
          <w:rFonts w:ascii="Times New Roman" w:hAnsi="Times New Roman"/>
          <w:color w:val="000000"/>
          <w:sz w:val="20"/>
        </w:rPr>
        <w:t>. The Voting Party (i) Beneficially Owns, as of the date hereof, 734,800 Voting Shares, free and clear of all Liens other than Permitted Liens, (ii) has the sole power to vote or cause to be voted such Voting Shares, (iii) has not entered into any voting trust, voting agreement, proxy or other agreement, arrangement or understanding with respect to the voting of such Voting Shares that is inconsistent with this Agreement and (iv) does not Beneficially Own any Shares other than the Shares described in the foregoing clause (i) or any options, warrants or other rights to acquire Shares.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No Litigation</w:t>
      </w:r>
      <w:r>
        <w:rPr>
          <w:rFonts w:ascii="Times New Roman" w:hAnsi="Times New Roman"/>
          <w:color w:val="000000"/>
          <w:sz w:val="20"/>
        </w:rPr>
        <w:t>. As of the date hereof, there is no Litigation pending against, or, to the knowledge of the Voting Party, threatened against, the Voting Party or any of its Affiliates that would reasonably be expected to materially impair or materially adversely affect the Voting Party’s ability to perform its obligations hereunder.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Representations and Warranties of the Company</w:t>
      </w:r>
      <w:r>
        <w:rPr>
          <w:rFonts w:ascii="Times New Roman" w:hAnsi="Times New Roman"/>
          <w:color w:val="000000"/>
          <w:sz w:val="20"/>
        </w:rPr>
        <w:t>. The Company hereby represents and warrants to the Voting Party as follows: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Authority</w:t>
      </w:r>
      <w:r>
        <w:rPr>
          <w:rFonts w:ascii="Times New Roman" w:hAnsi="Times New Roman"/>
          <w:color w:val="000000"/>
          <w:sz w:val="20"/>
        </w:rPr>
        <w:t>. The Company is a corporation duly incorporated, validly existing and in good standing under the Laws of the State of Maryland. The Company has all requisite corporate power and authority and has taken all corporate action necessary, including approval by the Company Board, to execute, deliver and perform its obligations under this Agreement in accordance with the terms hereof. This Agreement has been duly executed and delivered by the Company and, assuming due authorization, execution and delivery hereof by the Voting Party, constitutes a legal, valid and binding agreement of the Company enforceable against the Company in accordance with its terms, subject to the Enforceability Exceptions.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No Consents</w:t>
      </w:r>
      <w:r>
        <w:rPr>
          <w:rFonts w:ascii="Times New Roman" w:hAnsi="Times New Roman"/>
          <w:color w:val="000000"/>
          <w:sz w:val="20"/>
        </w:rPr>
        <w:t>. No consent, approval, order or authorization of, or registration, declaration or filing with, any Governmental Authority or any other Person is required by or with respect to the Company in connection with the execution and delivery of this Agreement or the consummation by the Company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Company of its obligations under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No Conflicts</w:t>
      </w:r>
      <w:r>
        <w:rPr>
          <w:rFonts w:ascii="Times New Roman" w:hAnsi="Times New Roman"/>
          <w:color w:val="000000"/>
          <w:sz w:val="20"/>
        </w:rPr>
        <w:t>. The execution, delivery and performance by the Company of this Agreement do not and will not (i) conflict with or result in any violation or breach of any provision of the Organizational Documents of the Company,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is entitled, under any Contract binding upon the Company or to which any of its properties, rights or other assets are subject or (iv) result in the creation of a Lien, other than a Permitted Lien, on any properties or assets of the Company,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Company of its obligations under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Agreement to Vote Shares</w:t>
      </w:r>
      <w:r>
        <w:rPr>
          <w:rFonts w:ascii="Times New Roman" w:hAnsi="Times New Roman"/>
          <w:color w:val="000000"/>
          <w:sz w:val="20"/>
        </w:rPr>
        <w:t>. The Voting Party agrees during the term of this Agreement to vote all Voting Shares at every meeting of the stockholders of the Company at which the following matters are considered and at every adjournment, recess or postponement thereof, and in connection with any action proposed to be taken by written consent of the Company’s stockholders in favor of (a) (i) the approval of the Merger Agreement and the Company Merger and (ii) any proposal to adjourn, recess or postpone the Company Stockholders Meeting to solicit additional proxies if there are not sufficient votes to approve the matters referred to in clause (i); and (b) against any Company Takeover Proposal. Notwithstanding the foregoing, (A) if the Company Board has made a Company Change of Recommendation in compliance with Section 6.5 of the Merger Agreement, then the Voting Party shall not be required to vote or cause to be voted the Voting Shares in favor of the matters described in clauses (a) or (b) and (B) the Voting Party shall retain at all times the right to vote and the right 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No Voting Trust or Other Arrangement</w:t>
      </w:r>
      <w:r>
        <w:rPr>
          <w:rFonts w:ascii="Times New Roman" w:hAnsi="Times New Roman"/>
          <w:color w:val="000000"/>
          <w:sz w:val="20"/>
        </w:rPr>
        <w:t>. The Voting Party agrees that during the term of this Agreement the Voting Party will not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            </w:t>
      </w:r>
      <w:r>
        <w:rPr>
          <w:rFonts w:ascii="Times New Roman" w:hAnsi="Times New Roman"/>
          <w:color w:val="000000"/>
          <w:sz w:val="20"/>
          <w:u w:val="single"/>
        </w:rPr>
        <w:t>Transfer and Encumbrance</w:t>
      </w:r>
      <w:r>
        <w:rPr>
          <w:rFonts w:ascii="Times New Roman" w:hAnsi="Times New Roman"/>
          <w:color w:val="000000"/>
          <w:sz w:val="20"/>
        </w:rPr>
        <w:t xml:space="preserve">. The Voting Party agrees that during the term of this Agreement the Voting Party will not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Shares or any interest therein in violation of this </w:t>
      </w:r>
      <w:r>
        <w:rPr>
          <w:rFonts w:ascii="Times New Roman" w:hAnsi="Times New Roman"/>
          <w:color w:val="000000"/>
          <w:sz w:val="20"/>
          <w:u w:val="single"/>
        </w:rPr>
        <w:t>Section 6</w:t>
      </w:r>
      <w:r>
        <w:rPr>
          <w:rFonts w:ascii="Times New Roman" w:hAnsi="Times New Roman"/>
          <w:color w:val="000000"/>
          <w:sz w:val="20"/>
        </w:rPr>
        <w:t xml:space="preserve"> shall be null and void. “</w:t>
      </w:r>
      <w:r>
        <w:rPr>
          <w:rFonts w:ascii="Times New Roman" w:hAnsi="Times New Roman"/>
          <w:color w:val="000000"/>
          <w:sz w:val="20"/>
          <w:u w:val="single"/>
        </w:rPr>
        <w:t>Permitted Transfer</w:t>
      </w:r>
      <w:r>
        <w:rPr>
          <w:rFonts w:ascii="Times New Roman" w:hAnsi="Times New Roman"/>
          <w:color w:val="000000"/>
          <w:sz w:val="20"/>
        </w:rPr>
        <w:t xml:space="preserve">” means a Transfer by the Voting Party to a Controlled Affiliate; </w:t>
      </w:r>
      <w:r>
        <w:rPr>
          <w:rFonts w:ascii="Times New Roman" w:hAnsi="Times New Roman"/>
          <w:color w:val="000000"/>
          <w:sz w:val="20"/>
          <w:u w:val="single"/>
        </w:rPr>
        <w:t>provided</w:t>
      </w:r>
      <w:r>
        <w:rPr>
          <w:rFonts w:ascii="Times New Roman" w:hAnsi="Times New Roman"/>
          <w:color w:val="000000"/>
          <w:sz w:val="20"/>
        </w:rPr>
        <w:t>, that such Voting Shares subject to a Permitted Transfer shall remain subject to the covenants and restrictions contemplated herein during the term of this Agreement. No Permitted Transfer shall relieve the Voting Party of its obligations under this Agreement.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Termination</w:t>
      </w:r>
      <w:r>
        <w:rPr>
          <w:rFonts w:ascii="Times New Roman" w:hAnsi="Times New Roman"/>
          <w:color w:val="000000"/>
          <w:sz w:val="20"/>
        </w:rPr>
        <w:t xml:space="preserve">. This Agreement shall automatically terminate without further action upon the earlier to occur of (a) the Company Merger Effective Time and (b) the valid termination of the Merger Agreement in accordance with its terms. Upon termination of this Agreement, no party hereto shall have any further obligations or liabilities under this Agreement; </w:t>
      </w:r>
      <w:r>
        <w:rPr>
          <w:rFonts w:ascii="Times New Roman" w:hAnsi="Times New Roman"/>
          <w:color w:val="000000"/>
          <w:sz w:val="20"/>
          <w:u w:val="single"/>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7</w:t>
      </w:r>
      <w:r>
        <w:rPr>
          <w:rFonts w:ascii="Times New Roman" w:hAnsi="Times New Roman"/>
          <w:color w:val="000000"/>
          <w:sz w:val="20"/>
        </w:rPr>
        <w:t xml:space="preserve"> shall relieve any party of liability for any Willful Breach of this Agreement occurring prior to such termination. For purposes hereof, “</w:t>
      </w:r>
      <w:r>
        <w:rPr>
          <w:rFonts w:ascii="Times New Roman" w:hAnsi="Times New Roman"/>
          <w:color w:val="000000"/>
          <w:sz w:val="20"/>
          <w:u w:val="single"/>
        </w:rPr>
        <w:t>Willful Breach</w:t>
      </w:r>
      <w:r>
        <w:rPr>
          <w:rFonts w:ascii="Times New Roman" w:hAnsi="Times New Roman"/>
          <w:color w:val="000000"/>
          <w:sz w:val="20"/>
        </w:rPr>
        <w:t>” 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Specific Enforcement</w:t>
      </w:r>
      <w:r>
        <w:rPr>
          <w:rFonts w:ascii="Times New Roman" w:hAnsi="Times New Roman"/>
          <w:color w:val="000000"/>
          <w:sz w:val="20"/>
        </w:rPr>
        <w:t>.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Entire Agreement</w:t>
      </w:r>
      <w:r>
        <w:rPr>
          <w:rFonts w:ascii="Times New Roman" w:hAnsi="Times New Roman"/>
          <w:color w:val="000000"/>
          <w:sz w:val="20"/>
        </w:rPr>
        <w:t>.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Notices</w:t>
      </w:r>
      <w:r>
        <w:rPr>
          <w:rFonts w:ascii="Times New Roman" w:hAnsi="Times New Roman"/>
          <w:color w:val="000000"/>
          <w:sz w:val="20"/>
        </w:rPr>
        <w:t>.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(c) on the next Business Day if sent by an overnight delivery service marked for overnight delivery (providing proof of delivery), or (d) five Business Days after being deposited in the U.S. mail, certified or registered mail, postage prepaid: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If to the Voting Party:</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c/o AG REIT Management, LLC</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245 Park Avenue, 26th Floor</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New York, NY 10167</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Jenny B. Neslin, Legal Department</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jneslin@tpg.com;  legal@angelogordon.com</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Hunton Andrews Kurth LLP</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200 Park Avenue</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New York, NY 10166</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Steven M. Haas</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shaas@hunton.com</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Hunton Andrews Kurth LLP</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2200 Pennsylvania Avenue, NW</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Washington, DC 20037</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Robert K. Smith</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rsmith@hunton.com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If to the Company:</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Cherry Hill Mortgage Investment Corporation</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4000 Route 66, Suite 310</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Tinton Falls, NJ 07753</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Jeffrey Lown II</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jay.lown@chmireit.com</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with copies (which shall not constitute notice) to:</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Mayer Brown LLP</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1221 Avenue of the Americas</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New York, New York 10020</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David Freed</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dfreed@mayerbrown.com</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0"/>
        <w:jc w:val="left"/>
        <w:rPr/>
      </w:pPr>
      <w:r>
        <w:rPr/>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Mayer Brown LLP</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71 South Wacker Drive</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Chicago, IL 60606</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Attention: Andrew Noreuil; Ryan Ferris</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Email: anoreuil@mayerbrown.com; rferris@mayerbrown.com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 to such other individual or address as a party hereto may designate for itself by notice given as herein provided.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ind w:left="0" w:right="0" w:firstLine="1440"/>
        <w:jc w:val="both"/>
        <w:rPr>
          <w:rFonts w:ascii="Times New Roman" w:hAnsi="Times New Roman"/>
          <w:sz w:val="20"/>
        </w:rPr>
      </w:pPr>
      <w:r>
        <w:rPr>
          <w:rFonts w:ascii="Times New Roman" w:hAnsi="Times New Roman"/>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i/>
          <w:color w:val="000000"/>
          <w:sz w:val="20"/>
        </w:rPr>
        <w:t>Expenses</w:t>
      </w:r>
      <w:r>
        <w:rPr>
          <w:rFonts w:ascii="Times New Roman" w:hAnsi="Times New Roman"/>
          <w:color w:val="000000"/>
          <w:sz w:val="20"/>
        </w:rPr>
        <w:t xml:space="preserve">. </w:t>
      </w:r>
      <w:bookmarkStart w:id="27" w:name="z_Ref15606843"/>
      <w:bookmarkEnd w:id="27"/>
      <w:r>
        <w:rPr>
          <w:rFonts w:ascii="Times New Roman" w:hAnsi="Times New Roman"/>
          <w:color w:val="000000"/>
          <w:sz w:val="20"/>
        </w:rPr>
        <w:t>Except as otherwise specifically provided herein, each party hereto shall bear its own expenses in connection with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i/>
          <w:color w:val="000000"/>
          <w:sz w:val="20"/>
        </w:rPr>
        <w:t>Governing Law</w:t>
      </w:r>
      <w:r>
        <w:rPr>
          <w:rFonts w:ascii="Times New Roman" w:hAnsi="Times New Roman"/>
          <w:color w:val="000000"/>
          <w:sz w:val="20"/>
        </w:rPr>
        <w:t>. This Agreement shall be deemed to be made in and in all respects shall be interpreted, construed and governed by and in accordance with the Laws of the State of Maryland without regard to the conflicts of laws provisions, rules or principles thereof (or any other jurisdiction).</w:t>
      </w:r>
      <w:bookmarkStart w:id="28" w:name="z_Ref90459112"/>
      <w:bookmarkEnd w:id="28"/>
      <w:r>
        <w:rPr>
          <w:rFonts w:ascii="Times New Roman" w:hAnsi="Times New Roman"/>
          <w:color w:val="000000"/>
          <w:sz w:val="20"/>
        </w:rPr>
        <w:t xml:space="preserve"> Each of the parties hereto agrees that: (i) all Litigation in connection with, arising out of or otherwise relating to this Agreement and any agreements delivered in connection herewith or the transactions contemplated hereby or thereby shall be heard and determined exclusively in the Circuit Courts for Baltimore City, Maryland, or if that court does not have jurisdiction, in the United States District Court for the District of Maryland, Northern Division; and (ii) solely in connection with such Litigation, (A)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 w:hAnsi="Times New Roman"/>
          <w:color w:val="000000"/>
          <w:sz w:val="20"/>
          <w:u w:val="single"/>
        </w:rPr>
        <w:t>Section 10</w:t>
      </w:r>
      <w:r>
        <w:rPr>
          <w:rFonts w:ascii="Times New Roman" w:hAnsi="Times New Roman"/>
          <w:color w:val="000000"/>
          <w:sz w:val="20"/>
        </w:rPr>
        <w:t xml:space="preserve"> or in such other manner as may be permitted by applicable Law shall be valid and sufficient service thereof; and (F) it shall not assert as a defense any matter or claim waived by the foregoing </w:t>
      </w:r>
      <w:r>
        <w:rPr>
          <w:rFonts w:ascii="Times New Roman" w:hAnsi="Times New Roman"/>
          <w:color w:val="000000"/>
          <w:sz w:val="20"/>
          <w:u w:val="single"/>
        </w:rPr>
        <w:t>clauses (B)</w:t>
      </w:r>
      <w:r>
        <w:rPr>
          <w:rFonts w:ascii="Times New Roman" w:hAnsi="Times New Roman"/>
          <w:color w:val="000000"/>
          <w:sz w:val="20"/>
        </w:rPr>
        <w:t xml:space="preserve"> through </w:t>
      </w:r>
      <w:r>
        <w:rPr>
          <w:rFonts w:ascii="Times New Roman" w:hAnsi="Times New Roman"/>
          <w:color w:val="000000"/>
          <w:sz w:val="20"/>
          <w:u w:val="single"/>
        </w:rPr>
        <w:t>(E)</w:t>
      </w:r>
      <w:r>
        <w:rPr>
          <w:rFonts w:ascii="Times New Roman" w:hAnsi="Times New Roman"/>
          <w:color w:val="000000"/>
          <w:sz w:val="20"/>
        </w:rPr>
        <w:t xml:space="preserve"> of this </w:t>
      </w:r>
      <w:r>
        <w:rPr>
          <w:rFonts w:ascii="Times New Roman" w:hAnsi="Times New Roman"/>
          <w:color w:val="000000"/>
          <w:sz w:val="20"/>
          <w:u w:val="single"/>
        </w:rPr>
        <w:t>Section 11</w:t>
      </w:r>
      <w:r>
        <w:rPr>
          <w:rFonts w:ascii="Times New Roman" w:hAnsi="Times New Roman"/>
          <w:color w:val="000000"/>
          <w:sz w:val="20"/>
        </w:rPr>
        <w:t xml:space="preserve"> that any Order issued by such courts may not be enforced in or by such courts.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i/>
          <w:color w:val="000000"/>
          <w:sz w:val="20"/>
        </w:rPr>
        <w:t>Waiver of Jury Trial</w:t>
      </w:r>
      <w:r>
        <w:rPr>
          <w:rFonts w:ascii="Times New Roman" w:hAnsi="Times New Roman"/>
          <w:color w:val="000000"/>
          <w:sz w:val="20"/>
        </w:rPr>
        <w:t xml:space="preserve">. EACH PARTY HERETO ACKNOWLEDGES AND AGREES THAT ANY CONTROVERSY WHICH MAY ARISE OUT OF OR OTHERWISE RELATE TO THIS AGREEMENT AND ANY OF THE AGREEMENTS DELIVERED IN CONNECTION HEREWITH OR THE TRANSACTIONS CONTEMPLATED HEREBY OR THEREBY IS EXPECTED TO INVOLVE COMPLICATED AND DIFFICULT ISSUES, AND THEREFORE EACH PARTY HERETO IRREVOCABLY AND UNCONDITIONALLY WAIVES TO THE FULLEST EXTENT PERMITTED BY APPLICABLE LAW ANY RIGHT IT MAY HAVE TO A TRIAL BY JURY IN RESPECT OF ANY LITIGATION, DIRECTLY OR INDIRECTLY, CONNECTED WITH, ARISING OUT OF OR RELATING TO THIS AGREEMENT AND ANY OF THE AGREEMENTS DELIVERED IN CONNECTION HEREWITH OR THE TRANSACTIONS CONTEMPLATED HEREBY OR THEREBY. EACH PARTY HERETO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BY, AMONG OTHER THINGS, THE MUTUAL WAIVERS, ACKNOWLEDGEMENTS AND CERTIFICATIONS SET FORTH IN THIS </w:t>
      </w:r>
      <w:r>
        <w:rPr>
          <w:rFonts w:ascii="Times New Roman" w:hAnsi="Times New Roman"/>
          <w:color w:val="000000"/>
          <w:sz w:val="20"/>
          <w:u w:val="single"/>
        </w:rPr>
        <w:t>SECTION 11(c)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i/>
          <w:color w:val="000000"/>
          <w:sz w:val="20"/>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i/>
          <w:color w:val="000000"/>
          <w:sz w:val="20"/>
        </w:rPr>
        <w:t>Counterparts</w:t>
      </w:r>
      <w:r>
        <w:rPr>
          <w:rFonts w:ascii="Times New Roman" w:hAnsi="Times New Roman"/>
          <w:color w:val="000000"/>
          <w:sz w:val="20"/>
        </w:rPr>
        <w:t>.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r>
        <w:rPr>
          <w:rFonts w:ascii="Times New Roman" w:hAnsi="Times New Roman"/>
          <w:i/>
          <w:color w:val="000000"/>
          <w:sz w:val="20"/>
        </w:rPr>
        <w:t>Interpretation</w:t>
      </w:r>
      <w:r>
        <w:rPr>
          <w:rFonts w:ascii="Times New Roman" w:hAnsi="Times New Roman"/>
          <w:color w:val="000000"/>
          <w:sz w:val="20"/>
        </w:rPr>
        <w:t xml:space="preserve">. The headings preceding the text of Sections included in this Agreement are for convenience only and shall not be deemed part of this Agreement or be given any effect in interpreting this Agreement.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Sections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The words “hereof”, “herein” and “hereunder” and words of like import used in this Agreement shall refer to this Agreement as a whole and not to any particular provision of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w:t>
      </w:r>
      <w:bookmarkStart w:id="29" w:name="DocXTextRef397"/>
      <w:bookmarkEnd w:id="29"/>
      <w:r>
        <w:rPr>
          <w:rFonts w:ascii="Times New Roman" w:hAnsi="Times New Roman"/>
          <w:color w:val="000000"/>
          <w:sz w:val="20"/>
        </w:rPr>
        <w:t>schedules or other attachments thereto.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w:t>
      </w:r>
      <w:r>
        <w:rPr>
          <w:rFonts w:ascii="Times New Roman" w:hAnsi="Times New Roman"/>
          <w:i/>
          <w:color w:val="000000"/>
          <w:sz w:val="20"/>
        </w:rPr>
        <w:t>Assignment; Successors and Assigns; Third Party Beneficiaries</w:t>
      </w:r>
      <w:r>
        <w:rPr>
          <w:rFonts w:ascii="Times New Roman" w:hAnsi="Times New Roman"/>
          <w:color w:val="000000"/>
          <w:sz w:val="20"/>
        </w:rPr>
        <w:t xml:space="preserve">. This Agreement and all of the provisions hereof shall be binding upon and shall inure to the benefit of and be enforceable by the parties hereto and their respective heirs, successors and permitted assigns;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 w:hAnsi="Times New Roman"/>
          <w:color w:val="000000"/>
          <w:sz w:val="20"/>
          <w:u w:val="single"/>
        </w:rPr>
        <w:t>Section 11(g)</w:t>
      </w:r>
      <w:r>
        <w:rPr>
          <w:rFonts w:ascii="Times New Roman" w:hAnsi="Times New Roman"/>
          <w:color w:val="000000"/>
          <w:sz w:val="20"/>
        </w:rPr>
        <w:t xml:space="preserve"> shall be null and void. This Agreement is not intended to and does not confer upon any Person other than the parties hereto any rights or remedies hereunder.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w:t>
      </w:r>
      <w:r>
        <w:rPr>
          <w:rFonts w:ascii="Times New Roman" w:hAnsi="Times New Roman"/>
          <w:i/>
          <w:color w:val="000000"/>
          <w:sz w:val="20"/>
        </w:rPr>
        <w:t>Further Assurances</w:t>
      </w:r>
      <w:r>
        <w:rPr>
          <w:rFonts w:ascii="Times New Roman" w:hAnsi="Times New Roman"/>
          <w:color w:val="000000"/>
          <w:sz w:val="20"/>
        </w:rPr>
        <w:t>. Each party hereto shall execute and deliver such additional documents as may be necessary to effect the transactions contemplated by this Agreement.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The remainder of this page is intentionally left blank</w:t>
      </w:r>
      <w:r>
        <w:rPr>
          <w:rFonts w:ascii="Times New Roman" w:hAnsi="Times New Roman"/>
          <w:color w:val="000000"/>
          <w:sz w:val="20"/>
        </w:rPr>
        <w:t xml:space="preserve">. </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have caused this Agreement to be executed as of the date first written above by their respective officers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b0c18214665a4a02bf488118bc9b3453"/>
      <w:bookmarkStart w:id="31" w:name="zb0c18214665a4a02bf488118bc9b3453"/>
      <w:bookmarkEnd w:id="31"/>
    </w:p>
    <w:tbl>
      <w:tblPr>
        <w:tblW w:w="3955" w:type="dxa"/>
        <w:jc w:val="left"/>
        <w:tblInd w:w="0" w:type="dxa"/>
        <w:tblLayout w:type="fixed"/>
        <w:tblCellMar>
          <w:top w:w="0" w:type="dxa"/>
          <w:left w:w="0" w:type="dxa"/>
          <w:bottom w:w="0" w:type="dxa"/>
          <w:right w:w="0" w:type="dxa"/>
        </w:tblCellMar>
      </w:tblPr>
      <w:tblGrid>
        <w:gridCol w:w="60"/>
        <w:gridCol w:w="320"/>
        <w:gridCol w:w="3575"/>
      </w:tblGrid>
      <w:tr>
        <w:trPr/>
        <w:tc>
          <w:tcPr>
            <w:tcW w:w="60"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 MIT, LLC</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57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Thomas J. Durkin</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Thomas J. Durkin</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Executive Officer and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Voting and Support Agreement</w:t>
      </w:r>
      <w:r>
        <w:rPr>
          <w:rFonts w:ascii="Times New Roman" w:hAnsi="Times New Roman"/>
          <w:color w:val="000000"/>
          <w:sz w:val="20"/>
        </w:rPr>
        <w:t>]</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2" w:name="zc20d447b11e94cbb8522b04587f61403"/>
      <w:bookmarkStart w:id="33" w:name="zc20d447b11e94cbb8522b04587f61403"/>
      <w:bookmarkEnd w:id="33"/>
    </w:p>
    <w:tbl>
      <w:tblPr>
        <w:tblW w:w="5509" w:type="dxa"/>
        <w:jc w:val="left"/>
        <w:tblInd w:w="0" w:type="dxa"/>
        <w:tblLayout w:type="fixed"/>
        <w:tblCellMar>
          <w:top w:w="0" w:type="dxa"/>
          <w:left w:w="0" w:type="dxa"/>
          <w:bottom w:w="0" w:type="dxa"/>
          <w:right w:w="0" w:type="dxa"/>
        </w:tblCellMar>
      </w:tblPr>
      <w:tblGrid>
        <w:gridCol w:w="60"/>
        <w:gridCol w:w="447"/>
        <w:gridCol w:w="5002"/>
      </w:tblGrid>
      <w:tr>
        <w:trPr/>
        <w:tc>
          <w:tcPr>
            <w:tcW w:w="60" w:type="dxa"/>
            <w:tcBorders/>
            <w:vAlign w:val="center"/>
          </w:tcPr>
          <w:p>
            <w:pPr>
              <w:pStyle w:val="TableContents"/>
              <w:bidi w:val="0"/>
              <w:spacing w:before="0" w:after="283"/>
              <w:jc w:val="left"/>
              <w:rPr/>
            </w:pPr>
            <w:r>
              <w:rPr/>
              <w:t> </w:t>
            </w:r>
          </w:p>
        </w:tc>
        <w:tc>
          <w:tcPr>
            <w:tcW w:w="544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CHERRY HILL MORTGAGE INVESTMENT CORPORATION</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500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5002"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Jeffrey Lown II</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5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Jeffrey Lown II</w:t>
            </w:r>
          </w:p>
        </w:tc>
      </w:tr>
      <w:tr>
        <w:trPr/>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5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Voting and Support Agreement</w:t>
      </w:r>
      <w:r>
        <w:rPr>
          <w:rFonts w:ascii="Times New Roman" w:hAnsi="Times New Roman"/>
          <w:color w:val="000000"/>
          <w:sz w:val="20"/>
        </w:rPr>
        <w:t>]</w:t>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34" w:name="ef20079827_ex99-1.htm"/>
      <w:bookmarkStart w:id="35" w:name="ksef20079827_ex991"/>
      <w:bookmarkStart w:id="36" w:name="ef20079827_ex99-1.htm"/>
      <w:bookmarkStart w:id="37" w:name="ksef20079827_ex991"/>
      <w:bookmarkEnd w:id="36"/>
      <w:bookmarkEnd w:id="3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da843195f6ef4de69132fc3be7160959"/>
      <w:bookmarkStart w:id="39" w:name="zda843195f6ef4de69132fc3be7160959"/>
      <w:bookmarkEnd w:id="39"/>
    </w:p>
    <w:tbl>
      <w:tblPr>
        <w:tblW w:w="4545" w:type="dxa"/>
        <w:jc w:val="left"/>
        <w:tblInd w:w="0" w:type="dxa"/>
        <w:tblLayout w:type="fixed"/>
        <w:tblCellMar>
          <w:top w:w="0" w:type="dxa"/>
          <w:left w:w="0" w:type="dxa"/>
          <w:bottom w:w="0" w:type="dxa"/>
          <w:right w:w="0" w:type="dxa"/>
        </w:tblCellMar>
      </w:tblPr>
      <w:tblGrid>
        <w:gridCol w:w="1590"/>
        <w:gridCol w:w="2955"/>
      </w:tblGrid>
      <w:tr>
        <w:trPr/>
        <w:tc>
          <w:tcPr>
            <w:tcW w:w="1590" w:type="dxa"/>
            <w:tcBorders/>
            <w:vAlign w:val="center"/>
          </w:tcPr>
          <w:p>
            <w:pPr>
              <w:pStyle w:val="TableContents"/>
              <w:bidi w:val="0"/>
              <w:spacing w:before="0" w:after="0"/>
              <w:jc w:val="left"/>
              <w:rPr/>
            </w:pPr>
            <w:r>
              <w:rPr/>
              <w:drawing>
                <wp:inline distT="0" distB="0" distL="0" distR="0">
                  <wp:extent cx="10001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504825"/>
                          </a:xfrm>
                          <a:prstGeom prst="rect">
                            <a:avLst/>
                          </a:prstGeom>
                        </pic:spPr>
                      </pic:pic>
                    </a:graphicData>
                  </a:graphic>
                </wp:inline>
              </w:drawing>
            </w:r>
          </w:p>
        </w:tc>
        <w:tc>
          <w:tcPr>
            <w:tcW w:w="2955" w:type="dxa"/>
            <w:tcBorders/>
            <w:vAlign w:val="center"/>
          </w:tcPr>
          <w:p>
            <w:pPr>
              <w:pStyle w:val="TableContents"/>
              <w:bidi w:val="0"/>
              <w:spacing w:before="0" w:after="0"/>
              <w:jc w:val="right"/>
              <w:rPr/>
            </w:pPr>
            <w:r>
              <w:rPr/>
              <w:drawing>
                <wp:inline distT="0" distB="0" distL="0" distR="0">
                  <wp:extent cx="18669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257175"/>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TPG MORTGAGE INVESTMENT TRUST AND CHERRY HILL MORTGAGE INVESTMENT CORPORATION ANNOUNCE DEFINITIVE MERGER AGREEMENT</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Merger to Strengthen the Platform's Position as a Leading Residential Mortgage REIT Through Enhanced Scale and Operational Efficiencies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Transaction Expected to Drive Earnings Accretion and Long-Term Growth</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Implied Transaction Value of $117.5 Million Represents 29% Premium to CHMI Closing Price on August 7, 2026 and a 32% Premium to 30-Day VWAP</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CHMI Stockholders to Receive 0.3063 Shares of MITT Common Stock and $0.93 in Cash Per Share in Merger</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Unanimously Approved by MITT Board of Directors and CHMI Board of Directors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NEW YORK, NY – August 10, 2026</w:t>
      </w:r>
      <w:r>
        <w:rPr>
          <w:rFonts w:ascii="Times New Roman" w:hAnsi="Times New Roman"/>
          <w:color w:val="000000"/>
          <w:sz w:val="20"/>
        </w:rPr>
        <w:t xml:space="preserve"> - TPG Mortgage Investment Trust, Inc. (NYSE: MITT) (“MITT”), a publicly traded residential mortgage REIT managed by AG REIT Management, LLC, an affiliate of TPG Inc. (“TPG”) (NASDAQ: TPG), a leading global alternative asset management firm with $327 billion in assets under management, and Cherry Hill Mortgage Investment Corporation (NYSE: CHMI) (“CHMI”), a  residential mortgage REIT, today announced that they have entered into a definitive merger agreement, pursuant to which MITT will acquire CHMI.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transaction, holders of CHMI common stock will receive 0.3063 shares of MITT common stock and $0.93 in cash per share. Based on the closing price of MITT’s common stock on the New York Stock Exchange (the “NYSE”) on August 7, 2026, the transaction implies a value of $3.10 per share of CHMI common stock, representing a 29% premium to CHMI’s unaffected closing stock price on the NYSE on August 7, 2026 and a 32% premium to 30-day volume weighted average price (“VWAP”).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companies expect the transaction to close in the fourth quarter of 2026, subject to customary closing conditions, including the approval of both MITT and CHMI stockholders. This strategic transaction was unanimously approved by the Board of Directors of MITT and Board of Directors of CHMI.</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This combination represents a transformational, value-creating opportunity for both MITT and CHMI stockholders,” said T.J. Durkin, President, Chief Executive Officer, and board member of MITT. “We are excited to bring together two highly complementary portfolios to significantly enhance the scale of MITT’s residential mortgage platform, which we believe will generate meaningful operational efficiencies and deliver accretive earnings growth for the benefit of all stockholders. We look forward to completing this transaction and replicating the success we achieved when we acquired Western Asset Mortgage Capital Corporation in 2023.”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Joseph Murin, Chairman of CHMI’s Board of Directors, stated, “After conducting a thorough competitive process with the assistance of our financial advisor, the Board unanimously determined that this transaction with MITT is in the best interest of CHMI and its stockholders. We believe this combination will unlock substantial value for all stockholders and we are excited about the value the combination can achieve.”</w:t>
      </w:r>
    </w:p>
    <w:p>
      <w:pPr>
        <w:pStyle w:val="TextBody"/>
        <w:bidi w:val="0"/>
        <w:spacing w:before="0" w:after="0"/>
        <w:jc w:val="left"/>
        <w:rPr/>
      </w:pPr>
      <w:r>
        <w:rPr/>
      </w:r>
    </w:p>
    <w:p>
      <w:pPr>
        <w:pStyle w:val="HorizontalLine"/>
        <w:pBdr>
          <w:bottom w:val="single" w:sz="12" w:space="0" w:color="808080"/>
        </w:pBdr>
        <w:bidi w:val="0"/>
        <w:jc w:val="left"/>
        <w:rPr/>
      </w:pPr>
      <w:r>
        <w:rPr/>
      </w:r>
    </w:p>
    <w:tbl>
      <w:tblPr>
        <w:tblW w:w="4545" w:type="dxa"/>
        <w:jc w:val="left"/>
        <w:tblInd w:w="0" w:type="dxa"/>
        <w:tblLayout w:type="fixed"/>
        <w:tblCellMar>
          <w:top w:w="0" w:type="dxa"/>
          <w:left w:w="0" w:type="dxa"/>
          <w:bottom w:w="0" w:type="dxa"/>
          <w:right w:w="0" w:type="dxa"/>
        </w:tblCellMar>
      </w:tblPr>
      <w:tblGrid>
        <w:gridCol w:w="1590"/>
        <w:gridCol w:w="2955"/>
      </w:tblGrid>
      <w:tr>
        <w:trPr/>
        <w:tc>
          <w:tcPr>
            <w:tcW w:w="1590" w:type="dxa"/>
            <w:tcBorders/>
            <w:vAlign w:val="center"/>
          </w:tcPr>
          <w:p>
            <w:pPr>
              <w:pStyle w:val="TableContents"/>
              <w:bidi w:val="0"/>
              <w:spacing w:before="0" w:after="0"/>
              <w:jc w:val="left"/>
              <w:rPr/>
            </w:pPr>
            <w:r>
              <w:rPr/>
              <w:drawing>
                <wp:inline distT="0" distB="0" distL="0" distR="0">
                  <wp:extent cx="1000125"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0125" cy="504825"/>
                          </a:xfrm>
                          <a:prstGeom prst="rect">
                            <a:avLst/>
                          </a:prstGeom>
                        </pic:spPr>
                      </pic:pic>
                    </a:graphicData>
                  </a:graphic>
                </wp:inline>
              </w:drawing>
            </w:r>
          </w:p>
        </w:tc>
        <w:tc>
          <w:tcPr>
            <w:tcW w:w="2955" w:type="dxa"/>
            <w:tcBorders/>
            <w:vAlign w:val="center"/>
          </w:tcPr>
          <w:p>
            <w:pPr>
              <w:pStyle w:val="TableContents"/>
              <w:bidi w:val="0"/>
              <w:spacing w:before="0" w:after="0"/>
              <w:jc w:val="right"/>
              <w:rPr/>
            </w:pPr>
            <w:r>
              <w:rPr/>
              <w:drawing>
                <wp:inline distT="0" distB="0" distL="0" distR="0">
                  <wp:extent cx="186690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66900" cy="257175"/>
                          </a:xfrm>
                          <a:prstGeom prst="rect">
                            <a:avLst/>
                          </a:prstGeom>
                        </pic:spPr>
                      </pic:pic>
                    </a:graphicData>
                  </a:graphic>
                </wp:inline>
              </w:drawing>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Jay Lown, Chief Executive Officer and board member of CHMI, added, “This transaction will deliver immediate cash consideration to CHMI stockholders, together with an opportunity to participate in the potential upside of the combined company. Our diversified portfolio of Agency RMBS and MSRs, combined with the support of TPG’s residential mortgage industry expertise, substantial resources, and record of successful integration of other REIT platforms, positions MITT well to drive long-term value for all stakeholders. We are committed to efficiently completing the merger and unlocking the growth potential of this combination for our stockholders.”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a pro forma basis, following the closing of the transaction, MITT stockholders are expected to own approximately 73% of the combined company’s equity, and CHMI stockholders are expected to own approximately 27%.</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Compelling Strategic Rationale for MITT and CHMI Stockholders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merger of MITT and CHMI is expected to create numerous operational and financial benefits, including: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2dd0043b77d2459fbada9666c024c778"/>
      <w:bookmarkStart w:id="41" w:name="z2dd0043b77d2459fbada9666c024c778"/>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 xml:space="preserve">Cash Consideration for Stockholders: </w:t>
            </w:r>
            <w:r>
              <w:rPr>
                <w:rFonts w:ascii="Times New Roman" w:hAnsi="Times New Roman"/>
                <w:color w:val="000000"/>
                <w:sz w:val="20"/>
              </w:rPr>
              <w:t>CHMI stockholders will receive approximately 30% of the merger consideration in cash, consisting of an approximate $20 million payment from TPG and an approximate $15 million payment from MITT, or $0.52 per share and $0.41 per share, respectively.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b46f5e8529344e25920d94ff70182075"/>
      <w:bookmarkStart w:id="43" w:name="zb46f5e8529344e25920d94ff70182075"/>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Strong Financial Rationale</w:t>
            </w:r>
            <w:r>
              <w:rPr>
                <w:rFonts w:ascii="Times New Roman" w:hAnsi="Times New Roman"/>
                <w:color w:val="000000"/>
                <w:sz w:val="20"/>
              </w:rPr>
              <w:t>: Transaction expected to be accretive to earnings within one year of closing and to provide the combined company with an attractive growth profile.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d8b97078c52b47f18d7b3884c9d84f03"/>
      <w:bookmarkStart w:id="45" w:name="zd8b97078c52b47f18d7b3884c9d84f03"/>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Increased Financial Strength and Flexibility</w:t>
            </w:r>
            <w:r>
              <w:rPr>
                <w:rFonts w:ascii="Times New Roman" w:hAnsi="Times New Roman"/>
                <w:color w:val="000000"/>
                <w:sz w:val="20"/>
              </w:rPr>
              <w:t>: Strong support and access to resources from MITT’s manager, which is an affiliate of TPG, a leading global alternative asset management firm with $327 billion of assets under management, including access to TPG’s proprietary, best-in-class securitization platform. The combined company is also expected to benefit from an expanded investor base and enhanced trading liquidity and volume.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0012ee75bfa44258834554b2e8706be4"/>
      <w:bookmarkStart w:id="47" w:name="z0012ee75bfa44258834554b2e8706be4"/>
      <w:bookmarkEnd w:id="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 xml:space="preserve">Compelling Strategic Fit: </w:t>
            </w:r>
            <w:r>
              <w:rPr>
                <w:rFonts w:ascii="Times New Roman" w:hAnsi="Times New Roman"/>
                <w:color w:val="000000"/>
                <w:sz w:val="20"/>
              </w:rPr>
              <w:t>Strategically aligned investment strategies spanning Agency and Non-Agency residential mortgage loans brings the combined company’s investment portfolio to $9.0 billion, consisting of approximately 72.0% of Non-Agency Residential Credit, 14.4% Agency RMBS and MSRs, 12.6% Home Equity and 1.0% of other investments.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fa2cc722dbe24631aa16821786b4ea8a"/>
      <w:bookmarkStart w:id="49" w:name="zfa2cc722dbe24631aa16821786b4ea8a"/>
      <w:bookmarkEnd w:id="4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0000"/>
                <w:sz w:val="20"/>
              </w:rPr>
              <w:t xml:space="preserve">Enhanced Operational Efficiencies: </w:t>
            </w:r>
            <w:r>
              <w:rPr>
                <w:rFonts w:ascii="Times New Roman" w:hAnsi="Times New Roman"/>
                <w:color w:val="000000"/>
                <w:sz w:val="20"/>
              </w:rPr>
              <w:t>More favorable expense ratio and operating efficiencies of approximately $7 to $9 million on an annual basis are expected to be realized.</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4545" w:type="dxa"/>
        <w:jc w:val="left"/>
        <w:tblInd w:w="0" w:type="dxa"/>
        <w:tblLayout w:type="fixed"/>
        <w:tblCellMar>
          <w:top w:w="0" w:type="dxa"/>
          <w:left w:w="0" w:type="dxa"/>
          <w:bottom w:w="0" w:type="dxa"/>
          <w:right w:w="0" w:type="dxa"/>
        </w:tblCellMar>
      </w:tblPr>
      <w:tblGrid>
        <w:gridCol w:w="1590"/>
        <w:gridCol w:w="2955"/>
      </w:tblGrid>
      <w:tr>
        <w:trPr/>
        <w:tc>
          <w:tcPr>
            <w:tcW w:w="1590" w:type="dxa"/>
            <w:tcBorders/>
            <w:vAlign w:val="center"/>
          </w:tcPr>
          <w:p>
            <w:pPr>
              <w:pStyle w:val="TableContents"/>
              <w:bidi w:val="0"/>
              <w:spacing w:before="0" w:after="0"/>
              <w:jc w:val="left"/>
              <w:rPr/>
            </w:pPr>
            <w:r>
              <w:rPr/>
              <w:drawing>
                <wp:inline distT="0" distB="0" distL="0" distR="0">
                  <wp:extent cx="100012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0125" cy="504825"/>
                          </a:xfrm>
                          <a:prstGeom prst="rect">
                            <a:avLst/>
                          </a:prstGeom>
                        </pic:spPr>
                      </pic:pic>
                    </a:graphicData>
                  </a:graphic>
                </wp:inline>
              </w:drawing>
            </w:r>
          </w:p>
        </w:tc>
        <w:tc>
          <w:tcPr>
            <w:tcW w:w="2955" w:type="dxa"/>
            <w:tcBorders/>
            <w:vAlign w:val="center"/>
          </w:tcPr>
          <w:p>
            <w:pPr>
              <w:pStyle w:val="TableContents"/>
              <w:bidi w:val="0"/>
              <w:spacing w:before="0" w:after="0"/>
              <w:jc w:val="right"/>
              <w:rPr/>
            </w:pPr>
            <w:r>
              <w:rPr/>
              <w:drawing>
                <wp:inline distT="0" distB="0" distL="0" distR="0">
                  <wp:extent cx="1866900"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66900" cy="257175"/>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Transaction Overview</w:t>
      </w:r>
    </w:p>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Each share of CHMI common stock will be converted at closing into the right to receive 0.3063 shares of MITT common stock for a total of 11.608 million shares, pursuant to a fixed exchange ratio,</w:t>
      </w:r>
      <w:r>
        <w:rPr>
          <w:rFonts w:ascii="Times New Roman;serif" w:hAnsi="Times New Roman;serif"/>
          <w:color w:val="000000"/>
          <w:sz w:val="20"/>
        </w:rPr>
        <w:t>1</w:t>
      </w:r>
      <w:r>
        <w:rPr>
          <w:rFonts w:ascii="Times New Roman" w:hAnsi="Times New Roman"/>
          <w:color w:val="000000"/>
          <w:sz w:val="20"/>
        </w:rPr>
        <w:t xml:space="preserve"> and $0.93 per share in cash, $0.52 per share of which is to be contributed in part from MITT’s manager and the remainder funded from MITT’s balance sheet. Upon the closing of the transaction, MITT stockholders are expected to own approximately 73% of the combined company’s stock, while CHMI stockholders are expected to own approximately 27% of the combined company’s stock.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share of CHMI 8.20% Series A Cumulative Redeemable Preferred Stock and CHMI 8.250% Series B Fixed-to-Floating Rate Cumulative Redeemable Preferred Stock will be converted at closing into the right to receive one newly issued share of MITT 8.20% Series D Cumulative Redeemable Preferred Stock and MITT 8.250% Series E Floating Rate Cumulative Redeemable Preferred Stock, respectively, having the rights, preferences, privileges and voting powers substantially the same as those of the CHMI Series A Preferred Stock and CHMI Series B Preferred Stock, respectively.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Governance and Management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Upon completion of the merger, the combined company will continue to operate as “TPG Mortgage Investment Trust, Inc.” and will be led by MITT’s existing management team, including T.J. Durkin as its President and Chief Executive Officer.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CHMI will designate two independent directors to be added to MITT’s Board of Directors, bringing MITT’s Board up to eight directors. The combined company will be headquartered in New York, and its common stock will continue to be listed on the NYSE under MITT’s current ticker symbol.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transaction, the MITT manager’s incentive fee structure will be amended to further enhance alignment of interests with those of stockholders, including to be based on the combined company’s pro forma book value and earnings available for distribution.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Additional information on the transaction and the anticipated benefits to MITT and CHMI stockholders can be found in MITT’s investor deck relating to the transaction posted on MITT’s website at </w:t>
      </w:r>
      <w:r>
        <w:rPr>
          <w:rFonts w:ascii="Times New Roman" w:hAnsi="Times New Roman"/>
          <w:color w:val="000000"/>
          <w:sz w:val="20"/>
          <w:u w:val="single"/>
        </w:rPr>
        <w:t>www.mitt.tpg.com</w:t>
      </w:r>
      <w:r>
        <w:rPr>
          <w:rFonts w:ascii="Times New Roman" w:hAnsi="Times New Roman"/>
          <w:color w:val="000000"/>
          <w:sz w:val="20"/>
        </w:rPr>
        <w:t>. The investor deck is also being furnished by MITT in a Current Report on Form 8-K being filed by MITT with the Securities and Exchange Commission (the “SEC”) on the date hereof.</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Timing and Approvals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has been unanimously approved by the Boards of Directors of MITT and CHMI and MITT’s manager. The transaction is expected to close in the fourth quarter of 2026, subject to approval by the respective stockholders of MITT and CHMI, receipt of regulatory approvals and satisfaction of other customary closing conditions set forth in the merger agreement.</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serif" w:hAnsi="Times New Roman;serif"/>
          <w:color w:val="000000"/>
          <w:sz w:val="20"/>
        </w:rPr>
        <w:t>1</w:t>
      </w:r>
      <w:r>
        <w:rPr>
          <w:rFonts w:ascii="Times New Roman" w:hAnsi="Times New Roman"/>
          <w:color w:val="000000"/>
          <w:sz w:val="20"/>
        </w:rPr>
        <w:t> Exchange ratio is based on 38.633 million outstanding shares of CHMI common stock on a fully-diluted basis as of June 30, 2026.</w:t>
      </w:r>
    </w:p>
    <w:p>
      <w:pPr>
        <w:pStyle w:val="HorizontalLine"/>
        <w:pBdr>
          <w:bottom w:val="single" w:sz="12" w:space="0" w:color="808080"/>
        </w:pBdr>
        <w:bidi w:val="0"/>
        <w:jc w:val="left"/>
        <w:rPr/>
      </w:pPr>
      <w:r>
        <w:rPr/>
      </w:r>
    </w:p>
    <w:tbl>
      <w:tblPr>
        <w:tblW w:w="4545" w:type="dxa"/>
        <w:jc w:val="left"/>
        <w:tblInd w:w="0" w:type="dxa"/>
        <w:tblLayout w:type="fixed"/>
        <w:tblCellMar>
          <w:top w:w="0" w:type="dxa"/>
          <w:left w:w="0" w:type="dxa"/>
          <w:bottom w:w="0" w:type="dxa"/>
          <w:right w:w="0" w:type="dxa"/>
        </w:tblCellMar>
      </w:tblPr>
      <w:tblGrid>
        <w:gridCol w:w="1590"/>
        <w:gridCol w:w="2955"/>
      </w:tblGrid>
      <w:tr>
        <w:trPr/>
        <w:tc>
          <w:tcPr>
            <w:tcW w:w="1590" w:type="dxa"/>
            <w:tcBorders/>
            <w:vAlign w:val="center"/>
          </w:tcPr>
          <w:p>
            <w:pPr>
              <w:pStyle w:val="TableContents"/>
              <w:bidi w:val="0"/>
              <w:spacing w:before="0" w:after="0"/>
              <w:jc w:val="left"/>
              <w:rPr/>
            </w:pPr>
            <w:r>
              <w:rPr/>
              <w:drawing>
                <wp:inline distT="0" distB="0" distL="0" distR="0">
                  <wp:extent cx="100012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0125" cy="504825"/>
                          </a:xfrm>
                          <a:prstGeom prst="rect">
                            <a:avLst/>
                          </a:prstGeom>
                        </pic:spPr>
                      </pic:pic>
                    </a:graphicData>
                  </a:graphic>
                </wp:inline>
              </w:drawing>
            </w:r>
          </w:p>
        </w:tc>
        <w:tc>
          <w:tcPr>
            <w:tcW w:w="2955" w:type="dxa"/>
            <w:tcBorders/>
            <w:vAlign w:val="center"/>
          </w:tcPr>
          <w:p>
            <w:pPr>
              <w:pStyle w:val="TableContents"/>
              <w:bidi w:val="0"/>
              <w:spacing w:before="0" w:after="0"/>
              <w:jc w:val="right"/>
              <w:rPr/>
            </w:pPr>
            <w:r>
              <w:rPr/>
              <w:drawing>
                <wp:inline distT="0" distB="0" distL="0" distR="0">
                  <wp:extent cx="1866900"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66900" cy="257175"/>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Piper Sandler &amp; Co. is acting as exclusive financial advisor and Hunton Andrews Kurth LLP and Freshfields LLP are acting as legal counsel to MITT. Fried, Frank, Harris, Shriver &amp; Jacobson LLP is acting as legal counsel to MITT’s independent directors. BTIG, LLC is acting as exclusive financial advisor and Mayer Brown LLP is acting as legal advisor to CHMI.</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TPG Mortgage Investment Trust, Inc.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TPG Mortgage Investment Trust, Inc. is a residential mortgage REIT with a focus on investing in a diversified risk-adjusted portfolio of residential mortgage-related assets in the U.S. mortgage market. The Company is externally managed and advised by AG REIT Management, LLC, an affiliate of TPG Inc. (NASDAQ: TPG). Additional information can be found on MITT’s website at www.mitt.tpg.com.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Cherry Hill Mortgage Investment Corporation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Cherry Hill Mortgage Investment Corporation is a real estate finance company that acquires, invests in and manages residential mortgage assets in the United States. For additional information, visit www.chmireit.com.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communication relates to the proposed merger (the “Merger”) pursuant to the terms of a definitive agreement and plan of merger (the “Merger Agreement”). In connection with the proposed Merger, MITT expects to file relevant materials with the SEC, including a registration statement on Form S-4 that will include a prospectus of MITT and a joint proxy statement of MITT and CHMI. Promptly after filing the definitive joint proxy statement/prospectus with the SEC, MITT and CHMI will mail the definitive joint proxy statement/prospectus and a proxy card to each stockholder of MITT and CHMI, respectively, entitled to vote at the special meeting of MITT and CHMI, respectively, relating to the proposed transaction. This communication is not a substitute for any proxy statement, registration statement, tender or exchange offer statement, prospectus or other document MITT or CHMI may file with the SEC in connection with the proposed Merger and related matters. The materials to be filed by MITT and CHMI will be made available to MITT and CHMI’s investors and stockholders at no expense to them. Copies of the documents filed by MITT with the SEC are also available free of charge on MITT’s website at www.mitt.tpg.com. Copies of the documents filed by CHMI with the SEC are also available free of charge on CHMI’s website at www.chmireit.com. In addition, all of those materials will be available at no charge on the SEC’s website at www.sec.gov. </w:t>
      </w:r>
      <w:r>
        <w:rPr>
          <w:rFonts w:ascii="Times New Roman" w:hAnsi="Times New Roman"/>
          <w:b/>
          <w:color w:val="000000"/>
          <w:sz w:val="20"/>
        </w:rPr>
        <w:t>INVESTORS AND STOCKHOLDERS ARE URGED TO READ THE FORM S-4, THE JOINT PROXY STATEMENT/PROSPECTUS, AND THE OTHER RELEVANT MATERIALS WHEN THEY BECOME AVAILABLE BEFORE MAKING ANY VOTING OR INVESTMENT DECISION WITH RESPECT TO THE PROPOSED TRANSACTION BECAUSE THEY CONTAIN IMPORTANT INFORMATION ABOUT MITT, CHMI AND THE PROPOSED MERGER.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 Relating to the Merger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MITT, CHMI and certain of their respective directors and executive officers and certain other affiliates of MITT and CHMI may be deemed to be participants in the solicitation of proxies from the common stockholders of CHMI and MITT in respect of the proposed Merger under SEC rules. Information regarding CHMI and its directors and executive officers and their ownership of common stock of CHMI can be found in CHMI’s Annual Report on Form 10-K for the fiscal year ended December 31, 2025, filed with the SEC on March 5, 2026, and its subsequent filings under the Securities Exchange Act of 1934, as amended (the “Exchange Act”). Information regarding MITT and its directors and executive officers and their ownership of common stock of MITT can be found in MITT’s Annual Report on Form 10-K for the fiscal year ended December 31, 2025, filed with the SEC on February 25, 2026, and its subsequent filings under the Exchange Act. Additional information regarding the interests of such participants in the Merger, which may, in some cases, be different than those of MITT and CHMI stockholders generally,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0"/>
        <w:jc w:val="left"/>
        <w:rPr/>
      </w:pPr>
      <w:r>
        <w:rPr/>
      </w:r>
    </w:p>
    <w:p>
      <w:pPr>
        <w:pStyle w:val="HorizontalLine"/>
        <w:pBdr>
          <w:bottom w:val="single" w:sz="12" w:space="0" w:color="808080"/>
        </w:pBdr>
        <w:bidi w:val="0"/>
        <w:jc w:val="left"/>
        <w:rPr/>
      </w:pPr>
      <w:r>
        <w:rPr/>
      </w:r>
    </w:p>
    <w:tbl>
      <w:tblPr>
        <w:tblW w:w="4545" w:type="dxa"/>
        <w:jc w:val="left"/>
        <w:tblInd w:w="0" w:type="dxa"/>
        <w:tblLayout w:type="fixed"/>
        <w:tblCellMar>
          <w:top w:w="0" w:type="dxa"/>
          <w:left w:w="0" w:type="dxa"/>
          <w:bottom w:w="0" w:type="dxa"/>
          <w:right w:w="0" w:type="dxa"/>
        </w:tblCellMar>
      </w:tblPr>
      <w:tblGrid>
        <w:gridCol w:w="1590"/>
        <w:gridCol w:w="2955"/>
      </w:tblGrid>
      <w:tr>
        <w:trPr/>
        <w:tc>
          <w:tcPr>
            <w:tcW w:w="1590" w:type="dxa"/>
            <w:tcBorders/>
            <w:vAlign w:val="center"/>
          </w:tcPr>
          <w:p>
            <w:pPr>
              <w:pStyle w:val="TableContents"/>
              <w:bidi w:val="0"/>
              <w:spacing w:before="0" w:after="0"/>
              <w:jc w:val="left"/>
              <w:rPr/>
            </w:pPr>
            <w:r>
              <w:rPr/>
              <w:drawing>
                <wp:inline distT="0" distB="0" distL="0" distR="0">
                  <wp:extent cx="1000125"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0125" cy="504825"/>
                          </a:xfrm>
                          <a:prstGeom prst="rect">
                            <a:avLst/>
                          </a:prstGeom>
                        </pic:spPr>
                      </pic:pic>
                    </a:graphicData>
                  </a:graphic>
                </wp:inline>
              </w:drawing>
            </w:r>
          </w:p>
        </w:tc>
        <w:tc>
          <w:tcPr>
            <w:tcW w:w="2955" w:type="dxa"/>
            <w:tcBorders/>
            <w:vAlign w:val="center"/>
          </w:tcPr>
          <w:p>
            <w:pPr>
              <w:pStyle w:val="TableContents"/>
              <w:bidi w:val="0"/>
              <w:spacing w:before="0" w:after="0"/>
              <w:jc w:val="right"/>
              <w:rPr/>
            </w:pPr>
            <w:r>
              <w:rPr/>
              <w:drawing>
                <wp:inline distT="0" distB="0" distL="0" distR="0">
                  <wp:extent cx="1866900" cy="257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66900" cy="257175"/>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as amended (the “Securities Act”). This communication may be deemed to be solicitation material in respect of the proposed Merger.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certain “forward-looking” statements within the meaning of Section 27A of the Securities Act and Section 21E of the Exchange Act. MITT and CHMI intend such forward-looking statements to be covered by the safe harbor provisions for forward-looking statements contained in the Private Securities Litigation Reform Act of 1995 and include this statement for purposes of complying with the safe harbor provisions. Words such as “expects,” “anticipates,” “intends,” “plans,” “believes,” “seeks,” “estimates,” “will,” “should,” “may,” “projects,” “could” or variations of such words and other similar expressions are intended to identify such forward-looking statements, which generally are not historical in nature, but not all forward-looking statements include such identifying words. Forward-looking statements regarding MITT and CHMI include, but are not limited to, statements related to the proposed Merger, including the anticipated timing, benefits and financial and operational impact thereof;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the risk that MITT may not achieve the same level of success that it achieved in past acquisitions; and effects relating to the announcement of the proposed Merger or any further announcements or the consummation of the proposed Merger on the market price of MITT’s or CHMI’s common stock. Additional risks and uncertainties related to MITT’s and CHMI’s business are included under the headings “Forward-Looking Statements” and “Risk Factors” in MITT’s and CHMI’s Annual Report on Form 10-K for the year ended December 31, 2025, and in other reports and documents filed by either company with the SEC from time to time. Moreover, other risks and uncertainties of which MITT or CHMI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MITT or CHMI on their respective websites or otherwise. Neither MITT nor CHMI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spacing w:before="0" w:after="0"/>
        <w:jc w:val="left"/>
        <w:rPr/>
      </w:pPr>
      <w:r>
        <w:rPr/>
      </w:r>
    </w:p>
    <w:p>
      <w:pPr>
        <w:pStyle w:val="HorizontalLine"/>
        <w:pBdr>
          <w:bottom w:val="single" w:sz="12" w:space="0" w:color="808080"/>
        </w:pBdr>
        <w:bidi w:val="0"/>
        <w:jc w:val="left"/>
        <w:rPr/>
      </w:pPr>
      <w:r>
        <w:rPr/>
      </w:r>
    </w:p>
    <w:tbl>
      <w:tblPr>
        <w:tblW w:w="4545" w:type="dxa"/>
        <w:jc w:val="left"/>
        <w:tblInd w:w="0" w:type="dxa"/>
        <w:tblLayout w:type="fixed"/>
        <w:tblCellMar>
          <w:top w:w="0" w:type="dxa"/>
          <w:left w:w="0" w:type="dxa"/>
          <w:bottom w:w="0" w:type="dxa"/>
          <w:right w:w="0" w:type="dxa"/>
        </w:tblCellMar>
      </w:tblPr>
      <w:tblGrid>
        <w:gridCol w:w="1590"/>
        <w:gridCol w:w="2955"/>
      </w:tblGrid>
      <w:tr>
        <w:trPr/>
        <w:tc>
          <w:tcPr>
            <w:tcW w:w="1590" w:type="dxa"/>
            <w:tcBorders/>
            <w:vAlign w:val="center"/>
          </w:tcPr>
          <w:p>
            <w:pPr>
              <w:pStyle w:val="TableContents"/>
              <w:bidi w:val="0"/>
              <w:spacing w:before="0" w:after="0"/>
              <w:jc w:val="left"/>
              <w:rPr/>
            </w:pPr>
            <w:r>
              <w:rPr/>
              <w:drawing>
                <wp:inline distT="0" distB="0" distL="0" distR="0">
                  <wp:extent cx="1000125" cy="504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0125" cy="504825"/>
                          </a:xfrm>
                          <a:prstGeom prst="rect">
                            <a:avLst/>
                          </a:prstGeom>
                        </pic:spPr>
                      </pic:pic>
                    </a:graphicData>
                  </a:graphic>
                </wp:inline>
              </w:drawing>
            </w:r>
          </w:p>
        </w:tc>
        <w:tc>
          <w:tcPr>
            <w:tcW w:w="2955" w:type="dxa"/>
            <w:tcBorders/>
            <w:vAlign w:val="center"/>
          </w:tcPr>
          <w:p>
            <w:pPr>
              <w:pStyle w:val="TableContents"/>
              <w:bidi w:val="0"/>
              <w:spacing w:before="0" w:after="0"/>
              <w:jc w:val="right"/>
              <w:rPr/>
            </w:pPr>
            <w:r>
              <w:rPr/>
              <w:drawing>
                <wp:inline distT="0" distB="0" distL="0" distR="0">
                  <wp:extent cx="1866900" cy="257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257175"/>
                          </a:xfrm>
                          <a:prstGeom prst="rect">
                            <a:avLst/>
                          </a:prstGeom>
                        </pic:spPr>
                      </pic:pic>
                    </a:graphicData>
                  </a:graphic>
                </wp:inline>
              </w:drawing>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TPG Mortgage Investment Trust,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(212) 692-2110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media@tpg.com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Cherry Hill Mortgage Investment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(877) 870–7005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InvestorRelations@CHMIreit.com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94152</Words>
  <Characters>497438</Characters>
  <CharactersWithSpaces>594737</CharactersWithSpaces>
  <Paragraphs>2019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