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orizontalLine"/>
        <w:bidi w:val="0"/>
        <w:jc w:val="center"/>
        <w:rPr/>
      </w:pPr>
      <w:r>
        <w:rPr/>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UNITED STATES</w:t>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SECURITIES AND EXCHANGE COMMISSION</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Washington, D.C. 20549</w:t>
      </w:r>
    </w:p>
    <w:p>
      <w:pPr>
        <w:pStyle w:val="HorizontalLine"/>
        <w:bidi w:val="0"/>
        <w:jc w:val="left"/>
        <w:rPr/>
      </w:pPr>
      <w:r>
        <w:rPr/>
      </w:r>
    </w:p>
    <w:p>
      <w:pPr>
        <w:pStyle w:val="TextBody"/>
        <w:bidi w:val="0"/>
        <w:spacing w:before="0" w:after="0"/>
        <w:jc w:val="center"/>
        <w:rPr>
          <w:rFonts w:ascii="Times New Roman" w:hAnsi="Times New Roman"/>
          <w:b/>
          <w:color w:val="000000"/>
          <w:sz w:val="36"/>
          <w:shd w:fill="FFFFFF" w:val="clear"/>
        </w:rPr>
      </w:pPr>
      <w:r>
        <w:rPr>
          <w:rFonts w:ascii="Times New Roman" w:hAnsi="Times New Roman"/>
          <w:b/>
          <w:color w:val="000000"/>
          <w:sz w:val="36"/>
          <w:shd w:fill="FFFFFF" w:val="clear"/>
        </w:rPr>
        <w:t>FORM 10-Q</w:t>
      </w:r>
    </w:p>
    <w:p>
      <w:pPr>
        <w:pStyle w:val="HorizontalLine"/>
        <w:bidi w:val="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(Mark One)</w:t>
      </w:r>
    </w:p>
    <w:p>
      <w:pPr>
        <w:pStyle w:val="TextBody"/>
        <w:bidi w:val="0"/>
        <w:spacing w:before="0" w:after="0"/>
        <w:jc w:val="left"/>
        <w:rPr/>
      </w:pPr>
      <w:r>
        <w:rPr/>
      </w:r>
    </w:p>
    <w:tbl>
      <w:tblPr>
        <w:tblW w:w="9625" w:type="dxa"/>
        <w:jc w:val="left"/>
        <w:tblInd w:w="0" w:type="dxa"/>
        <w:tblLayout w:type="fixed"/>
        <w:tblCellMar>
          <w:top w:w="0" w:type="dxa"/>
          <w:left w:w="0" w:type="dxa"/>
          <w:bottom w:w="0" w:type="dxa"/>
          <w:right w:w="0" w:type="dxa"/>
        </w:tblCellMar>
      </w:tblPr>
      <w:tblGrid>
        <w:gridCol w:w="245"/>
        <w:gridCol w:w="9380"/>
      </w:tblGrid>
      <w:tr>
        <w:trPr/>
        <w:tc>
          <w:tcPr>
            <w:tcW w:w="245" w:type="dxa"/>
            <w:tcBorders/>
            <w:vAlign w:val="center"/>
          </w:tcPr>
          <w:p>
            <w:pPr>
              <w:pStyle w:val="TableContents"/>
              <w:bidi w:val="0"/>
              <w:spacing w:before="0" w:after="283"/>
              <w:jc w:val="left"/>
              <w:rPr/>
            </w:pPr>
            <w:r>
              <w:rPr/>
              <w:t>☒</w:t>
            </w:r>
          </w:p>
        </w:tc>
        <w:tc>
          <w:tcPr>
            <w:tcW w:w="938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QUARTERLY REPORT PURSUANT TO SECTION 13 OR 15(d) OF THE SECURITIES EXCHANGE ACT OF 1934</w:t>
            </w:r>
          </w:p>
        </w:tc>
      </w:tr>
    </w:tbl>
    <w:p>
      <w:pPr>
        <w:pStyle w:val="TextBody"/>
        <w:bidi w:val="0"/>
        <w:spacing w:before="0" w:after="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For the quarterly period ended June 30, 2026</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OR</w:t>
      </w:r>
    </w:p>
    <w:p>
      <w:pPr>
        <w:pStyle w:val="TextBody"/>
        <w:bidi w:val="0"/>
        <w:spacing w:before="0" w:after="0"/>
        <w:jc w:val="left"/>
        <w:rPr/>
      </w:pPr>
      <w:r>
        <w:rPr/>
      </w:r>
    </w:p>
    <w:tbl>
      <w:tblPr>
        <w:tblW w:w="9595" w:type="dxa"/>
        <w:jc w:val="left"/>
        <w:tblInd w:w="0" w:type="dxa"/>
        <w:tblLayout w:type="fixed"/>
        <w:tblCellMar>
          <w:top w:w="0" w:type="dxa"/>
          <w:left w:w="0" w:type="dxa"/>
          <w:bottom w:w="0" w:type="dxa"/>
          <w:right w:w="0" w:type="dxa"/>
        </w:tblCellMar>
      </w:tblPr>
      <w:tblGrid>
        <w:gridCol w:w="245"/>
        <w:gridCol w:w="9350"/>
      </w:tblGrid>
      <w:tr>
        <w:trPr/>
        <w:tc>
          <w:tcPr>
            <w:tcW w:w="245" w:type="dxa"/>
            <w:tcBorders/>
            <w:vAlign w:val="center"/>
          </w:tcPr>
          <w:p>
            <w:pPr>
              <w:pStyle w:val="TableContents"/>
              <w:bidi w:val="0"/>
              <w:spacing w:before="0" w:after="283"/>
              <w:jc w:val="left"/>
              <w:rPr/>
            </w:pPr>
            <w:r>
              <w:rPr/>
              <w:t>☐</w:t>
            </w:r>
          </w:p>
        </w:tc>
        <w:tc>
          <w:tcPr>
            <w:tcW w:w="935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TRANSITION REPORT PURSUANT TO SECTION 13 OR 15(d) OF THE SECURITIES EXCHANGE ACT OF 1934</w:t>
            </w:r>
          </w:p>
        </w:tc>
      </w:tr>
    </w:tbl>
    <w:p>
      <w:pPr>
        <w:pStyle w:val="TextBody"/>
        <w:bidi w:val="0"/>
        <w:spacing w:before="0" w:after="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For the transition period from ________to ________</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Commission file number 001-36099</w:t>
      </w:r>
    </w:p>
    <w:p>
      <w:pPr>
        <w:pStyle w:val="HorizontalLine"/>
        <w:bidi w:val="0"/>
        <w:jc w:val="left"/>
        <w:rPr/>
      </w:pPr>
      <w:r>
        <w:rPr/>
      </w:r>
    </w:p>
    <w:p>
      <w:pPr>
        <w:pStyle w:val="TextBody"/>
        <w:bidi w:val="0"/>
        <w:spacing w:before="0" w:after="0"/>
        <w:jc w:val="center"/>
        <w:rPr>
          <w:rFonts w:ascii="Times New Roman" w:hAnsi="Times New Roman"/>
          <w:b/>
          <w:color w:val="000000"/>
          <w:sz w:val="48"/>
          <w:shd w:fill="FFFFFF" w:val="clear"/>
        </w:rPr>
      </w:pPr>
      <w:r>
        <w:rPr>
          <w:rFonts w:ascii="Times New Roman" w:hAnsi="Times New Roman"/>
          <w:b/>
          <w:color w:val="000000"/>
          <w:sz w:val="48"/>
          <w:shd w:fill="FFFFFF" w:val="clear"/>
        </w:rPr>
        <w:t>CHERRY HILL MORTGAGE INVESTMENT CORPORATION</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(Exact name of registrant as specified in its charter)</w:t>
      </w:r>
    </w:p>
    <w:p>
      <w:pPr>
        <w:pStyle w:val="HorizontalLine"/>
        <w:bidi w:val="0"/>
        <w:jc w:val="center"/>
        <w:rPr/>
      </w:pPr>
      <w:r>
        <w:rPr/>
      </w:r>
    </w:p>
    <w:tbl>
      <w:tblPr>
        <w:tblW w:w="8380" w:type="dxa"/>
        <w:jc w:val="left"/>
        <w:tblInd w:w="0" w:type="dxa"/>
        <w:tblLayout w:type="fixed"/>
        <w:tblCellMar>
          <w:top w:w="0" w:type="dxa"/>
          <w:left w:w="0" w:type="dxa"/>
          <w:bottom w:w="0" w:type="dxa"/>
          <w:right w:w="0" w:type="dxa"/>
        </w:tblCellMar>
      </w:tblPr>
      <w:tblGrid>
        <w:gridCol w:w="5300"/>
        <w:gridCol w:w="60"/>
        <w:gridCol w:w="3020"/>
      </w:tblGrid>
      <w:tr>
        <w:trPr/>
        <w:tc>
          <w:tcPr>
            <w:tcW w:w="5300"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Maryland</w:t>
            </w:r>
          </w:p>
        </w:tc>
        <w:tc>
          <w:tcPr>
            <w:tcW w:w="60" w:type="dxa"/>
            <w:tcBorders/>
            <w:vAlign w:val="center"/>
          </w:tcPr>
          <w:p>
            <w:pPr>
              <w:pStyle w:val="TableContents"/>
              <w:bidi w:val="0"/>
              <w:spacing w:before="0" w:after="0"/>
              <w:jc w:val="left"/>
              <w:rPr/>
            </w:pPr>
            <w:r>
              <w:rPr/>
              <w:t> </w:t>
            </w:r>
          </w:p>
        </w:tc>
        <w:tc>
          <w:tcPr>
            <w:tcW w:w="3020"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46-1315605</w:t>
            </w:r>
          </w:p>
        </w:tc>
      </w:tr>
      <w:tr>
        <w:trPr/>
        <w:tc>
          <w:tcPr>
            <w:tcW w:w="5300"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(State or Other Jurisdiction of Incorporation or Organization)</w:t>
            </w:r>
          </w:p>
        </w:tc>
        <w:tc>
          <w:tcPr>
            <w:tcW w:w="60" w:type="dxa"/>
            <w:tcBorders/>
            <w:vAlign w:val="center"/>
          </w:tcPr>
          <w:p>
            <w:pPr>
              <w:pStyle w:val="TableContents"/>
              <w:bidi w:val="0"/>
              <w:spacing w:before="0" w:after="0"/>
              <w:jc w:val="left"/>
              <w:rPr/>
            </w:pPr>
            <w:r>
              <w:rPr/>
              <w:t> </w:t>
            </w:r>
          </w:p>
        </w:tc>
        <w:tc>
          <w:tcPr>
            <w:tcW w:w="3020"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(I.R.S. Employer Identification No.)</w:t>
            </w:r>
          </w:p>
        </w:tc>
      </w:tr>
    </w:tbl>
    <w:p>
      <w:pPr>
        <w:pStyle w:val="TextBody"/>
        <w:bidi w:val="0"/>
        <w:spacing w:before="0" w:after="0"/>
        <w:jc w:val="left"/>
        <w:rPr/>
      </w:pPr>
      <w:r>
        <w:rPr/>
      </w:r>
    </w:p>
    <w:tbl>
      <w:tblPr>
        <w:tblW w:w="4390" w:type="dxa"/>
        <w:jc w:val="left"/>
        <w:tblInd w:w="0" w:type="dxa"/>
        <w:tblLayout w:type="fixed"/>
        <w:tblCellMar>
          <w:top w:w="0" w:type="dxa"/>
          <w:left w:w="0" w:type="dxa"/>
          <w:bottom w:w="0" w:type="dxa"/>
          <w:right w:w="0" w:type="dxa"/>
        </w:tblCellMar>
      </w:tblPr>
      <w:tblGrid>
        <w:gridCol w:w="3395"/>
        <w:gridCol w:w="60"/>
        <w:gridCol w:w="935"/>
      </w:tblGrid>
      <w:tr>
        <w:trPr/>
        <w:tc>
          <w:tcPr>
            <w:tcW w:w="339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4000 Route 66, Suite 310</w:t>
            </w:r>
          </w:p>
        </w:tc>
        <w:tc>
          <w:tcPr>
            <w:tcW w:w="6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0"/>
              <w:jc w:val="left"/>
              <w:rPr/>
            </w:pPr>
            <w:r>
              <w:rPr/>
              <w:t> </w:t>
            </w:r>
          </w:p>
        </w:tc>
      </w:tr>
      <w:tr>
        <w:trPr/>
        <w:tc>
          <w:tcPr>
            <w:tcW w:w="339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Tinton Falls, New Jersey</w:t>
            </w:r>
          </w:p>
        </w:tc>
        <w:tc>
          <w:tcPr>
            <w:tcW w:w="6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07753</w:t>
            </w:r>
          </w:p>
        </w:tc>
      </w:tr>
      <w:tr>
        <w:trPr/>
        <w:tc>
          <w:tcPr>
            <w:tcW w:w="339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(Address of Principal Executive Offices)</w:t>
            </w:r>
          </w:p>
        </w:tc>
        <w:tc>
          <w:tcPr>
            <w:tcW w:w="6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(Zip Code)</w:t>
            </w:r>
          </w:p>
        </w:tc>
      </w:tr>
    </w:tbl>
    <w:p>
      <w:pPr>
        <w:pStyle w:val="TextBody"/>
        <w:bidi w:val="0"/>
        <w:spacing w:before="0" w:after="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(877) 870 – 7005</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(Registrant’s Telephone Number, Including Area Code)</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N/A</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(Former name, former address and former fiscal year, if changed since last report)</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Securities registered pursuant to Section 12(b) of the Act:</w:t>
      </w:r>
    </w:p>
    <w:p>
      <w:pPr>
        <w:pStyle w:val="TextBody"/>
        <w:bidi w:val="0"/>
        <w:spacing w:before="0" w:after="0"/>
        <w:jc w:val="left"/>
        <w:rPr/>
      </w:pPr>
      <w:r>
        <w:rPr/>
      </w:r>
    </w:p>
    <w:tbl>
      <w:tblPr>
        <w:tblW w:w="10205" w:type="dxa"/>
        <w:jc w:val="left"/>
        <w:tblInd w:w="-15" w:type="dxa"/>
        <w:tblLayout w:type="fixed"/>
        <w:tblCellMar>
          <w:top w:w="28" w:type="dxa"/>
          <w:left w:w="28" w:type="dxa"/>
          <w:bottom w:w="28" w:type="dxa"/>
          <w:right w:w="28" w:type="dxa"/>
        </w:tblCellMar>
      </w:tblPr>
      <w:tblGrid>
        <w:gridCol w:w="6203"/>
        <w:gridCol w:w="1378"/>
        <w:gridCol w:w="2624"/>
      </w:tblGrid>
      <w:tr>
        <w:trPr/>
        <w:tc>
          <w:tcPr>
            <w:tcW w:w="6203"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Title of each class</w:t>
            </w:r>
          </w:p>
        </w:tc>
        <w:tc>
          <w:tcPr>
            <w:tcW w:w="1378"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Trading Symbol(s)</w:t>
            </w:r>
          </w:p>
        </w:tc>
        <w:tc>
          <w:tcPr>
            <w:tcW w:w="2624"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Name of each exchange on which registered</w:t>
            </w:r>
          </w:p>
        </w:tc>
      </w:tr>
      <w:tr>
        <w:trPr/>
        <w:tc>
          <w:tcPr>
            <w:tcW w:w="6203"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Common Stock, $0.01 par value per share</w:t>
            </w:r>
          </w:p>
        </w:tc>
        <w:tc>
          <w:tcPr>
            <w:tcW w:w="1378"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CHMI</w:t>
            </w:r>
          </w:p>
        </w:tc>
        <w:tc>
          <w:tcPr>
            <w:tcW w:w="2624"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New York Stock Exchange</w:t>
            </w:r>
          </w:p>
        </w:tc>
      </w:tr>
      <w:tr>
        <w:trPr/>
        <w:tc>
          <w:tcPr>
            <w:tcW w:w="6203"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8.20% Series A Cumulative Redeemable Preferred Stock, $0.01 par value per share</w:t>
            </w:r>
          </w:p>
        </w:tc>
        <w:tc>
          <w:tcPr>
            <w:tcW w:w="1378"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CHMI-PRA</w:t>
            </w:r>
          </w:p>
        </w:tc>
        <w:tc>
          <w:tcPr>
            <w:tcW w:w="2624"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New York Stock Exchange</w:t>
            </w:r>
          </w:p>
        </w:tc>
      </w:tr>
      <w:tr>
        <w:trPr/>
        <w:tc>
          <w:tcPr>
            <w:tcW w:w="6203"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8.250% Series B Fixed-to-Floating Rate Cumulative Redeemable Preferred Stock, $0.01 par value per share</w:t>
            </w:r>
          </w:p>
        </w:tc>
        <w:tc>
          <w:tcPr>
            <w:tcW w:w="1378"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CHMI-PRB</w:t>
            </w:r>
          </w:p>
        </w:tc>
        <w:tc>
          <w:tcPr>
            <w:tcW w:w="2624"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New York Stock Exchange</w:t>
            </w:r>
          </w:p>
        </w:tc>
      </w:tr>
    </w:tbl>
    <w:p>
      <w:pPr>
        <w:pStyle w:val="HorizontalLine"/>
        <w:bidi w:val="0"/>
        <w:jc w:val="center"/>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jc w:val="left"/>
        <w:rPr/>
      </w:pPr>
      <w:r>
        <w:rPr/>
      </w:r>
    </w:p>
    <w:tbl>
      <w:tblPr>
        <w:tblW w:w="4940" w:type="dxa"/>
        <w:jc w:val="left"/>
        <w:tblInd w:w="0" w:type="dxa"/>
        <w:tblLayout w:type="fixed"/>
        <w:tblCellMar>
          <w:top w:w="0" w:type="dxa"/>
          <w:left w:w="0" w:type="dxa"/>
          <w:bottom w:w="0" w:type="dxa"/>
          <w:right w:w="0" w:type="dxa"/>
        </w:tblCellMar>
      </w:tblPr>
      <w:tblGrid>
        <w:gridCol w:w="2240"/>
        <w:gridCol w:w="230"/>
        <w:gridCol w:w="2225"/>
        <w:gridCol w:w="245"/>
      </w:tblGrid>
      <w:tr>
        <w:trPr/>
        <w:tc>
          <w:tcPr>
            <w:tcW w:w="22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Large accelerated filer</w:t>
            </w:r>
          </w:p>
        </w:tc>
        <w:tc>
          <w:tcPr>
            <w:tcW w:w="230" w:type="dxa"/>
            <w:tcBorders/>
            <w:vAlign w:val="center"/>
          </w:tcPr>
          <w:p>
            <w:pPr>
              <w:pStyle w:val="TableContents"/>
              <w:bidi w:val="0"/>
              <w:spacing w:before="0" w:after="0"/>
              <w:jc w:val="left"/>
              <w:rPr/>
            </w:pPr>
            <w:r>
              <w:rPr/>
              <w:t>☐</w:t>
            </w:r>
          </w:p>
        </w:tc>
        <w:tc>
          <w:tcPr>
            <w:tcW w:w="222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Accelerated filer</w:t>
            </w:r>
          </w:p>
        </w:tc>
        <w:tc>
          <w:tcPr>
            <w:tcW w:w="245" w:type="dxa"/>
            <w:tcBorders/>
            <w:vAlign w:val="center"/>
          </w:tcPr>
          <w:p>
            <w:pPr>
              <w:pStyle w:val="TableContents"/>
              <w:bidi w:val="0"/>
              <w:spacing w:before="0" w:after="0"/>
              <w:jc w:val="left"/>
              <w:rPr/>
            </w:pPr>
            <w:r>
              <w:rPr/>
              <w:t>☒</w:t>
            </w:r>
          </w:p>
        </w:tc>
      </w:tr>
      <w:tr>
        <w:trPr/>
        <w:tc>
          <w:tcPr>
            <w:tcW w:w="224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0"/>
              <w:jc w:val="left"/>
              <w:rPr/>
            </w:pPr>
            <w:r>
              <w:rPr/>
              <w:t> </w:t>
            </w:r>
          </w:p>
        </w:tc>
        <w:tc>
          <w:tcPr>
            <w:tcW w:w="2225"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r>
      <w:tr>
        <w:trPr/>
        <w:tc>
          <w:tcPr>
            <w:tcW w:w="22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Non-accelerated filer</w:t>
            </w:r>
          </w:p>
        </w:tc>
        <w:tc>
          <w:tcPr>
            <w:tcW w:w="230" w:type="dxa"/>
            <w:tcBorders/>
            <w:vAlign w:val="center"/>
          </w:tcPr>
          <w:p>
            <w:pPr>
              <w:pStyle w:val="TableContents"/>
              <w:bidi w:val="0"/>
              <w:spacing w:before="0" w:after="0"/>
              <w:jc w:val="left"/>
              <w:rPr/>
            </w:pPr>
            <w:r>
              <w:rPr/>
              <w:t>☐</w:t>
            </w:r>
          </w:p>
        </w:tc>
        <w:tc>
          <w:tcPr>
            <w:tcW w:w="22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Smaller reporting company</w:t>
            </w:r>
          </w:p>
        </w:tc>
        <w:tc>
          <w:tcPr>
            <w:tcW w:w="245" w:type="dxa"/>
            <w:tcBorders/>
            <w:vAlign w:val="center"/>
          </w:tcPr>
          <w:p>
            <w:pPr>
              <w:pStyle w:val="TableContents"/>
              <w:bidi w:val="0"/>
              <w:spacing w:before="0" w:after="0"/>
              <w:jc w:val="left"/>
              <w:rPr/>
            </w:pPr>
            <w:r>
              <w:rPr/>
              <w:t>☒</w:t>
            </w:r>
          </w:p>
        </w:tc>
      </w:tr>
      <w:tr>
        <w:trPr/>
        <w:tc>
          <w:tcPr>
            <w:tcW w:w="224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0"/>
              <w:jc w:val="left"/>
              <w:rPr/>
            </w:pPr>
            <w:r>
              <w:rPr/>
              <w:t> </w:t>
            </w:r>
          </w:p>
        </w:tc>
        <w:tc>
          <w:tcPr>
            <w:tcW w:w="2225"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r>
      <w:tr>
        <w:trPr/>
        <w:tc>
          <w:tcPr>
            <w:tcW w:w="22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Emerging growth company</w:t>
            </w:r>
          </w:p>
        </w:tc>
        <w:tc>
          <w:tcPr>
            <w:tcW w:w="230" w:type="dxa"/>
            <w:tcBorders/>
            <w:vAlign w:val="center"/>
          </w:tcPr>
          <w:p>
            <w:pPr>
              <w:pStyle w:val="TableContents"/>
              <w:bidi w:val="0"/>
              <w:spacing w:before="0" w:after="0"/>
              <w:jc w:val="left"/>
              <w:rPr/>
            </w:pPr>
            <w:r>
              <w:rPr/>
              <w:t>☐</w:t>
            </w:r>
          </w:p>
        </w:tc>
        <w:tc>
          <w:tcPr>
            <w:tcW w:w="2225"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r>
    </w:tbl>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is a shell company (as defined in Rule 12b-2 of the Exchange Act).   Yes  ☐  No  ☒</w:t>
      </w:r>
    </w:p>
    <w:p>
      <w:pPr>
        <w:pStyle w:val="TextBody"/>
        <w:bidi w:val="0"/>
        <w:spacing w:before="0" w:after="0"/>
        <w:ind w:left="0" w:right="0" w:firstLine="720"/>
        <w:jc w:val="left"/>
        <w:rPr>
          <w:rFonts w:ascii="Times New Roman" w:hAnsi="Times New Roman"/>
          <w:sz w:val="20"/>
        </w:rPr>
      </w:pPr>
      <w:r>
        <w:rPr>
          <w:rFonts w:ascii="Times New Roman" w:hAnsi="Times New Roman"/>
          <w:sz w:val="20"/>
        </w:rPr>
      </w:r>
    </w:p>
    <w:p>
      <w:pPr>
        <w:pStyle w:val="TextBody"/>
        <w:bidi w:val="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Indicate by check mark whether any of those error corrections are restatements that required a recovery analysis of incentive-based compensation received by any of the registrant’s executive officers during the relevant recovery period pursuant to § 240.10D-1(b). ☐</w:t>
      </w:r>
    </w:p>
    <w:p>
      <w:pPr>
        <w:pStyle w:val="TextBody"/>
        <w:bidi w:val="0"/>
        <w:spacing w:before="0" w:after="0"/>
        <w:ind w:left="0" w:right="0" w:firstLine="72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As of August 10, 2026, there were 36,947,394 outstanding shares of common stock, $0.01 par value per share, of Cherry Hill Mortgage Investment Corporation.</w:t>
      </w:r>
    </w:p>
    <w:p>
      <w:pPr>
        <w:pStyle w:val="TextBody"/>
        <w:bidi w:val="0"/>
        <w:spacing w:before="0" w:after="0"/>
        <w:jc w:val="left"/>
        <w:rPr/>
      </w:pPr>
      <w:r>
        <w:rPr/>
      </w:r>
    </w:p>
    <w:p>
      <w:pPr>
        <w:pStyle w:val="HorizontalLine"/>
        <w:bidi w:val="0"/>
        <w:jc w:val="left"/>
        <w:rPr/>
      </w:pPr>
      <w:r>
        <w:rPr/>
      </w:r>
    </w:p>
    <w:p>
      <w:pPr>
        <w:pStyle w:val="HorizontalLine"/>
        <w:bidi w:val="0"/>
        <w:spacing w:before="200" w:after="20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CHERRY HILL MORTGAGE INVESTMENT CORPORATION</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TABLE OF CONTENTS</w:t>
      </w:r>
      <w:bookmarkStart w:id="0" w:name="TABLEOFCONTENTS"/>
      <w:bookmarkEnd w:id="0"/>
    </w:p>
    <w:p>
      <w:pPr>
        <w:pStyle w:val="TextBody"/>
        <w:bidi w:val="0"/>
        <w:spacing w:before="0" w:after="0"/>
        <w:jc w:val="left"/>
        <w:rPr/>
      </w:pPr>
      <w:r>
        <w:rPr/>
      </w:r>
    </w:p>
    <w:tbl>
      <w:tblPr>
        <w:tblW w:w="9930" w:type="dxa"/>
        <w:jc w:val="left"/>
        <w:tblInd w:w="0" w:type="dxa"/>
        <w:tblLayout w:type="fixed"/>
        <w:tblCellMar>
          <w:top w:w="0" w:type="dxa"/>
          <w:left w:w="0" w:type="dxa"/>
          <w:bottom w:w="0" w:type="dxa"/>
          <w:right w:w="0" w:type="dxa"/>
        </w:tblCellMar>
      </w:tblPr>
      <w:tblGrid>
        <w:gridCol w:w="920"/>
        <w:gridCol w:w="8495"/>
        <w:gridCol w:w="515"/>
      </w:tblGrid>
      <w:tr>
        <w:trPr/>
        <w:tc>
          <w:tcPr>
            <w:tcW w:w="920" w:type="dxa"/>
            <w:tcBorders/>
            <w:vAlign w:val="center"/>
          </w:tcPr>
          <w:p>
            <w:pPr>
              <w:pStyle w:val="TableContents"/>
              <w:bidi w:val="0"/>
              <w:spacing w:before="0" w:after="283"/>
              <w:jc w:val="left"/>
              <w:rPr/>
            </w:pPr>
            <w:r>
              <w:rPr/>
              <w:t> </w:t>
            </w:r>
          </w:p>
        </w:tc>
        <w:tc>
          <w:tcPr>
            <w:tcW w:w="8495" w:type="dxa"/>
            <w:tcBorders/>
            <w:vAlign w:val="center"/>
          </w:tcPr>
          <w:p>
            <w:pPr>
              <w:pStyle w:val="TableContents"/>
              <w:bidi w:val="0"/>
              <w:spacing w:before="0" w:after="283"/>
              <w:jc w:val="left"/>
              <w:rPr/>
            </w:pPr>
            <w:r>
              <w:rPr/>
              <w:t> </w:t>
            </w:r>
          </w:p>
        </w:tc>
        <w:tc>
          <w:tcPr>
            <w:tcW w:w="515" w:type="dxa"/>
            <w:tcBorders>
              <w:bottom w:val="single" w:sz="12" w:space="0" w:color="000000"/>
            </w:tcBorders>
            <w:tcMar>
              <w:bottom w:w="28" w:type="dxa"/>
            </w:tcMar>
            <w:vAlign w:val="center"/>
          </w:tcPr>
          <w:p>
            <w:pPr>
              <w:pStyle w:val="TableContents"/>
              <w:bidi w:val="0"/>
              <w:spacing w:before="0" w:after="0"/>
              <w:jc w:val="center"/>
              <w:rPr>
                <w:b/>
                <w:color w:val="000000"/>
              </w:rPr>
            </w:pPr>
            <w:r>
              <w:rPr>
                <w:b/>
                <w:color w:val="000000"/>
              </w:rPr>
              <w:t>Page</w:t>
            </w:r>
          </w:p>
        </w:tc>
      </w:tr>
      <w:tr>
        <w:trPr/>
        <w:tc>
          <w:tcPr>
            <w:tcW w:w="9415" w:type="dxa"/>
            <w:gridSpan w:val="2"/>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left"/>
              <w:rPr/>
            </w:pPr>
            <w:r>
              <w:rPr/>
              <w:t> </w:t>
            </w:r>
          </w:p>
        </w:tc>
      </w:tr>
      <w:tr>
        <w:trPr/>
        <w:tc>
          <w:tcPr>
            <w:tcW w:w="9415" w:type="dxa"/>
            <w:gridSpan w:val="2"/>
            <w:tcBorders/>
            <w:shd w:fill="CCEEFF" w:val="clear"/>
            <w:vAlign w:val="center"/>
          </w:tcPr>
          <w:p>
            <w:pPr>
              <w:pStyle w:val="TableContents"/>
              <w:bidi w:val="0"/>
              <w:spacing w:before="0" w:after="0"/>
              <w:jc w:val="left"/>
              <w:rPr/>
            </w:pPr>
            <w:hyperlink w:anchor="FORWARD-LOOKINGINFORMATIO">
              <w:r>
                <w:rPr>
                  <w:rStyle w:val="InternetLink"/>
                  <w:rFonts w:ascii="Times New Roman" w:hAnsi="Times New Roman"/>
                  <w:b/>
                  <w:color w:val="000000"/>
                  <w:sz w:val="20"/>
                </w:rPr>
                <w:t>CAUTIONARY STATEMENT CONCERNING FORWARD-LOOKING INFORMATION</w:t>
              </w:r>
            </w:hyperlink>
          </w:p>
        </w:tc>
        <w:tc>
          <w:tcPr>
            <w:tcW w:w="515" w:type="dxa"/>
            <w:tcBorders/>
            <w:shd w:fill="CCEEFF" w:val="clear"/>
            <w:vAlign w:val="center"/>
          </w:tcPr>
          <w:p>
            <w:pPr>
              <w:pStyle w:val="TableContents"/>
              <w:bidi w:val="0"/>
              <w:spacing w:before="0" w:after="0"/>
              <w:jc w:val="right"/>
              <w:rPr>
                <w:color w:val="000000"/>
              </w:rPr>
            </w:pPr>
            <w:r>
              <w:rPr>
                <w:color w:val="000000"/>
              </w:rPr>
              <w:t>3</w:t>
            </w:r>
          </w:p>
        </w:tc>
      </w:tr>
      <w:tr>
        <w:trPr/>
        <w:tc>
          <w:tcPr>
            <w:tcW w:w="920" w:type="dxa"/>
            <w:tcBorders/>
            <w:vAlign w:val="center"/>
          </w:tcPr>
          <w:p>
            <w:pPr>
              <w:pStyle w:val="TableContents"/>
              <w:bidi w:val="0"/>
              <w:spacing w:before="0" w:after="283"/>
              <w:jc w:val="left"/>
              <w:rPr/>
            </w:pPr>
            <w:r>
              <w:rPr/>
              <w:t> </w:t>
            </w:r>
          </w:p>
        </w:tc>
        <w:tc>
          <w:tcPr>
            <w:tcW w:w="849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left"/>
              <w:rPr/>
            </w:pPr>
            <w:r>
              <w:rPr/>
              <w:t> </w:t>
            </w:r>
          </w:p>
        </w:tc>
      </w:tr>
      <w:tr>
        <w:trPr/>
        <w:tc>
          <w:tcPr>
            <w:tcW w:w="920" w:type="dxa"/>
            <w:tcBorders/>
            <w:shd w:fill="CCEEFF" w:val="clear"/>
            <w:vAlign w:val="center"/>
          </w:tcPr>
          <w:p>
            <w:pPr>
              <w:pStyle w:val="TableContents"/>
              <w:bidi w:val="0"/>
              <w:spacing w:before="0" w:after="0"/>
              <w:jc w:val="left"/>
              <w:rPr>
                <w:color w:val="000000"/>
              </w:rPr>
            </w:pPr>
            <w:r>
              <w:rPr>
                <w:color w:val="000000"/>
              </w:rPr>
              <w:t>PART I.</w:t>
            </w:r>
          </w:p>
        </w:tc>
        <w:tc>
          <w:tcPr>
            <w:tcW w:w="8495" w:type="dxa"/>
            <w:tcBorders/>
            <w:shd w:fill="CCEEFF" w:val="clear"/>
            <w:vAlign w:val="center"/>
          </w:tcPr>
          <w:p>
            <w:pPr>
              <w:pStyle w:val="TableContents"/>
              <w:bidi w:val="0"/>
              <w:spacing w:before="0" w:after="0"/>
              <w:jc w:val="left"/>
              <w:rPr/>
            </w:pPr>
            <w:hyperlink w:anchor="FINANCIALINFORMATION">
              <w:r>
                <w:rPr>
                  <w:rStyle w:val="InternetLink"/>
                  <w:color w:val="000000"/>
                </w:rPr>
                <w:t>FINANCIAL INFORMATION</w:t>
              </w:r>
            </w:hyperlink>
          </w:p>
        </w:tc>
        <w:tc>
          <w:tcPr>
            <w:tcW w:w="515" w:type="dxa"/>
            <w:tcBorders/>
            <w:shd w:fill="CCEEFF" w:val="clear"/>
            <w:vAlign w:val="center"/>
          </w:tcPr>
          <w:p>
            <w:pPr>
              <w:pStyle w:val="TableContents"/>
              <w:bidi w:val="0"/>
              <w:spacing w:before="0" w:after="0"/>
              <w:jc w:val="right"/>
              <w:rPr>
                <w:color w:val="000000"/>
              </w:rPr>
            </w:pPr>
            <w:r>
              <w:rPr>
                <w:color w:val="000000"/>
              </w:rPr>
              <w:t>5</w:t>
            </w:r>
          </w:p>
        </w:tc>
      </w:tr>
      <w:tr>
        <w:trPr/>
        <w:tc>
          <w:tcPr>
            <w:tcW w:w="920" w:type="dxa"/>
            <w:tcBorders/>
            <w:vAlign w:val="center"/>
          </w:tcPr>
          <w:p>
            <w:pPr>
              <w:pStyle w:val="TableContents"/>
              <w:bidi w:val="0"/>
              <w:spacing w:before="0" w:after="283"/>
              <w:jc w:val="left"/>
              <w:rPr/>
            </w:pPr>
            <w:r>
              <w:rPr/>
              <w:t> </w:t>
            </w:r>
          </w:p>
        </w:tc>
        <w:tc>
          <w:tcPr>
            <w:tcW w:w="849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left"/>
              <w:rPr/>
            </w:pPr>
            <w:r>
              <w:rPr/>
              <w:t> </w:t>
            </w:r>
          </w:p>
        </w:tc>
      </w:tr>
      <w:tr>
        <w:trPr/>
        <w:tc>
          <w:tcPr>
            <w:tcW w:w="920" w:type="dxa"/>
            <w:tcBorders/>
            <w:shd w:fill="CCEEFF" w:val="clear"/>
            <w:vAlign w:val="center"/>
          </w:tcPr>
          <w:p>
            <w:pPr>
              <w:pStyle w:val="TableContents"/>
              <w:bidi w:val="0"/>
              <w:spacing w:before="0" w:after="0"/>
              <w:jc w:val="left"/>
              <w:rPr>
                <w:color w:val="000000"/>
              </w:rPr>
            </w:pPr>
            <w:r>
              <w:rPr>
                <w:color w:val="000000"/>
              </w:rPr>
              <w:t>Item 1.</w:t>
            </w:r>
          </w:p>
        </w:tc>
        <w:tc>
          <w:tcPr>
            <w:tcW w:w="8495" w:type="dxa"/>
            <w:tcBorders/>
            <w:shd w:fill="CCEEFF" w:val="clear"/>
            <w:vAlign w:val="center"/>
          </w:tcPr>
          <w:p>
            <w:pPr>
              <w:pStyle w:val="TableContents"/>
              <w:bidi w:val="0"/>
              <w:spacing w:before="0" w:after="0"/>
              <w:jc w:val="left"/>
              <w:rPr/>
            </w:pPr>
            <w:hyperlink w:anchor="ConsolidatedFinancialStat">
              <w:r>
                <w:rPr>
                  <w:rStyle w:val="InternetLink"/>
                  <w:color w:val="000000"/>
                </w:rPr>
                <w:t>Consolidated Financial Statements</w:t>
              </w:r>
            </w:hyperlink>
          </w:p>
        </w:tc>
        <w:tc>
          <w:tcPr>
            <w:tcW w:w="515" w:type="dxa"/>
            <w:tcBorders/>
            <w:shd w:fill="CCEEFF" w:val="clear"/>
            <w:vAlign w:val="center"/>
          </w:tcPr>
          <w:p>
            <w:pPr>
              <w:pStyle w:val="TableContents"/>
              <w:bidi w:val="0"/>
              <w:spacing w:before="0" w:after="0"/>
              <w:jc w:val="right"/>
              <w:rPr>
                <w:color w:val="000000"/>
              </w:rPr>
            </w:pPr>
            <w:r>
              <w:rPr>
                <w:color w:val="000000"/>
              </w:rPr>
              <w:t>5</w:t>
            </w:r>
          </w:p>
        </w:tc>
      </w:tr>
      <w:tr>
        <w:trPr/>
        <w:tc>
          <w:tcPr>
            <w:tcW w:w="920" w:type="dxa"/>
            <w:tcBorders/>
            <w:vAlign w:val="center"/>
          </w:tcPr>
          <w:p>
            <w:pPr>
              <w:pStyle w:val="TableContents"/>
              <w:bidi w:val="0"/>
              <w:spacing w:before="0" w:after="283"/>
              <w:jc w:val="left"/>
              <w:rPr/>
            </w:pPr>
            <w:r>
              <w:rPr/>
              <w:t> </w:t>
            </w:r>
          </w:p>
        </w:tc>
        <w:tc>
          <w:tcPr>
            <w:tcW w:w="849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left"/>
              <w:rPr/>
            </w:pPr>
            <w:r>
              <w:rPr/>
              <w:t> </w:t>
            </w:r>
          </w:p>
        </w:tc>
      </w:tr>
      <w:tr>
        <w:trPr/>
        <w:tc>
          <w:tcPr>
            <w:tcW w:w="920" w:type="dxa"/>
            <w:tcBorders/>
            <w:shd w:fill="CCEEFF" w:val="clear"/>
            <w:vAlign w:val="center"/>
          </w:tcPr>
          <w:p>
            <w:pPr>
              <w:pStyle w:val="TableContents"/>
              <w:bidi w:val="0"/>
              <w:spacing w:before="0" w:after="283"/>
              <w:jc w:val="left"/>
              <w:rPr/>
            </w:pPr>
            <w:r>
              <w:rPr/>
              <w:t> </w:t>
            </w:r>
          </w:p>
        </w:tc>
        <w:tc>
          <w:tcPr>
            <w:tcW w:w="8495" w:type="dxa"/>
            <w:tcBorders/>
            <w:shd w:fill="CCEEFF" w:val="clear"/>
            <w:vAlign w:val="center"/>
          </w:tcPr>
          <w:p>
            <w:pPr>
              <w:pStyle w:val="TableContents"/>
              <w:bidi w:val="0"/>
              <w:spacing w:before="0" w:after="0"/>
              <w:jc w:val="left"/>
              <w:rPr/>
            </w:pPr>
            <w:hyperlink w:anchor="ConsolidatedBalanceSheets">
              <w:r>
                <w:rPr>
                  <w:rStyle w:val="InternetLink"/>
                  <w:color w:val="000000"/>
                </w:rPr>
                <w:t>Consolidated Balance Sheets</w:t>
              </w:r>
            </w:hyperlink>
          </w:p>
        </w:tc>
        <w:tc>
          <w:tcPr>
            <w:tcW w:w="515" w:type="dxa"/>
            <w:tcBorders/>
            <w:shd w:fill="CCEEFF" w:val="clear"/>
            <w:vAlign w:val="center"/>
          </w:tcPr>
          <w:p>
            <w:pPr>
              <w:pStyle w:val="TableContents"/>
              <w:bidi w:val="0"/>
              <w:spacing w:before="0" w:after="283"/>
              <w:jc w:val="right"/>
              <w:rPr/>
            </w:pPr>
            <w:r>
              <w:rPr/>
              <w:t>5</w:t>
            </w:r>
          </w:p>
        </w:tc>
      </w:tr>
      <w:tr>
        <w:trPr/>
        <w:tc>
          <w:tcPr>
            <w:tcW w:w="920" w:type="dxa"/>
            <w:tcBorders/>
            <w:vAlign w:val="center"/>
          </w:tcPr>
          <w:p>
            <w:pPr>
              <w:pStyle w:val="TableContents"/>
              <w:bidi w:val="0"/>
              <w:spacing w:before="0" w:after="283"/>
              <w:jc w:val="left"/>
              <w:rPr/>
            </w:pPr>
            <w:r>
              <w:rPr/>
              <w:t> </w:t>
            </w:r>
          </w:p>
        </w:tc>
        <w:tc>
          <w:tcPr>
            <w:tcW w:w="849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left"/>
              <w:rPr/>
            </w:pPr>
            <w:r>
              <w:rPr/>
              <w:t> </w:t>
            </w:r>
          </w:p>
        </w:tc>
      </w:tr>
      <w:tr>
        <w:trPr/>
        <w:tc>
          <w:tcPr>
            <w:tcW w:w="920" w:type="dxa"/>
            <w:tcBorders/>
            <w:shd w:fill="CCEEFF" w:val="clear"/>
            <w:vAlign w:val="center"/>
          </w:tcPr>
          <w:p>
            <w:pPr>
              <w:pStyle w:val="TableContents"/>
              <w:bidi w:val="0"/>
              <w:spacing w:before="0" w:after="283"/>
              <w:jc w:val="left"/>
              <w:rPr/>
            </w:pPr>
            <w:r>
              <w:rPr/>
              <w:t> </w:t>
            </w:r>
          </w:p>
        </w:tc>
        <w:tc>
          <w:tcPr>
            <w:tcW w:w="8495" w:type="dxa"/>
            <w:tcBorders/>
            <w:shd w:fill="CCEEFF" w:val="clear"/>
            <w:vAlign w:val="center"/>
          </w:tcPr>
          <w:p>
            <w:pPr>
              <w:pStyle w:val="TableContents"/>
              <w:bidi w:val="0"/>
              <w:spacing w:before="0" w:after="0"/>
              <w:jc w:val="left"/>
              <w:rPr/>
            </w:pPr>
            <w:hyperlink w:anchor="Loss">
              <w:r>
                <w:rPr>
                  <w:rStyle w:val="InternetLink"/>
                  <w:color w:val="000000"/>
                </w:rPr>
                <w:t>Consolidated Statements of Income (Loss)</w:t>
              </w:r>
            </w:hyperlink>
          </w:p>
        </w:tc>
        <w:tc>
          <w:tcPr>
            <w:tcW w:w="515" w:type="dxa"/>
            <w:tcBorders/>
            <w:shd w:fill="CCEEFF" w:val="clear"/>
            <w:vAlign w:val="center"/>
          </w:tcPr>
          <w:p>
            <w:pPr>
              <w:pStyle w:val="TableContents"/>
              <w:bidi w:val="0"/>
              <w:spacing w:before="0" w:after="283"/>
              <w:jc w:val="right"/>
              <w:rPr/>
            </w:pPr>
            <w:r>
              <w:rPr/>
              <w:t>6</w:t>
            </w:r>
          </w:p>
        </w:tc>
      </w:tr>
      <w:tr>
        <w:trPr/>
        <w:tc>
          <w:tcPr>
            <w:tcW w:w="920" w:type="dxa"/>
            <w:tcBorders/>
            <w:vAlign w:val="center"/>
          </w:tcPr>
          <w:p>
            <w:pPr>
              <w:pStyle w:val="TableContents"/>
              <w:bidi w:val="0"/>
              <w:spacing w:before="0" w:after="283"/>
              <w:jc w:val="left"/>
              <w:rPr/>
            </w:pPr>
            <w:r>
              <w:rPr/>
              <w:t> </w:t>
            </w:r>
          </w:p>
        </w:tc>
        <w:tc>
          <w:tcPr>
            <w:tcW w:w="849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left"/>
              <w:rPr/>
            </w:pPr>
            <w:r>
              <w:rPr/>
              <w:t> </w:t>
            </w:r>
          </w:p>
        </w:tc>
      </w:tr>
      <w:tr>
        <w:trPr/>
        <w:tc>
          <w:tcPr>
            <w:tcW w:w="920" w:type="dxa"/>
            <w:tcBorders/>
            <w:shd w:fill="CCEEFF" w:val="clear"/>
            <w:vAlign w:val="center"/>
          </w:tcPr>
          <w:p>
            <w:pPr>
              <w:pStyle w:val="TableContents"/>
              <w:bidi w:val="0"/>
              <w:spacing w:before="0" w:after="283"/>
              <w:jc w:val="left"/>
              <w:rPr/>
            </w:pPr>
            <w:r>
              <w:rPr/>
              <w:t> </w:t>
            </w:r>
          </w:p>
        </w:tc>
        <w:tc>
          <w:tcPr>
            <w:tcW w:w="8495" w:type="dxa"/>
            <w:tcBorders/>
            <w:shd w:fill="CCEEFF" w:val="clear"/>
            <w:vAlign w:val="center"/>
          </w:tcPr>
          <w:p>
            <w:pPr>
              <w:pStyle w:val="TableContents"/>
              <w:bidi w:val="0"/>
              <w:spacing w:before="0" w:after="0"/>
              <w:jc w:val="left"/>
              <w:rPr/>
            </w:pPr>
            <w:hyperlink w:anchor="IncomeL">
              <w:r>
                <w:rPr>
                  <w:rStyle w:val="InternetLink"/>
                  <w:color w:val="000000"/>
                </w:rPr>
                <w:t>Consolidated Statements of Comprehensive Income (Loss)</w:t>
              </w:r>
            </w:hyperlink>
          </w:p>
        </w:tc>
        <w:tc>
          <w:tcPr>
            <w:tcW w:w="515" w:type="dxa"/>
            <w:tcBorders/>
            <w:shd w:fill="CCEEFF" w:val="clear"/>
            <w:vAlign w:val="center"/>
          </w:tcPr>
          <w:p>
            <w:pPr>
              <w:pStyle w:val="TableContents"/>
              <w:bidi w:val="0"/>
              <w:spacing w:before="0" w:after="283"/>
              <w:jc w:val="right"/>
              <w:rPr/>
            </w:pPr>
            <w:r>
              <w:rPr/>
              <w:t>7</w:t>
            </w:r>
          </w:p>
        </w:tc>
      </w:tr>
      <w:tr>
        <w:trPr/>
        <w:tc>
          <w:tcPr>
            <w:tcW w:w="920" w:type="dxa"/>
            <w:tcBorders/>
            <w:vAlign w:val="center"/>
          </w:tcPr>
          <w:p>
            <w:pPr>
              <w:pStyle w:val="TableContents"/>
              <w:bidi w:val="0"/>
              <w:spacing w:before="0" w:after="283"/>
              <w:jc w:val="left"/>
              <w:rPr/>
            </w:pPr>
            <w:r>
              <w:rPr/>
              <w:t> </w:t>
            </w:r>
          </w:p>
        </w:tc>
        <w:tc>
          <w:tcPr>
            <w:tcW w:w="849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left"/>
              <w:rPr/>
            </w:pPr>
            <w:r>
              <w:rPr/>
              <w:t> </w:t>
            </w:r>
          </w:p>
        </w:tc>
      </w:tr>
      <w:tr>
        <w:trPr/>
        <w:tc>
          <w:tcPr>
            <w:tcW w:w="920" w:type="dxa"/>
            <w:tcBorders/>
            <w:shd w:fill="CCEEFF" w:val="clear"/>
            <w:vAlign w:val="center"/>
          </w:tcPr>
          <w:p>
            <w:pPr>
              <w:pStyle w:val="TableContents"/>
              <w:bidi w:val="0"/>
              <w:spacing w:before="0" w:after="283"/>
              <w:jc w:val="left"/>
              <w:rPr/>
            </w:pPr>
            <w:r>
              <w:rPr/>
              <w:t> </w:t>
            </w:r>
          </w:p>
        </w:tc>
        <w:tc>
          <w:tcPr>
            <w:tcW w:w="8495" w:type="dxa"/>
            <w:tcBorders/>
            <w:shd w:fill="CCEEFF" w:val="clear"/>
            <w:vAlign w:val="center"/>
          </w:tcPr>
          <w:p>
            <w:pPr>
              <w:pStyle w:val="TableContents"/>
              <w:bidi w:val="0"/>
              <w:spacing w:before="0" w:after="0"/>
              <w:jc w:val="left"/>
              <w:rPr/>
            </w:pPr>
            <w:hyperlink w:anchor="Equity">
              <w:r>
                <w:rPr>
                  <w:rStyle w:val="InternetLink"/>
                  <w:color w:val="000000"/>
                </w:rPr>
                <w:t>Consolidated Statements of Changes in Stockholders’ Equity</w:t>
              </w:r>
            </w:hyperlink>
          </w:p>
        </w:tc>
        <w:tc>
          <w:tcPr>
            <w:tcW w:w="515" w:type="dxa"/>
            <w:tcBorders/>
            <w:shd w:fill="CCEEFF" w:val="clear"/>
            <w:vAlign w:val="center"/>
          </w:tcPr>
          <w:p>
            <w:pPr>
              <w:pStyle w:val="TableContents"/>
              <w:bidi w:val="0"/>
              <w:spacing w:before="0" w:after="283"/>
              <w:jc w:val="right"/>
              <w:rPr/>
            </w:pPr>
            <w:r>
              <w:rPr/>
              <w:t>8</w:t>
            </w:r>
          </w:p>
        </w:tc>
      </w:tr>
      <w:tr>
        <w:trPr/>
        <w:tc>
          <w:tcPr>
            <w:tcW w:w="920" w:type="dxa"/>
            <w:tcBorders/>
            <w:vAlign w:val="center"/>
          </w:tcPr>
          <w:p>
            <w:pPr>
              <w:pStyle w:val="TableContents"/>
              <w:bidi w:val="0"/>
              <w:spacing w:before="0" w:after="283"/>
              <w:jc w:val="left"/>
              <w:rPr/>
            </w:pPr>
            <w:r>
              <w:rPr/>
              <w:t> </w:t>
            </w:r>
          </w:p>
        </w:tc>
        <w:tc>
          <w:tcPr>
            <w:tcW w:w="849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left"/>
              <w:rPr/>
            </w:pPr>
            <w:r>
              <w:rPr/>
              <w:t> </w:t>
            </w:r>
          </w:p>
        </w:tc>
      </w:tr>
      <w:tr>
        <w:trPr/>
        <w:tc>
          <w:tcPr>
            <w:tcW w:w="920" w:type="dxa"/>
            <w:tcBorders/>
            <w:shd w:fill="CCEEFF" w:val="clear"/>
            <w:vAlign w:val="center"/>
          </w:tcPr>
          <w:p>
            <w:pPr>
              <w:pStyle w:val="TableContents"/>
              <w:bidi w:val="0"/>
              <w:spacing w:before="0" w:after="283"/>
              <w:jc w:val="left"/>
              <w:rPr/>
            </w:pPr>
            <w:r>
              <w:rPr/>
              <w:t> </w:t>
            </w:r>
          </w:p>
        </w:tc>
        <w:tc>
          <w:tcPr>
            <w:tcW w:w="8495" w:type="dxa"/>
            <w:tcBorders/>
            <w:shd w:fill="CCEEFF" w:val="clear"/>
            <w:vAlign w:val="center"/>
          </w:tcPr>
          <w:p>
            <w:pPr>
              <w:pStyle w:val="TableContents"/>
              <w:bidi w:val="0"/>
              <w:spacing w:before="0" w:after="0"/>
              <w:jc w:val="left"/>
              <w:rPr/>
            </w:pPr>
            <w:hyperlink w:anchor="StatementsofCashFlows">
              <w:r>
                <w:rPr>
                  <w:rStyle w:val="InternetLink"/>
                  <w:color w:val="000000"/>
                </w:rPr>
                <w:t>Consolidated Statements of Cash Flows</w:t>
              </w:r>
            </w:hyperlink>
          </w:p>
        </w:tc>
        <w:tc>
          <w:tcPr>
            <w:tcW w:w="515" w:type="dxa"/>
            <w:tcBorders/>
            <w:shd w:fill="CCEEFF" w:val="clear"/>
            <w:vAlign w:val="center"/>
          </w:tcPr>
          <w:p>
            <w:pPr>
              <w:pStyle w:val="TableContents"/>
              <w:bidi w:val="0"/>
              <w:spacing w:before="0" w:after="283"/>
              <w:jc w:val="right"/>
              <w:rPr/>
            </w:pPr>
            <w:r>
              <w:rPr/>
              <w:t>9</w:t>
            </w:r>
          </w:p>
        </w:tc>
      </w:tr>
      <w:tr>
        <w:trPr/>
        <w:tc>
          <w:tcPr>
            <w:tcW w:w="920" w:type="dxa"/>
            <w:tcBorders/>
            <w:vAlign w:val="center"/>
          </w:tcPr>
          <w:p>
            <w:pPr>
              <w:pStyle w:val="TableContents"/>
              <w:bidi w:val="0"/>
              <w:spacing w:before="0" w:after="283"/>
              <w:jc w:val="left"/>
              <w:rPr/>
            </w:pPr>
            <w:r>
              <w:rPr/>
              <w:t> </w:t>
            </w:r>
          </w:p>
        </w:tc>
        <w:tc>
          <w:tcPr>
            <w:tcW w:w="849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left"/>
              <w:rPr/>
            </w:pPr>
            <w:r>
              <w:rPr/>
              <w:t> </w:t>
            </w:r>
          </w:p>
        </w:tc>
      </w:tr>
      <w:tr>
        <w:trPr/>
        <w:tc>
          <w:tcPr>
            <w:tcW w:w="920" w:type="dxa"/>
            <w:tcBorders/>
            <w:shd w:fill="CCEEFF" w:val="clear"/>
            <w:vAlign w:val="center"/>
          </w:tcPr>
          <w:p>
            <w:pPr>
              <w:pStyle w:val="TableContents"/>
              <w:bidi w:val="0"/>
              <w:spacing w:before="0" w:after="283"/>
              <w:jc w:val="left"/>
              <w:rPr/>
            </w:pPr>
            <w:r>
              <w:rPr/>
              <w:t> </w:t>
            </w:r>
          </w:p>
        </w:tc>
        <w:tc>
          <w:tcPr>
            <w:tcW w:w="8495" w:type="dxa"/>
            <w:tcBorders/>
            <w:shd w:fill="CCEEFF" w:val="clear"/>
            <w:vAlign w:val="center"/>
          </w:tcPr>
          <w:p>
            <w:pPr>
              <w:pStyle w:val="TableContents"/>
              <w:bidi w:val="0"/>
              <w:spacing w:before="0" w:after="0"/>
              <w:jc w:val="left"/>
              <w:rPr/>
            </w:pPr>
            <w:hyperlink w:anchor="FinancialStatements">
              <w:r>
                <w:rPr>
                  <w:rStyle w:val="InternetLink"/>
                  <w:color w:val="000000"/>
                </w:rPr>
                <w:t>Notes to Consolidated Financial Statements</w:t>
              </w:r>
            </w:hyperlink>
          </w:p>
        </w:tc>
        <w:tc>
          <w:tcPr>
            <w:tcW w:w="515" w:type="dxa"/>
            <w:tcBorders/>
            <w:shd w:fill="CCEEFF" w:val="clear"/>
            <w:vAlign w:val="center"/>
          </w:tcPr>
          <w:p>
            <w:pPr>
              <w:pStyle w:val="TableContents"/>
              <w:bidi w:val="0"/>
              <w:spacing w:before="0" w:after="283"/>
              <w:jc w:val="right"/>
              <w:rPr/>
            </w:pPr>
            <w:r>
              <w:rPr/>
              <w:t>10</w:t>
            </w:r>
          </w:p>
        </w:tc>
      </w:tr>
      <w:tr>
        <w:trPr/>
        <w:tc>
          <w:tcPr>
            <w:tcW w:w="920" w:type="dxa"/>
            <w:tcBorders/>
            <w:vAlign w:val="center"/>
          </w:tcPr>
          <w:p>
            <w:pPr>
              <w:pStyle w:val="TableContents"/>
              <w:bidi w:val="0"/>
              <w:spacing w:before="0" w:after="283"/>
              <w:jc w:val="left"/>
              <w:rPr/>
            </w:pPr>
            <w:r>
              <w:rPr/>
              <w:t> </w:t>
            </w:r>
          </w:p>
        </w:tc>
        <w:tc>
          <w:tcPr>
            <w:tcW w:w="849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left"/>
              <w:rPr/>
            </w:pPr>
            <w:r>
              <w:rPr/>
              <w:t> </w:t>
            </w:r>
          </w:p>
        </w:tc>
      </w:tr>
      <w:tr>
        <w:trPr/>
        <w:tc>
          <w:tcPr>
            <w:tcW w:w="920" w:type="dxa"/>
            <w:tcBorders/>
            <w:shd w:fill="CCEEFF" w:val="clear"/>
            <w:vAlign w:val="center"/>
          </w:tcPr>
          <w:p>
            <w:pPr>
              <w:pStyle w:val="TableContents"/>
              <w:bidi w:val="0"/>
              <w:spacing w:before="0" w:after="0"/>
              <w:jc w:val="left"/>
              <w:rPr>
                <w:color w:val="000000"/>
              </w:rPr>
            </w:pPr>
            <w:r>
              <w:rPr>
                <w:color w:val="000000"/>
              </w:rPr>
              <w:t>Item 2.</w:t>
            </w:r>
          </w:p>
        </w:tc>
        <w:tc>
          <w:tcPr>
            <w:tcW w:w="8495" w:type="dxa"/>
            <w:tcBorders/>
            <w:shd w:fill="CCEEFF" w:val="clear"/>
            <w:vAlign w:val="center"/>
          </w:tcPr>
          <w:p>
            <w:pPr>
              <w:pStyle w:val="TableContents"/>
              <w:bidi w:val="0"/>
              <w:spacing w:before="0" w:after="0"/>
              <w:jc w:val="left"/>
              <w:rPr/>
            </w:pPr>
            <w:hyperlink w:anchor="ManagementsDiscussionandAnalysisofFinancialConditionandResultsofOperations.">
              <w:r>
                <w:rPr>
                  <w:rStyle w:val="InternetLink"/>
                  <w:color w:val="000000"/>
                </w:rPr>
                <w:t>Management’s Discussion and Analysis of Financial Condition and Results of Operations</w:t>
              </w:r>
            </w:hyperlink>
          </w:p>
        </w:tc>
        <w:tc>
          <w:tcPr>
            <w:tcW w:w="515" w:type="dxa"/>
            <w:tcBorders/>
            <w:shd w:fill="CCEEFF" w:val="clear"/>
            <w:vAlign w:val="center"/>
          </w:tcPr>
          <w:p>
            <w:pPr>
              <w:pStyle w:val="TableContents"/>
              <w:bidi w:val="0"/>
              <w:spacing w:before="0" w:after="283"/>
              <w:jc w:val="right"/>
              <w:rPr/>
            </w:pPr>
            <w:r>
              <w:rPr/>
              <w:t>49</w:t>
            </w:r>
          </w:p>
        </w:tc>
      </w:tr>
      <w:tr>
        <w:trPr/>
        <w:tc>
          <w:tcPr>
            <w:tcW w:w="920" w:type="dxa"/>
            <w:tcBorders/>
            <w:vAlign w:val="center"/>
          </w:tcPr>
          <w:p>
            <w:pPr>
              <w:pStyle w:val="TableContents"/>
              <w:bidi w:val="0"/>
              <w:spacing w:before="0" w:after="283"/>
              <w:jc w:val="left"/>
              <w:rPr/>
            </w:pPr>
            <w:r>
              <w:rPr/>
              <w:t> </w:t>
            </w:r>
          </w:p>
        </w:tc>
        <w:tc>
          <w:tcPr>
            <w:tcW w:w="849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left"/>
              <w:rPr/>
            </w:pPr>
            <w:r>
              <w:rPr/>
              <w:t> </w:t>
            </w:r>
          </w:p>
        </w:tc>
      </w:tr>
      <w:tr>
        <w:trPr/>
        <w:tc>
          <w:tcPr>
            <w:tcW w:w="920" w:type="dxa"/>
            <w:tcBorders/>
            <w:shd w:fill="CCEEFF" w:val="clear"/>
            <w:vAlign w:val="center"/>
          </w:tcPr>
          <w:p>
            <w:pPr>
              <w:pStyle w:val="TableContents"/>
              <w:bidi w:val="0"/>
              <w:spacing w:before="0" w:after="0"/>
              <w:jc w:val="left"/>
              <w:rPr>
                <w:color w:val="000000"/>
              </w:rPr>
            </w:pPr>
            <w:r>
              <w:rPr>
                <w:color w:val="000000"/>
              </w:rPr>
              <w:t>Item 3.</w:t>
            </w:r>
          </w:p>
        </w:tc>
        <w:tc>
          <w:tcPr>
            <w:tcW w:w="8495" w:type="dxa"/>
            <w:tcBorders/>
            <w:shd w:fill="CCEEFF" w:val="clear"/>
            <w:vAlign w:val="center"/>
          </w:tcPr>
          <w:p>
            <w:pPr>
              <w:pStyle w:val="TableContents"/>
              <w:bidi w:val="0"/>
              <w:spacing w:before="0" w:after="0"/>
              <w:jc w:val="left"/>
              <w:rPr/>
            </w:pPr>
            <w:hyperlink w:anchor="QuantitativeandQualitativeDisclosuresaboutMarketRisk">
              <w:r>
                <w:rPr>
                  <w:rStyle w:val="InternetLink"/>
                  <w:color w:val="000000"/>
                </w:rPr>
                <w:t>Quantitative and Qualitative Disclosures about Market Risk</w:t>
              </w:r>
            </w:hyperlink>
          </w:p>
        </w:tc>
        <w:tc>
          <w:tcPr>
            <w:tcW w:w="515" w:type="dxa"/>
            <w:tcBorders/>
            <w:shd w:fill="CCEEFF" w:val="clear"/>
            <w:vAlign w:val="center"/>
          </w:tcPr>
          <w:p>
            <w:pPr>
              <w:pStyle w:val="TableContents"/>
              <w:bidi w:val="0"/>
              <w:spacing w:before="0" w:after="283"/>
              <w:jc w:val="right"/>
              <w:rPr/>
            </w:pPr>
            <w:r>
              <w:rPr/>
              <w:t>74</w:t>
            </w:r>
          </w:p>
        </w:tc>
      </w:tr>
      <w:tr>
        <w:trPr/>
        <w:tc>
          <w:tcPr>
            <w:tcW w:w="920" w:type="dxa"/>
            <w:tcBorders/>
            <w:vAlign w:val="center"/>
          </w:tcPr>
          <w:p>
            <w:pPr>
              <w:pStyle w:val="TableContents"/>
              <w:bidi w:val="0"/>
              <w:spacing w:before="0" w:after="283"/>
              <w:jc w:val="left"/>
              <w:rPr/>
            </w:pPr>
            <w:r>
              <w:rPr/>
              <w:t> </w:t>
            </w:r>
          </w:p>
        </w:tc>
        <w:tc>
          <w:tcPr>
            <w:tcW w:w="849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left"/>
              <w:rPr/>
            </w:pPr>
            <w:r>
              <w:rPr/>
              <w:t> </w:t>
            </w:r>
          </w:p>
        </w:tc>
      </w:tr>
      <w:tr>
        <w:trPr/>
        <w:tc>
          <w:tcPr>
            <w:tcW w:w="920" w:type="dxa"/>
            <w:tcBorders/>
            <w:shd w:fill="CCEEFF" w:val="clear"/>
            <w:vAlign w:val="center"/>
          </w:tcPr>
          <w:p>
            <w:pPr>
              <w:pStyle w:val="TableContents"/>
              <w:bidi w:val="0"/>
              <w:spacing w:before="0" w:after="0"/>
              <w:jc w:val="left"/>
              <w:rPr>
                <w:color w:val="000000"/>
              </w:rPr>
            </w:pPr>
            <w:r>
              <w:rPr>
                <w:color w:val="000000"/>
              </w:rPr>
              <w:t>Item 4.</w:t>
            </w:r>
          </w:p>
        </w:tc>
        <w:tc>
          <w:tcPr>
            <w:tcW w:w="8495" w:type="dxa"/>
            <w:tcBorders/>
            <w:shd w:fill="CCEEFF" w:val="clear"/>
            <w:vAlign w:val="center"/>
          </w:tcPr>
          <w:p>
            <w:pPr>
              <w:pStyle w:val="TableContents"/>
              <w:bidi w:val="0"/>
              <w:spacing w:before="0" w:after="0"/>
              <w:jc w:val="left"/>
              <w:rPr/>
            </w:pPr>
            <w:hyperlink w:anchor="ControlsandProcedures">
              <w:r>
                <w:rPr>
                  <w:rStyle w:val="InternetLink"/>
                  <w:color w:val="000000"/>
                </w:rPr>
                <w:t>Controls and Procedures</w:t>
              </w:r>
            </w:hyperlink>
          </w:p>
        </w:tc>
        <w:tc>
          <w:tcPr>
            <w:tcW w:w="515" w:type="dxa"/>
            <w:tcBorders/>
            <w:shd w:fill="CCEEFF" w:val="clear"/>
            <w:vAlign w:val="center"/>
          </w:tcPr>
          <w:p>
            <w:pPr>
              <w:pStyle w:val="TableContents"/>
              <w:bidi w:val="0"/>
              <w:spacing w:before="0" w:after="0"/>
              <w:jc w:val="right"/>
              <w:rPr>
                <w:color w:val="000000"/>
              </w:rPr>
            </w:pPr>
            <w:r>
              <w:rPr>
                <w:color w:val="000000"/>
              </w:rPr>
              <w:t>78</w:t>
            </w:r>
          </w:p>
        </w:tc>
      </w:tr>
      <w:tr>
        <w:trPr/>
        <w:tc>
          <w:tcPr>
            <w:tcW w:w="9415" w:type="dxa"/>
            <w:gridSpan w:val="2"/>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 </w:t>
            </w:r>
          </w:p>
        </w:tc>
      </w:tr>
      <w:tr>
        <w:trPr/>
        <w:tc>
          <w:tcPr>
            <w:tcW w:w="920" w:type="dxa"/>
            <w:tcBorders/>
            <w:shd w:fill="CCEEFF" w:val="clear"/>
            <w:vAlign w:val="center"/>
          </w:tcPr>
          <w:p>
            <w:pPr>
              <w:pStyle w:val="TableContents"/>
              <w:bidi w:val="0"/>
              <w:spacing w:before="0" w:after="0"/>
              <w:jc w:val="left"/>
              <w:rPr>
                <w:color w:val="000000"/>
              </w:rPr>
            </w:pPr>
            <w:r>
              <w:rPr>
                <w:color w:val="000000"/>
              </w:rPr>
              <w:t>PART II.</w:t>
            </w:r>
          </w:p>
        </w:tc>
        <w:tc>
          <w:tcPr>
            <w:tcW w:w="8495" w:type="dxa"/>
            <w:tcBorders/>
            <w:shd w:fill="CCEEFF" w:val="clear"/>
            <w:vAlign w:val="center"/>
          </w:tcPr>
          <w:p>
            <w:pPr>
              <w:pStyle w:val="TableContents"/>
              <w:bidi w:val="0"/>
              <w:spacing w:before="0" w:after="0"/>
              <w:jc w:val="left"/>
              <w:rPr/>
            </w:pPr>
            <w:hyperlink w:anchor="OTHERINFORMATION">
              <w:r>
                <w:rPr>
                  <w:rStyle w:val="InternetLink"/>
                  <w:color w:val="000000"/>
                </w:rPr>
                <w:t>OTHER INFORMATION</w:t>
              </w:r>
            </w:hyperlink>
          </w:p>
        </w:tc>
        <w:tc>
          <w:tcPr>
            <w:tcW w:w="515" w:type="dxa"/>
            <w:tcBorders/>
            <w:shd w:fill="CCEEFF" w:val="clear"/>
            <w:vAlign w:val="center"/>
          </w:tcPr>
          <w:p>
            <w:pPr>
              <w:pStyle w:val="TableContents"/>
              <w:bidi w:val="0"/>
              <w:spacing w:before="0" w:after="283"/>
              <w:jc w:val="right"/>
              <w:rPr/>
            </w:pPr>
            <w:r>
              <w:rPr/>
              <w:t>79</w:t>
            </w:r>
          </w:p>
        </w:tc>
      </w:tr>
      <w:tr>
        <w:trPr/>
        <w:tc>
          <w:tcPr>
            <w:tcW w:w="9415" w:type="dxa"/>
            <w:gridSpan w:val="2"/>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 </w:t>
            </w:r>
          </w:p>
        </w:tc>
      </w:tr>
      <w:tr>
        <w:trPr/>
        <w:tc>
          <w:tcPr>
            <w:tcW w:w="920" w:type="dxa"/>
            <w:tcBorders/>
            <w:shd w:fill="CCEEFF" w:val="clear"/>
            <w:vAlign w:val="center"/>
          </w:tcPr>
          <w:p>
            <w:pPr>
              <w:pStyle w:val="TableContents"/>
              <w:bidi w:val="0"/>
              <w:spacing w:before="0" w:after="0"/>
              <w:jc w:val="left"/>
              <w:rPr>
                <w:color w:val="000000"/>
              </w:rPr>
            </w:pPr>
            <w:r>
              <w:rPr>
                <w:color w:val="000000"/>
              </w:rPr>
              <w:t>Item 1.</w:t>
            </w:r>
          </w:p>
        </w:tc>
        <w:tc>
          <w:tcPr>
            <w:tcW w:w="8495" w:type="dxa"/>
            <w:tcBorders/>
            <w:shd w:fill="CCEEFF" w:val="clear"/>
            <w:vAlign w:val="center"/>
          </w:tcPr>
          <w:p>
            <w:pPr>
              <w:pStyle w:val="TableContents"/>
              <w:bidi w:val="0"/>
              <w:spacing w:before="0" w:after="0"/>
              <w:jc w:val="left"/>
              <w:rPr/>
            </w:pPr>
            <w:hyperlink w:anchor="LegalProceedings">
              <w:r>
                <w:rPr>
                  <w:rStyle w:val="InternetLink"/>
                  <w:color w:val="000000"/>
                </w:rPr>
                <w:t>Legal Proceedings</w:t>
              </w:r>
            </w:hyperlink>
          </w:p>
        </w:tc>
        <w:tc>
          <w:tcPr>
            <w:tcW w:w="515" w:type="dxa"/>
            <w:tcBorders/>
            <w:shd w:fill="CCEEFF" w:val="clear"/>
            <w:vAlign w:val="center"/>
          </w:tcPr>
          <w:p>
            <w:pPr>
              <w:pStyle w:val="TableContents"/>
              <w:bidi w:val="0"/>
              <w:spacing w:before="0" w:after="283"/>
              <w:jc w:val="right"/>
              <w:rPr/>
            </w:pPr>
            <w:r>
              <w:rPr/>
              <w:t>79</w:t>
            </w:r>
          </w:p>
        </w:tc>
      </w:tr>
      <w:tr>
        <w:trPr/>
        <w:tc>
          <w:tcPr>
            <w:tcW w:w="9415" w:type="dxa"/>
            <w:gridSpan w:val="2"/>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 </w:t>
            </w:r>
          </w:p>
        </w:tc>
      </w:tr>
      <w:tr>
        <w:trPr/>
        <w:tc>
          <w:tcPr>
            <w:tcW w:w="920" w:type="dxa"/>
            <w:tcBorders/>
            <w:shd w:fill="CCEEFF" w:val="clear"/>
            <w:vAlign w:val="center"/>
          </w:tcPr>
          <w:p>
            <w:pPr>
              <w:pStyle w:val="TableContents"/>
              <w:bidi w:val="0"/>
              <w:spacing w:before="0" w:after="0"/>
              <w:jc w:val="left"/>
              <w:rPr>
                <w:color w:val="000000"/>
              </w:rPr>
            </w:pPr>
            <w:r>
              <w:rPr>
                <w:color w:val="000000"/>
              </w:rPr>
              <w:t>Item 1A.</w:t>
            </w:r>
          </w:p>
        </w:tc>
        <w:tc>
          <w:tcPr>
            <w:tcW w:w="8495" w:type="dxa"/>
            <w:tcBorders/>
            <w:shd w:fill="CCEEFF" w:val="clear"/>
            <w:vAlign w:val="center"/>
          </w:tcPr>
          <w:p>
            <w:pPr>
              <w:pStyle w:val="TableContents"/>
              <w:bidi w:val="0"/>
              <w:spacing w:before="0" w:after="0"/>
              <w:jc w:val="left"/>
              <w:rPr/>
            </w:pPr>
            <w:hyperlink w:anchor="RiskFactors">
              <w:r>
                <w:rPr>
                  <w:rStyle w:val="InternetLink"/>
                  <w:color w:val="000000"/>
                </w:rPr>
                <w:t>Risk Factors</w:t>
              </w:r>
            </w:hyperlink>
          </w:p>
        </w:tc>
        <w:tc>
          <w:tcPr>
            <w:tcW w:w="515" w:type="dxa"/>
            <w:tcBorders/>
            <w:shd w:fill="CCEEFF" w:val="clear"/>
            <w:vAlign w:val="center"/>
          </w:tcPr>
          <w:p>
            <w:pPr>
              <w:pStyle w:val="TableContents"/>
              <w:bidi w:val="0"/>
              <w:spacing w:before="0" w:after="283"/>
              <w:jc w:val="right"/>
              <w:rPr/>
            </w:pPr>
            <w:r>
              <w:rPr/>
              <w:t>79</w:t>
            </w:r>
          </w:p>
        </w:tc>
      </w:tr>
      <w:tr>
        <w:trPr/>
        <w:tc>
          <w:tcPr>
            <w:tcW w:w="920" w:type="dxa"/>
            <w:tcBorders/>
            <w:vAlign w:val="center"/>
          </w:tcPr>
          <w:p>
            <w:pPr>
              <w:pStyle w:val="TableContents"/>
              <w:bidi w:val="0"/>
              <w:spacing w:before="0" w:after="283"/>
              <w:jc w:val="left"/>
              <w:rPr/>
            </w:pPr>
            <w:r>
              <w:rPr/>
              <w:t> </w:t>
            </w:r>
          </w:p>
        </w:tc>
        <w:tc>
          <w:tcPr>
            <w:tcW w:w="849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 </w:t>
            </w:r>
          </w:p>
        </w:tc>
      </w:tr>
      <w:tr>
        <w:trPr/>
        <w:tc>
          <w:tcPr>
            <w:tcW w:w="920" w:type="dxa"/>
            <w:tcBorders/>
            <w:shd w:fill="CCEEFF" w:val="clear"/>
            <w:vAlign w:val="center"/>
          </w:tcPr>
          <w:p>
            <w:pPr>
              <w:pStyle w:val="TableContents"/>
              <w:bidi w:val="0"/>
              <w:spacing w:before="0" w:after="0"/>
              <w:jc w:val="left"/>
              <w:rPr>
                <w:color w:val="000000"/>
              </w:rPr>
            </w:pPr>
            <w:r>
              <w:rPr>
                <w:color w:val="000000"/>
              </w:rPr>
              <w:t>Item 2.</w:t>
            </w:r>
          </w:p>
        </w:tc>
        <w:tc>
          <w:tcPr>
            <w:tcW w:w="8495" w:type="dxa"/>
            <w:tcBorders/>
            <w:shd w:fill="CCEEFF" w:val="clear"/>
            <w:vAlign w:val="center"/>
          </w:tcPr>
          <w:p>
            <w:pPr>
              <w:pStyle w:val="TableContents"/>
              <w:bidi w:val="0"/>
              <w:spacing w:before="0" w:after="0"/>
              <w:jc w:val="left"/>
              <w:rPr/>
            </w:pPr>
            <w:hyperlink w:anchor="UnregisteredSalesofEquity">
              <w:r>
                <w:rPr>
                  <w:rStyle w:val="InternetLink"/>
                  <w:color w:val="000000"/>
                </w:rPr>
                <w:t>Unregistered Sales of Equity Securities and Use of Proceeds</w:t>
              </w:r>
            </w:hyperlink>
          </w:p>
        </w:tc>
        <w:tc>
          <w:tcPr>
            <w:tcW w:w="515" w:type="dxa"/>
            <w:tcBorders/>
            <w:shd w:fill="CCEEFF" w:val="clear"/>
            <w:vAlign w:val="center"/>
          </w:tcPr>
          <w:p>
            <w:pPr>
              <w:pStyle w:val="TableContents"/>
              <w:bidi w:val="0"/>
              <w:spacing w:before="0" w:after="283"/>
              <w:jc w:val="right"/>
              <w:rPr/>
            </w:pPr>
            <w:r>
              <w:rPr/>
              <w:t>81</w:t>
            </w:r>
          </w:p>
        </w:tc>
      </w:tr>
      <w:tr>
        <w:trPr/>
        <w:tc>
          <w:tcPr>
            <w:tcW w:w="920" w:type="dxa"/>
            <w:tcBorders/>
            <w:vAlign w:val="center"/>
          </w:tcPr>
          <w:p>
            <w:pPr>
              <w:pStyle w:val="TableContents"/>
              <w:bidi w:val="0"/>
              <w:spacing w:before="0" w:after="283"/>
              <w:jc w:val="left"/>
              <w:rPr/>
            </w:pPr>
            <w:r>
              <w:rPr/>
              <w:t> </w:t>
            </w:r>
          </w:p>
        </w:tc>
        <w:tc>
          <w:tcPr>
            <w:tcW w:w="849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 </w:t>
            </w:r>
          </w:p>
        </w:tc>
      </w:tr>
      <w:tr>
        <w:trPr/>
        <w:tc>
          <w:tcPr>
            <w:tcW w:w="920" w:type="dxa"/>
            <w:tcBorders/>
            <w:shd w:fill="CCEEFF" w:val="clear"/>
            <w:vAlign w:val="center"/>
          </w:tcPr>
          <w:p>
            <w:pPr>
              <w:pStyle w:val="TableContents"/>
              <w:bidi w:val="0"/>
              <w:spacing w:before="0" w:after="0"/>
              <w:jc w:val="left"/>
              <w:rPr>
                <w:color w:val="000000"/>
              </w:rPr>
            </w:pPr>
            <w:r>
              <w:rPr>
                <w:color w:val="000000"/>
              </w:rPr>
              <w:t>Item 3.</w:t>
            </w:r>
          </w:p>
        </w:tc>
        <w:tc>
          <w:tcPr>
            <w:tcW w:w="8495" w:type="dxa"/>
            <w:tcBorders/>
            <w:shd w:fill="CCEEFF" w:val="clear"/>
            <w:vAlign w:val="center"/>
          </w:tcPr>
          <w:p>
            <w:pPr>
              <w:pStyle w:val="TableContents"/>
              <w:bidi w:val="0"/>
              <w:spacing w:before="0" w:after="0"/>
              <w:jc w:val="left"/>
              <w:rPr/>
            </w:pPr>
            <w:hyperlink w:anchor="DefaultsUponSeniorSecurit">
              <w:r>
                <w:rPr>
                  <w:rStyle w:val="InternetLink"/>
                  <w:color w:val="000000"/>
                </w:rPr>
                <w:t>Defaults Upon Senior Securities</w:t>
              </w:r>
            </w:hyperlink>
          </w:p>
        </w:tc>
        <w:tc>
          <w:tcPr>
            <w:tcW w:w="515" w:type="dxa"/>
            <w:tcBorders/>
            <w:shd w:fill="CCEEFF" w:val="clear"/>
            <w:vAlign w:val="center"/>
          </w:tcPr>
          <w:p>
            <w:pPr>
              <w:pStyle w:val="TableContents"/>
              <w:bidi w:val="0"/>
              <w:spacing w:before="0" w:after="283"/>
              <w:jc w:val="right"/>
              <w:rPr/>
            </w:pPr>
            <w:r>
              <w:rPr/>
              <w:t>81</w:t>
            </w:r>
          </w:p>
        </w:tc>
      </w:tr>
      <w:tr>
        <w:trPr/>
        <w:tc>
          <w:tcPr>
            <w:tcW w:w="920" w:type="dxa"/>
            <w:tcBorders/>
            <w:vAlign w:val="center"/>
          </w:tcPr>
          <w:p>
            <w:pPr>
              <w:pStyle w:val="TableContents"/>
              <w:bidi w:val="0"/>
              <w:spacing w:before="0" w:after="283"/>
              <w:jc w:val="left"/>
              <w:rPr/>
            </w:pPr>
            <w:r>
              <w:rPr/>
              <w:t> </w:t>
            </w:r>
          </w:p>
        </w:tc>
        <w:tc>
          <w:tcPr>
            <w:tcW w:w="849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 </w:t>
            </w:r>
          </w:p>
        </w:tc>
      </w:tr>
      <w:tr>
        <w:trPr/>
        <w:tc>
          <w:tcPr>
            <w:tcW w:w="920" w:type="dxa"/>
            <w:tcBorders/>
            <w:shd w:fill="CCEEFF" w:val="clear"/>
            <w:vAlign w:val="center"/>
          </w:tcPr>
          <w:p>
            <w:pPr>
              <w:pStyle w:val="TableContents"/>
              <w:bidi w:val="0"/>
              <w:spacing w:before="0" w:after="0"/>
              <w:jc w:val="left"/>
              <w:rPr>
                <w:color w:val="000000"/>
              </w:rPr>
            </w:pPr>
            <w:r>
              <w:rPr>
                <w:color w:val="000000"/>
              </w:rPr>
              <w:t>Item 4.</w:t>
            </w:r>
          </w:p>
        </w:tc>
        <w:tc>
          <w:tcPr>
            <w:tcW w:w="8495" w:type="dxa"/>
            <w:tcBorders/>
            <w:shd w:fill="CCEEFF" w:val="clear"/>
            <w:vAlign w:val="center"/>
          </w:tcPr>
          <w:p>
            <w:pPr>
              <w:pStyle w:val="TableContents"/>
              <w:bidi w:val="0"/>
              <w:spacing w:before="0" w:after="0"/>
              <w:jc w:val="left"/>
              <w:rPr/>
            </w:pPr>
            <w:hyperlink w:anchor="MineSafetyDisclosures">
              <w:r>
                <w:rPr>
                  <w:rStyle w:val="InternetLink"/>
                  <w:color w:val="000000"/>
                </w:rPr>
                <w:t>Mine Safety Disclosures</w:t>
              </w:r>
            </w:hyperlink>
          </w:p>
        </w:tc>
        <w:tc>
          <w:tcPr>
            <w:tcW w:w="515" w:type="dxa"/>
            <w:tcBorders/>
            <w:shd w:fill="CCEEFF" w:val="clear"/>
            <w:vAlign w:val="center"/>
          </w:tcPr>
          <w:p>
            <w:pPr>
              <w:pStyle w:val="TableContents"/>
              <w:bidi w:val="0"/>
              <w:spacing w:before="0" w:after="283"/>
              <w:jc w:val="right"/>
              <w:rPr/>
            </w:pPr>
            <w:r>
              <w:rPr/>
              <w:t>81</w:t>
            </w:r>
          </w:p>
        </w:tc>
      </w:tr>
      <w:tr>
        <w:trPr/>
        <w:tc>
          <w:tcPr>
            <w:tcW w:w="920" w:type="dxa"/>
            <w:tcBorders/>
            <w:vAlign w:val="center"/>
          </w:tcPr>
          <w:p>
            <w:pPr>
              <w:pStyle w:val="TableContents"/>
              <w:bidi w:val="0"/>
              <w:spacing w:before="0" w:after="283"/>
              <w:jc w:val="left"/>
              <w:rPr/>
            </w:pPr>
            <w:r>
              <w:rPr/>
              <w:t> </w:t>
            </w:r>
          </w:p>
        </w:tc>
        <w:tc>
          <w:tcPr>
            <w:tcW w:w="849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 </w:t>
            </w:r>
          </w:p>
        </w:tc>
      </w:tr>
      <w:tr>
        <w:trPr/>
        <w:tc>
          <w:tcPr>
            <w:tcW w:w="920" w:type="dxa"/>
            <w:tcBorders/>
            <w:shd w:fill="CCEEFF" w:val="clear"/>
            <w:vAlign w:val="center"/>
          </w:tcPr>
          <w:p>
            <w:pPr>
              <w:pStyle w:val="TableContents"/>
              <w:bidi w:val="0"/>
              <w:spacing w:before="0" w:after="0"/>
              <w:jc w:val="left"/>
              <w:rPr>
                <w:color w:val="000000"/>
              </w:rPr>
            </w:pPr>
            <w:r>
              <w:rPr>
                <w:color w:val="000000"/>
              </w:rPr>
              <w:t>Item 5.</w:t>
            </w:r>
          </w:p>
        </w:tc>
        <w:tc>
          <w:tcPr>
            <w:tcW w:w="8495" w:type="dxa"/>
            <w:tcBorders/>
            <w:shd w:fill="CCEEFF" w:val="clear"/>
            <w:vAlign w:val="center"/>
          </w:tcPr>
          <w:p>
            <w:pPr>
              <w:pStyle w:val="TableContents"/>
              <w:bidi w:val="0"/>
              <w:spacing w:before="0" w:after="0"/>
              <w:jc w:val="left"/>
              <w:rPr/>
            </w:pPr>
            <w:hyperlink w:anchor="OtherInfo">
              <w:r>
                <w:rPr>
                  <w:rStyle w:val="InternetLink"/>
                  <w:color w:val="000000"/>
                </w:rPr>
                <w:t>Other Information</w:t>
              </w:r>
            </w:hyperlink>
          </w:p>
        </w:tc>
        <w:tc>
          <w:tcPr>
            <w:tcW w:w="515" w:type="dxa"/>
            <w:tcBorders/>
            <w:shd w:fill="CCEEFF" w:val="clear"/>
            <w:vAlign w:val="center"/>
          </w:tcPr>
          <w:p>
            <w:pPr>
              <w:pStyle w:val="TableContents"/>
              <w:bidi w:val="0"/>
              <w:spacing w:before="0" w:after="283"/>
              <w:jc w:val="right"/>
              <w:rPr/>
            </w:pPr>
            <w:r>
              <w:rPr/>
              <w:t>81</w:t>
            </w:r>
          </w:p>
        </w:tc>
      </w:tr>
      <w:tr>
        <w:trPr/>
        <w:tc>
          <w:tcPr>
            <w:tcW w:w="920" w:type="dxa"/>
            <w:tcBorders/>
            <w:vAlign w:val="center"/>
          </w:tcPr>
          <w:p>
            <w:pPr>
              <w:pStyle w:val="TableContents"/>
              <w:bidi w:val="0"/>
              <w:spacing w:before="0" w:after="283"/>
              <w:jc w:val="left"/>
              <w:rPr/>
            </w:pPr>
            <w:r>
              <w:rPr/>
              <w:t> </w:t>
            </w:r>
          </w:p>
        </w:tc>
        <w:tc>
          <w:tcPr>
            <w:tcW w:w="849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 </w:t>
            </w:r>
          </w:p>
        </w:tc>
      </w:tr>
      <w:tr>
        <w:trPr/>
        <w:tc>
          <w:tcPr>
            <w:tcW w:w="920" w:type="dxa"/>
            <w:tcBorders/>
            <w:shd w:fill="CCEEFF" w:val="clear"/>
            <w:vAlign w:val="center"/>
          </w:tcPr>
          <w:p>
            <w:pPr>
              <w:pStyle w:val="TableContents"/>
              <w:bidi w:val="0"/>
              <w:spacing w:before="0" w:after="0"/>
              <w:jc w:val="left"/>
              <w:rPr>
                <w:color w:val="000000"/>
              </w:rPr>
            </w:pPr>
            <w:r>
              <w:rPr>
                <w:color w:val="000000"/>
              </w:rPr>
              <w:t>Item 6.</w:t>
            </w:r>
          </w:p>
        </w:tc>
        <w:tc>
          <w:tcPr>
            <w:tcW w:w="8495" w:type="dxa"/>
            <w:tcBorders/>
            <w:shd w:fill="CCEEFF" w:val="clear"/>
            <w:vAlign w:val="center"/>
          </w:tcPr>
          <w:p>
            <w:pPr>
              <w:pStyle w:val="TableContents"/>
              <w:bidi w:val="0"/>
              <w:spacing w:before="0" w:after="0"/>
              <w:jc w:val="left"/>
              <w:rPr/>
            </w:pPr>
            <w:hyperlink w:anchor="Exhibits">
              <w:r>
                <w:rPr>
                  <w:rStyle w:val="InternetLink"/>
                  <w:color w:val="000000"/>
                </w:rPr>
                <w:t>Exhibits</w:t>
              </w:r>
            </w:hyperlink>
          </w:p>
        </w:tc>
        <w:tc>
          <w:tcPr>
            <w:tcW w:w="515" w:type="dxa"/>
            <w:tcBorders/>
            <w:shd w:fill="CCEEFF" w:val="clear"/>
            <w:vAlign w:val="center"/>
          </w:tcPr>
          <w:p>
            <w:pPr>
              <w:pStyle w:val="TableContents"/>
              <w:bidi w:val="0"/>
              <w:spacing w:before="0" w:after="283"/>
              <w:jc w:val="right"/>
              <w:rPr/>
            </w:pPr>
            <w:r>
              <w:rPr/>
              <w:t>81</w:t>
            </w:r>
          </w:p>
        </w:tc>
      </w:tr>
    </w:tbl>
    <w:p>
      <w:pPr>
        <w:pStyle w:val="TextBody"/>
        <w:bidi w:val="0"/>
        <w:spacing w:before="0" w:after="0"/>
        <w:jc w:val="left"/>
        <w:rPr/>
      </w:pPr>
      <w:r>
        <w:rPr/>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GLOSSARY</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This glossary defines some, but not all, of the terms that we use elsewhere in this Quarterly Report on Form 10-Q. In this Quarterly Report on Form 10-Q, unless specifically stated otherwise or the context otherwise indicates, references to “we”, “us”, “our”, the “Company” or “CHMI” refer to Cherry Hill Mortgage Investment Corporation, a Maryland corporation, together with its consolidated subsidiaries; and references to the “Operating Partnership” refer to Cherry Hill Operating Partnership, LP, a Delaware limited partnership.</w:t>
      </w:r>
    </w:p>
    <w:p>
      <w:pPr>
        <w:pStyle w:val="TextBody"/>
        <w:bidi w:val="0"/>
        <w:spacing w:before="0" w:after="0"/>
        <w:jc w:val="left"/>
        <w:rPr/>
      </w:pPr>
      <w:r>
        <w:rPr/>
      </w:r>
    </w:p>
    <w:p>
      <w:pPr>
        <w:pStyle w:val="TextBody"/>
        <w:bidi w:val="0"/>
        <w:spacing w:before="0" w:after="0"/>
        <w:jc w:val="both"/>
        <w:rPr>
          <w:color w:val="000000"/>
          <w:shd w:fill="FFFFFF" w:val="clear"/>
        </w:rPr>
      </w:pPr>
      <w:r>
        <w:rPr>
          <w:color w:val="000000"/>
          <w:shd w:fill="FFFFFF" w:val="clear"/>
        </w:rPr>
        <w:t> “</w:t>
      </w:r>
      <w:r>
        <w:rPr>
          <w:rFonts w:ascii="Times New Roman" w:hAnsi="Times New Roman"/>
          <w:b/>
          <w:color w:val="000000"/>
          <w:sz w:val="20"/>
          <w:shd w:fill="FFFFFF" w:val="clear"/>
        </w:rPr>
        <w:t xml:space="preserve">Agency” </w:t>
      </w:r>
      <w:r>
        <w:rPr>
          <w:rFonts w:ascii="Times New Roman" w:hAnsi="Times New Roman"/>
          <w:color w:val="000000"/>
          <w:sz w:val="20"/>
          <w:shd w:fill="FFFFFF" w:val="clear"/>
        </w:rPr>
        <w:t>means a U.S. Government agency, such as Ginnie Mae, or a GSE.</w:t>
      </w:r>
    </w:p>
    <w:p>
      <w:pPr>
        <w:pStyle w:val="TextBody"/>
        <w:bidi w:val="0"/>
        <w:spacing w:before="0" w:after="0"/>
        <w:jc w:val="left"/>
        <w:rPr/>
      </w:pPr>
      <w:r>
        <w:rPr/>
      </w:r>
    </w:p>
    <w:p>
      <w:pPr>
        <w:pStyle w:val="TextBody"/>
        <w:bidi w:val="0"/>
        <w:spacing w:before="0" w:after="0"/>
        <w:jc w:val="both"/>
        <w:rPr>
          <w:color w:val="000000"/>
          <w:shd w:fill="FFFFFF" w:val="clear"/>
        </w:rPr>
      </w:pPr>
      <w:r>
        <w:rPr>
          <w:color w:val="000000"/>
          <w:shd w:fill="FFFFFF" w:val="clear"/>
        </w:rPr>
        <w:t> “</w:t>
      </w:r>
      <w:r>
        <w:rPr>
          <w:rFonts w:ascii="Times New Roman" w:hAnsi="Times New Roman"/>
          <w:b/>
          <w:color w:val="000000"/>
          <w:sz w:val="20"/>
          <w:shd w:fill="FFFFFF" w:val="clear"/>
        </w:rPr>
        <w:t xml:space="preserve">Agency RMBS” </w:t>
      </w:r>
      <w:r>
        <w:rPr>
          <w:rFonts w:ascii="Times New Roman" w:hAnsi="Times New Roman"/>
          <w:color w:val="000000"/>
          <w:sz w:val="20"/>
          <w:shd w:fill="FFFFFF" w:val="clear"/>
        </w:rPr>
        <w:t>means RMBS issued by an Agency or for which an Agency guarantees payments of principal and interest on the securities.</w:t>
      </w:r>
    </w:p>
    <w:p>
      <w:pPr>
        <w:pStyle w:val="TextBody"/>
        <w:bidi w:val="0"/>
        <w:spacing w:before="0" w:after="0"/>
        <w:jc w:val="left"/>
        <w:rPr/>
      </w:pPr>
      <w:r>
        <w:rPr/>
      </w:r>
    </w:p>
    <w:p>
      <w:pPr>
        <w:pStyle w:val="TextBody"/>
        <w:bidi w:val="0"/>
        <w:spacing w:before="0" w:after="0"/>
        <w:jc w:val="both"/>
        <w:rPr>
          <w:color w:val="000000"/>
          <w:shd w:fill="FFFFFF" w:val="clear"/>
        </w:rPr>
      </w:pPr>
      <w:r>
        <w:rPr>
          <w:color w:val="000000"/>
          <w:shd w:fill="FFFFFF" w:val="clear"/>
        </w:rPr>
        <w:t> “</w:t>
      </w:r>
      <w:r>
        <w:rPr>
          <w:rFonts w:ascii="Times New Roman" w:hAnsi="Times New Roman"/>
          <w:b/>
          <w:color w:val="000000"/>
          <w:sz w:val="20"/>
          <w:shd w:fill="FFFFFF" w:val="clear"/>
        </w:rPr>
        <w:t xml:space="preserve">ARM” </w:t>
      </w:r>
      <w:r>
        <w:rPr>
          <w:rFonts w:ascii="Times New Roman" w:hAnsi="Times New Roman"/>
          <w:color w:val="000000"/>
          <w:sz w:val="20"/>
          <w:shd w:fill="FFFFFF" w:val="clear"/>
        </w:rPr>
        <w:t>means an adjustable-rate residential mortgage loan.</w:t>
      </w:r>
    </w:p>
    <w:p>
      <w:pPr>
        <w:pStyle w:val="TextBody"/>
        <w:bidi w:val="0"/>
        <w:spacing w:before="0" w:after="0"/>
        <w:jc w:val="left"/>
        <w:rPr/>
      </w:pPr>
      <w:r>
        <w:rPr/>
      </w:r>
    </w:p>
    <w:p>
      <w:pPr>
        <w:pStyle w:val="TextBody"/>
        <w:bidi w:val="0"/>
        <w:spacing w:before="0" w:after="0"/>
        <w:jc w:val="both"/>
        <w:rPr>
          <w:color w:val="000000"/>
          <w:shd w:fill="FFFFFF" w:val="clear"/>
        </w:rPr>
      </w:pPr>
      <w:r>
        <w:rPr>
          <w:color w:val="000000"/>
          <w:shd w:fill="FFFFFF" w:val="clear"/>
        </w:rPr>
        <w:t> “</w:t>
      </w:r>
      <w:r>
        <w:rPr>
          <w:rFonts w:ascii="Times New Roman" w:hAnsi="Times New Roman"/>
          <w:b/>
          <w:color w:val="000000"/>
          <w:sz w:val="20"/>
          <w:shd w:fill="FFFFFF" w:val="clear"/>
        </w:rPr>
        <w:t>ASC”</w:t>
      </w:r>
      <w:r>
        <w:rPr>
          <w:rFonts w:ascii="Times New Roman" w:hAnsi="Times New Roman"/>
          <w:color w:val="000000"/>
          <w:sz w:val="20"/>
          <w:shd w:fill="FFFFFF" w:val="clear"/>
        </w:rPr>
        <w:t xml:space="preserve"> means an Accounting Standards Codification.</w:t>
      </w:r>
    </w:p>
    <w:p>
      <w:pPr>
        <w:pStyle w:val="TextBody"/>
        <w:bidi w:val="0"/>
        <w:spacing w:before="0" w:after="0"/>
        <w:jc w:val="left"/>
        <w:rPr/>
      </w:pPr>
      <w:r>
        <w:rPr/>
      </w:r>
    </w:p>
    <w:p>
      <w:pPr>
        <w:pStyle w:val="TextBody"/>
        <w:bidi w:val="0"/>
        <w:spacing w:before="0" w:after="0"/>
        <w:jc w:val="both"/>
        <w:rPr>
          <w:color w:val="000000"/>
          <w:shd w:fill="FFFFFF" w:val="clear"/>
        </w:rPr>
      </w:pPr>
      <w:r>
        <w:rPr>
          <w:color w:val="000000"/>
          <w:shd w:fill="FFFFFF" w:val="clear"/>
        </w:rPr>
        <w:t> “</w:t>
      </w:r>
      <w:r>
        <w:rPr>
          <w:rFonts w:ascii="Times New Roman" w:hAnsi="Times New Roman"/>
          <w:b/>
          <w:color w:val="000000"/>
          <w:sz w:val="20"/>
          <w:shd w:fill="FFFFFF" w:val="clear"/>
        </w:rPr>
        <w:t>ASU”</w:t>
      </w:r>
      <w:r>
        <w:rPr>
          <w:rFonts w:ascii="Times New Roman" w:hAnsi="Times New Roman"/>
          <w:color w:val="000000"/>
          <w:sz w:val="20"/>
          <w:shd w:fill="FFFFFF" w:val="clear"/>
        </w:rPr>
        <w:t xml:space="preserve"> means the Accounting Standards Update issued by the FASB.</w:t>
      </w:r>
    </w:p>
    <w:p>
      <w:pPr>
        <w:pStyle w:val="TextBody"/>
        <w:bidi w:val="0"/>
        <w:spacing w:before="0" w:after="0"/>
        <w:jc w:val="left"/>
        <w:rPr/>
      </w:pPr>
      <w:r>
        <w:rPr/>
      </w:r>
    </w:p>
    <w:p>
      <w:pPr>
        <w:pStyle w:val="TextBody"/>
        <w:bidi w:val="0"/>
        <w:spacing w:before="0" w:after="0"/>
        <w:jc w:val="both"/>
        <w:rPr>
          <w:color w:val="000000"/>
          <w:shd w:fill="FFFFFF" w:val="clear"/>
        </w:rPr>
      </w:pPr>
      <w:r>
        <w:rPr>
          <w:color w:val="000000"/>
          <w:shd w:fill="FFFFFF" w:val="clear"/>
        </w:rPr>
        <w:t> “</w:t>
      </w:r>
      <w:r>
        <w:rPr>
          <w:rFonts w:ascii="Times New Roman" w:hAnsi="Times New Roman"/>
          <w:b/>
          <w:color w:val="000000"/>
          <w:sz w:val="20"/>
          <w:shd w:fill="FFFFFF" w:val="clear"/>
        </w:rPr>
        <w:t>CFTC</w:t>
      </w:r>
      <w:r>
        <w:rPr>
          <w:rFonts w:ascii="Times New Roman" w:hAnsi="Times New Roman"/>
          <w:color w:val="000000"/>
          <w:sz w:val="20"/>
          <w:shd w:fill="FFFFFF" w:val="clear"/>
        </w:rPr>
        <w:t>” means the U.S. Commodity Futures Trading Commission.</w:t>
      </w:r>
    </w:p>
    <w:p>
      <w:pPr>
        <w:pStyle w:val="TextBody"/>
        <w:bidi w:val="0"/>
        <w:spacing w:before="0" w:after="0"/>
        <w:jc w:val="left"/>
        <w:rPr/>
      </w:pPr>
      <w:r>
        <w:rPr/>
      </w:r>
    </w:p>
    <w:p>
      <w:pPr>
        <w:pStyle w:val="TextBody"/>
        <w:bidi w:val="0"/>
        <w:spacing w:before="0" w:after="0"/>
        <w:jc w:val="both"/>
        <w:rPr>
          <w:color w:val="000000"/>
          <w:shd w:fill="FFFFFF" w:val="clear"/>
        </w:rPr>
      </w:pPr>
      <w:r>
        <w:rPr>
          <w:color w:val="000000"/>
          <w:shd w:fill="FFFFFF" w:val="clear"/>
        </w:rPr>
        <w:t> “</w:t>
      </w:r>
      <w:r>
        <w:rPr>
          <w:rFonts w:ascii="Times New Roman" w:hAnsi="Times New Roman"/>
          <w:b/>
          <w:color w:val="000000"/>
          <w:sz w:val="20"/>
          <w:shd w:fill="FFFFFF" w:val="clear"/>
        </w:rPr>
        <w:t xml:space="preserve">CMO” </w:t>
      </w:r>
      <w:r>
        <w:rPr>
          <w:rFonts w:ascii="Times New Roman" w:hAnsi="Times New Roman"/>
          <w:color w:val="000000"/>
          <w:sz w:val="20"/>
          <w:shd w:fill="FFFFFF" w:val="clear"/>
        </w:rPr>
        <w:t>means a collateralized mortgage obligation. CMOs are either loss share securities issued by a GSE or structured debt instruments representing interests in specified pools of mortgage loans subdivided into multiple classes, or tranches, of securities, with each tranche having different maturities or risk profiles.</w:t>
      </w:r>
    </w:p>
    <w:p>
      <w:pPr>
        <w:pStyle w:val="TextBody"/>
        <w:bidi w:val="0"/>
        <w:spacing w:before="0" w:after="0"/>
        <w:jc w:val="left"/>
        <w:rPr/>
      </w:pPr>
      <w:r>
        <w:rPr/>
      </w:r>
    </w:p>
    <w:p>
      <w:pPr>
        <w:pStyle w:val="TextBody"/>
        <w:bidi w:val="0"/>
        <w:spacing w:before="0" w:after="0"/>
        <w:jc w:val="both"/>
        <w:rPr>
          <w:color w:val="000000"/>
          <w:shd w:fill="FFFFFF" w:val="clear"/>
        </w:rPr>
      </w:pPr>
      <w:r>
        <w:rPr>
          <w:color w:val="000000"/>
          <w:shd w:fill="FFFFFF" w:val="clear"/>
        </w:rPr>
        <w:t> “</w:t>
      </w:r>
      <w:r>
        <w:rPr>
          <w:rFonts w:ascii="Times New Roman" w:hAnsi="Times New Roman"/>
          <w:b/>
          <w:color w:val="000000"/>
          <w:sz w:val="20"/>
          <w:shd w:fill="FFFFFF" w:val="clear"/>
        </w:rPr>
        <w:t>Code”</w:t>
      </w:r>
      <w:r>
        <w:rPr>
          <w:rFonts w:ascii="Times New Roman" w:hAnsi="Times New Roman"/>
          <w:color w:val="000000"/>
          <w:sz w:val="20"/>
          <w:shd w:fill="FFFFFF" w:val="clear"/>
        </w:rPr>
        <w:t xml:space="preserve"> means the Internal Revenue Code of 1986, as amended.</w:t>
      </w:r>
    </w:p>
    <w:p>
      <w:pPr>
        <w:pStyle w:val="TextBody"/>
        <w:bidi w:val="0"/>
        <w:spacing w:before="0" w:after="0"/>
        <w:jc w:val="left"/>
        <w:rPr/>
      </w:pPr>
      <w:r>
        <w:rPr/>
      </w:r>
    </w:p>
    <w:p>
      <w:pPr>
        <w:pStyle w:val="TextBody"/>
        <w:bidi w:val="0"/>
        <w:spacing w:before="0" w:after="0"/>
        <w:jc w:val="both"/>
        <w:rPr>
          <w:color w:val="000000"/>
          <w:shd w:fill="FFFFFF" w:val="clear"/>
        </w:rPr>
      </w:pPr>
      <w:r>
        <w:rPr>
          <w:color w:val="000000"/>
          <w:shd w:fill="FFFFFF" w:val="clear"/>
        </w:rPr>
        <w:t> “</w:t>
      </w:r>
      <w:r>
        <w:rPr>
          <w:rFonts w:ascii="Times New Roman" w:hAnsi="Times New Roman"/>
          <w:b/>
          <w:color w:val="000000"/>
          <w:sz w:val="20"/>
          <w:shd w:fill="FFFFFF" w:val="clear"/>
        </w:rPr>
        <w:t xml:space="preserve">credit enhancement” </w:t>
      </w:r>
      <w:r>
        <w:rPr>
          <w:rFonts w:ascii="Times New Roman" w:hAnsi="Times New Roman"/>
          <w:color w:val="000000"/>
          <w:sz w:val="20"/>
          <w:shd w:fill="FFFFFF" w:val="clear"/>
        </w:rPr>
        <w:t>means techniques to improve the credit ratings of securities, including overcollateralization, creating retained spread, creating subordinated tranches and insurance.</w:t>
      </w:r>
    </w:p>
    <w:p>
      <w:pPr>
        <w:pStyle w:val="TextBody"/>
        <w:bidi w:val="0"/>
        <w:spacing w:before="0" w:after="0"/>
        <w:jc w:val="left"/>
        <w:rPr/>
      </w:pPr>
      <w:r>
        <w:rPr/>
      </w:r>
    </w:p>
    <w:p>
      <w:pPr>
        <w:pStyle w:val="TextBody"/>
        <w:bidi w:val="0"/>
        <w:spacing w:before="0" w:after="0"/>
        <w:jc w:val="both"/>
        <w:rPr>
          <w:color w:val="000000"/>
          <w:shd w:fill="FFFFFF" w:val="clear"/>
        </w:rPr>
      </w:pPr>
      <w:r>
        <w:rPr>
          <w:color w:val="000000"/>
          <w:shd w:fill="FFFFFF" w:val="clear"/>
        </w:rPr>
        <w:t> “</w:t>
      </w:r>
      <w:r>
        <w:rPr>
          <w:rFonts w:ascii="Times New Roman" w:hAnsi="Times New Roman"/>
          <w:b/>
          <w:color w:val="000000"/>
          <w:sz w:val="20"/>
          <w:shd w:fill="FFFFFF" w:val="clear"/>
        </w:rPr>
        <w:t>ESG”</w:t>
      </w:r>
      <w:r>
        <w:rPr>
          <w:rFonts w:ascii="Times New Roman" w:hAnsi="Times New Roman"/>
          <w:color w:val="000000"/>
          <w:sz w:val="20"/>
          <w:shd w:fill="FFFFFF" w:val="clear"/>
        </w:rPr>
        <w:t xml:space="preserve"> means environmental, social, and governance.</w:t>
      </w:r>
    </w:p>
    <w:p>
      <w:pPr>
        <w:pStyle w:val="TextBody"/>
        <w:bidi w:val="0"/>
        <w:spacing w:before="0" w:after="0"/>
        <w:jc w:val="left"/>
        <w:rPr/>
      </w:pPr>
      <w:r>
        <w:rPr/>
      </w:r>
    </w:p>
    <w:p>
      <w:pPr>
        <w:pStyle w:val="TextBody"/>
        <w:bidi w:val="0"/>
        <w:spacing w:before="0" w:after="0"/>
        <w:jc w:val="both"/>
        <w:rPr>
          <w:color w:val="000000"/>
          <w:shd w:fill="FFFFFF" w:val="clear"/>
        </w:rPr>
      </w:pPr>
      <w:r>
        <w:rPr>
          <w:color w:val="000000"/>
          <w:shd w:fill="FFFFFF" w:val="clear"/>
        </w:rPr>
        <w:t> “</w:t>
      </w:r>
      <w:r>
        <w:rPr>
          <w:rFonts w:ascii="Times New Roman" w:hAnsi="Times New Roman"/>
          <w:b/>
          <w:color w:val="000000"/>
          <w:sz w:val="20"/>
          <w:shd w:fill="FFFFFF" w:val="clear"/>
        </w:rPr>
        <w:t xml:space="preserve">Excess MSR” </w:t>
      </w:r>
      <w:r>
        <w:rPr>
          <w:rFonts w:ascii="Times New Roman" w:hAnsi="Times New Roman"/>
          <w:color w:val="000000"/>
          <w:sz w:val="20"/>
          <w:shd w:fill="FFFFFF" w:val="clear"/>
        </w:rPr>
        <w:t>means an interest in an MSR, representing a portion of the interest payment collected from a pool of mortgage loans, net of a basic servicing fee paid to the mortgage servicer.</w:t>
      </w:r>
    </w:p>
    <w:p>
      <w:pPr>
        <w:pStyle w:val="TextBody"/>
        <w:bidi w:val="0"/>
        <w:spacing w:before="0" w:after="0"/>
        <w:jc w:val="left"/>
        <w:rPr/>
      </w:pPr>
      <w:r>
        <w:rPr/>
      </w:r>
    </w:p>
    <w:p>
      <w:pPr>
        <w:pStyle w:val="TextBody"/>
        <w:bidi w:val="0"/>
        <w:spacing w:before="0" w:after="0"/>
        <w:jc w:val="both"/>
        <w:rPr>
          <w:color w:val="000000"/>
          <w:shd w:fill="FFFFFF" w:val="clear"/>
        </w:rPr>
      </w:pPr>
      <w:r>
        <w:rPr>
          <w:color w:val="000000"/>
          <w:shd w:fill="FFFFFF" w:val="clear"/>
        </w:rPr>
        <w:t> “</w:t>
      </w:r>
      <w:r>
        <w:rPr>
          <w:rFonts w:ascii="Times New Roman" w:hAnsi="Times New Roman"/>
          <w:b/>
          <w:color w:val="000000"/>
          <w:sz w:val="20"/>
          <w:shd w:fill="FFFFFF" w:val="clear"/>
        </w:rPr>
        <w:t xml:space="preserve">Fannie Mae” </w:t>
      </w:r>
      <w:r>
        <w:rPr>
          <w:rFonts w:ascii="Times New Roman" w:hAnsi="Times New Roman"/>
          <w:color w:val="000000"/>
          <w:sz w:val="20"/>
          <w:shd w:fill="FFFFFF" w:val="clear"/>
        </w:rPr>
        <w:t>means the Federal National Mortgage Association.</w:t>
      </w:r>
    </w:p>
    <w:p>
      <w:pPr>
        <w:pStyle w:val="TextBody"/>
        <w:bidi w:val="0"/>
        <w:spacing w:before="0" w:after="0"/>
        <w:jc w:val="left"/>
        <w:rPr/>
      </w:pPr>
      <w:r>
        <w:rPr/>
      </w:r>
    </w:p>
    <w:p>
      <w:pPr>
        <w:pStyle w:val="TextBody"/>
        <w:bidi w:val="0"/>
        <w:spacing w:before="0" w:after="0"/>
        <w:jc w:val="both"/>
        <w:rPr>
          <w:color w:val="000000"/>
          <w:shd w:fill="FFFFFF" w:val="clear"/>
        </w:rPr>
      </w:pPr>
      <w:r>
        <w:rPr>
          <w:color w:val="000000"/>
          <w:shd w:fill="FFFFFF" w:val="clear"/>
        </w:rPr>
        <w:t> “</w:t>
      </w:r>
      <w:r>
        <w:rPr>
          <w:rFonts w:ascii="Times New Roman" w:hAnsi="Times New Roman"/>
          <w:b/>
          <w:color w:val="000000"/>
          <w:sz w:val="20"/>
          <w:shd w:fill="FFFFFF" w:val="clear"/>
        </w:rPr>
        <w:t>FASB”</w:t>
      </w:r>
      <w:r>
        <w:rPr>
          <w:rFonts w:ascii="Times New Roman" w:hAnsi="Times New Roman"/>
          <w:color w:val="000000"/>
          <w:sz w:val="20"/>
          <w:shd w:fill="FFFFFF" w:val="clear"/>
        </w:rPr>
        <w:t xml:space="preserve"> means the Financial Accounting Standards Board.</w:t>
      </w:r>
    </w:p>
    <w:p>
      <w:pPr>
        <w:pStyle w:val="TextBody"/>
        <w:bidi w:val="0"/>
        <w:spacing w:before="0" w:after="0"/>
        <w:jc w:val="left"/>
        <w:rPr/>
      </w:pPr>
      <w:r>
        <w:rPr/>
      </w:r>
    </w:p>
    <w:p>
      <w:pPr>
        <w:pStyle w:val="TextBody"/>
        <w:bidi w:val="0"/>
        <w:spacing w:before="0" w:after="0"/>
        <w:jc w:val="both"/>
        <w:rPr>
          <w:color w:val="000000"/>
          <w:shd w:fill="FFFFFF" w:val="clear"/>
        </w:rPr>
      </w:pPr>
      <w:r>
        <w:rPr>
          <w:color w:val="000000"/>
          <w:shd w:fill="FFFFFF" w:val="clear"/>
        </w:rPr>
        <w:t> “</w:t>
      </w:r>
      <w:r>
        <w:rPr>
          <w:rFonts w:ascii="Times New Roman" w:hAnsi="Times New Roman"/>
          <w:b/>
          <w:color w:val="000000"/>
          <w:sz w:val="20"/>
          <w:shd w:fill="FFFFFF" w:val="clear"/>
        </w:rPr>
        <w:t xml:space="preserve">Federal Reserve” </w:t>
      </w:r>
      <w:r>
        <w:rPr>
          <w:rFonts w:ascii="Times New Roman" w:hAnsi="Times New Roman"/>
          <w:color w:val="000000"/>
          <w:sz w:val="20"/>
          <w:shd w:fill="FFFFFF" w:val="clear"/>
        </w:rPr>
        <w:t>means the U.S. Federal Reserve.</w:t>
      </w:r>
    </w:p>
    <w:p>
      <w:pPr>
        <w:pStyle w:val="TextBody"/>
        <w:bidi w:val="0"/>
        <w:spacing w:before="0" w:after="0"/>
        <w:jc w:val="left"/>
        <w:rPr/>
      </w:pPr>
      <w:r>
        <w:rPr/>
      </w:r>
    </w:p>
    <w:p>
      <w:pPr>
        <w:pStyle w:val="TextBody"/>
        <w:bidi w:val="0"/>
        <w:spacing w:before="0" w:after="0"/>
        <w:jc w:val="both"/>
        <w:rPr>
          <w:color w:val="000000"/>
          <w:shd w:fill="FFFFFF" w:val="clear"/>
        </w:rPr>
      </w:pPr>
      <w:r>
        <w:rPr>
          <w:color w:val="000000"/>
          <w:shd w:fill="FFFFFF" w:val="clear"/>
        </w:rPr>
        <w:t> “</w:t>
      </w:r>
      <w:r>
        <w:rPr>
          <w:rFonts w:ascii="Times New Roman" w:hAnsi="Times New Roman"/>
          <w:b/>
          <w:color w:val="000000"/>
          <w:sz w:val="20"/>
          <w:shd w:fill="FFFFFF" w:val="clear"/>
        </w:rPr>
        <w:t xml:space="preserve">Freddie Mac” </w:t>
      </w:r>
      <w:r>
        <w:rPr>
          <w:rFonts w:ascii="Times New Roman" w:hAnsi="Times New Roman"/>
          <w:color w:val="000000"/>
          <w:sz w:val="20"/>
          <w:shd w:fill="FFFFFF" w:val="clear"/>
        </w:rPr>
        <w:t>means the Federal Home Loan Mortgage Corporation.</w:t>
      </w:r>
    </w:p>
    <w:p>
      <w:pPr>
        <w:pStyle w:val="TextBody"/>
        <w:bidi w:val="0"/>
        <w:spacing w:before="0" w:after="0"/>
        <w:jc w:val="left"/>
        <w:rPr/>
      </w:pPr>
      <w:r>
        <w:rPr/>
      </w:r>
    </w:p>
    <w:p>
      <w:pPr>
        <w:pStyle w:val="TextBody"/>
        <w:bidi w:val="0"/>
        <w:spacing w:before="0" w:after="0"/>
        <w:jc w:val="both"/>
        <w:rPr>
          <w:color w:val="000000"/>
          <w:shd w:fill="FFFFFF" w:val="clear"/>
        </w:rPr>
      </w:pPr>
      <w:r>
        <w:rPr>
          <w:color w:val="000000"/>
          <w:shd w:fill="FFFFFF" w:val="clear"/>
        </w:rPr>
        <w:t> “</w:t>
      </w:r>
      <w:r>
        <w:rPr>
          <w:rFonts w:ascii="Times New Roman" w:hAnsi="Times New Roman"/>
          <w:b/>
          <w:color w:val="000000"/>
          <w:sz w:val="20"/>
          <w:shd w:fill="FFFFFF" w:val="clear"/>
        </w:rPr>
        <w:t>GAAP”</w:t>
      </w:r>
      <w:r>
        <w:rPr>
          <w:rFonts w:ascii="Times New Roman" w:hAnsi="Times New Roman"/>
          <w:color w:val="000000"/>
          <w:sz w:val="20"/>
          <w:shd w:fill="FFFFFF" w:val="clear"/>
        </w:rPr>
        <w:t xml:space="preserve"> means U.S. generally accepted accounting principles.</w:t>
      </w:r>
    </w:p>
    <w:p>
      <w:pPr>
        <w:pStyle w:val="TextBody"/>
        <w:bidi w:val="0"/>
        <w:spacing w:before="0" w:after="0"/>
        <w:jc w:val="left"/>
        <w:rPr/>
      </w:pPr>
      <w:r>
        <w:rPr/>
      </w:r>
    </w:p>
    <w:p>
      <w:pPr>
        <w:pStyle w:val="TextBody"/>
        <w:bidi w:val="0"/>
        <w:spacing w:before="0" w:after="0"/>
        <w:jc w:val="both"/>
        <w:rPr>
          <w:color w:val="000000"/>
          <w:shd w:fill="FFFFFF" w:val="clear"/>
        </w:rPr>
      </w:pPr>
      <w:r>
        <w:rPr>
          <w:color w:val="000000"/>
          <w:shd w:fill="FFFFFF" w:val="clear"/>
        </w:rPr>
        <w:t> “</w:t>
      </w:r>
      <w:r>
        <w:rPr>
          <w:rFonts w:ascii="Times New Roman" w:hAnsi="Times New Roman"/>
          <w:b/>
          <w:color w:val="000000"/>
          <w:sz w:val="20"/>
          <w:shd w:fill="FFFFFF" w:val="clear"/>
        </w:rPr>
        <w:t xml:space="preserve">Ginnie Mae” </w:t>
      </w:r>
      <w:r>
        <w:rPr>
          <w:rFonts w:ascii="Times New Roman" w:hAnsi="Times New Roman"/>
          <w:color w:val="000000"/>
          <w:sz w:val="20"/>
          <w:shd w:fill="FFFFFF" w:val="clear"/>
        </w:rPr>
        <w:t>means the Government National Mortgage Association, a wholly-owned corporate instrumentality of the United States of America within the U.S. Department of Housing and Urban Development.</w:t>
      </w:r>
    </w:p>
    <w:p>
      <w:pPr>
        <w:pStyle w:val="TextBody"/>
        <w:bidi w:val="0"/>
        <w:spacing w:before="0" w:after="0"/>
        <w:jc w:val="left"/>
        <w:rPr/>
      </w:pPr>
      <w:r>
        <w:rPr/>
      </w:r>
    </w:p>
    <w:p>
      <w:pPr>
        <w:pStyle w:val="TextBody"/>
        <w:bidi w:val="0"/>
        <w:spacing w:before="0" w:after="0"/>
        <w:jc w:val="both"/>
        <w:rPr>
          <w:color w:val="000000"/>
          <w:shd w:fill="FFFFFF" w:val="clear"/>
        </w:rPr>
      </w:pPr>
      <w:r>
        <w:rPr>
          <w:color w:val="000000"/>
          <w:shd w:fill="FFFFFF" w:val="clear"/>
        </w:rPr>
        <w:t> “</w:t>
      </w:r>
      <w:r>
        <w:rPr>
          <w:rFonts w:ascii="Times New Roman" w:hAnsi="Times New Roman"/>
          <w:b/>
          <w:color w:val="000000"/>
          <w:sz w:val="20"/>
          <w:shd w:fill="FFFFFF" w:val="clear"/>
        </w:rPr>
        <w:t xml:space="preserve">GSE” </w:t>
      </w:r>
      <w:r>
        <w:rPr>
          <w:rFonts w:ascii="Times New Roman" w:hAnsi="Times New Roman"/>
          <w:color w:val="000000"/>
          <w:sz w:val="20"/>
          <w:shd w:fill="FFFFFF" w:val="clear"/>
        </w:rPr>
        <w:t>means a government-sponsored enterprise. When we refer to GSEs, we mean Fannie Mae or Freddie Mac.</w:t>
      </w:r>
    </w:p>
    <w:p>
      <w:pPr>
        <w:pStyle w:val="TextBody"/>
        <w:bidi w:val="0"/>
        <w:spacing w:before="0" w:after="0"/>
        <w:jc w:val="left"/>
        <w:rPr/>
      </w:pPr>
      <w:r>
        <w:rPr/>
      </w:r>
    </w:p>
    <w:p>
      <w:pPr>
        <w:pStyle w:val="TextBody"/>
        <w:bidi w:val="0"/>
        <w:spacing w:before="0" w:after="0"/>
        <w:jc w:val="both"/>
        <w:rPr>
          <w:color w:val="000000"/>
          <w:shd w:fill="FFFFFF" w:val="clear"/>
        </w:rPr>
      </w:pPr>
      <w:r>
        <w:rPr>
          <w:color w:val="000000"/>
          <w:shd w:fill="FFFFFF" w:val="clear"/>
        </w:rPr>
        <w:t> “</w:t>
      </w:r>
      <w:r>
        <w:rPr>
          <w:rFonts w:ascii="Times New Roman" w:hAnsi="Times New Roman"/>
          <w:b/>
          <w:color w:val="000000"/>
          <w:sz w:val="20"/>
          <w:shd w:fill="FFFFFF" w:val="clear"/>
        </w:rPr>
        <w:t xml:space="preserve">hybrid ARM” </w:t>
      </w:r>
      <w:r>
        <w:rPr>
          <w:rFonts w:ascii="Times New Roman" w:hAnsi="Times New Roman"/>
          <w:color w:val="000000"/>
          <w:sz w:val="20"/>
          <w:shd w:fill="FFFFFF" w:val="clear"/>
        </w:rPr>
        <w:t>means a residential mortgage loan that has an interest rate that is fixed for a specified period of time (typically three, five, seven or ten years) and thereafter adjusts to an increment over a specified interest rate index.</w:t>
      </w:r>
    </w:p>
    <w:p>
      <w:pPr>
        <w:pStyle w:val="TextBody"/>
        <w:bidi w:val="0"/>
        <w:spacing w:before="0" w:after="0"/>
        <w:jc w:val="left"/>
        <w:rPr/>
      </w:pPr>
      <w:r>
        <w:rPr/>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both"/>
        <w:rPr>
          <w:color w:val="000000"/>
          <w:shd w:fill="FFFFFF" w:val="clear"/>
        </w:rPr>
      </w:pPr>
      <w:r>
        <w:rPr>
          <w:color w:val="000000"/>
          <w:shd w:fill="FFFFFF" w:val="clear"/>
        </w:rPr>
        <w:t>“</w:t>
      </w:r>
      <w:r>
        <w:rPr>
          <w:rFonts w:ascii="Times New Roman" w:hAnsi="Times New Roman"/>
          <w:b/>
          <w:color w:val="000000"/>
          <w:sz w:val="20"/>
          <w:shd w:fill="FFFFFF" w:val="clear"/>
        </w:rPr>
        <w:t xml:space="preserve">inverse IO” </w:t>
      </w:r>
      <w:r>
        <w:rPr>
          <w:rFonts w:ascii="Times New Roman" w:hAnsi="Times New Roman"/>
          <w:color w:val="000000"/>
          <w:sz w:val="20"/>
          <w:shd w:fill="FFFFFF" w:val="clear"/>
        </w:rPr>
        <w:t>means an inverse interest-only security, which is a type of stripped security. These debt securities receive no principal payments and have a coupon rate which has an inverse relationship to its reference index.</w:t>
      </w:r>
    </w:p>
    <w:p>
      <w:pPr>
        <w:pStyle w:val="TextBody"/>
        <w:bidi w:val="0"/>
        <w:spacing w:before="0" w:after="0"/>
        <w:jc w:val="left"/>
        <w:rPr/>
      </w:pPr>
      <w:r>
        <w:rPr/>
      </w:r>
    </w:p>
    <w:p>
      <w:pPr>
        <w:pStyle w:val="TextBody"/>
        <w:bidi w:val="0"/>
        <w:spacing w:before="0" w:after="0"/>
        <w:jc w:val="both"/>
        <w:rPr>
          <w:color w:val="000000"/>
          <w:shd w:fill="FFFFFF" w:val="clear"/>
        </w:rPr>
      </w:pPr>
      <w:r>
        <w:rPr>
          <w:color w:val="000000"/>
          <w:shd w:fill="FFFFFF" w:val="clear"/>
        </w:rPr>
        <w:t>“</w:t>
      </w:r>
      <w:r>
        <w:rPr>
          <w:rFonts w:ascii="Times New Roman" w:hAnsi="Times New Roman"/>
          <w:b/>
          <w:color w:val="000000"/>
          <w:sz w:val="20"/>
          <w:shd w:fill="FFFFFF" w:val="clear"/>
        </w:rPr>
        <w:t xml:space="preserve">IO” </w:t>
      </w:r>
      <w:r>
        <w:rPr>
          <w:rFonts w:ascii="Times New Roman" w:hAnsi="Times New Roman"/>
          <w:color w:val="000000"/>
          <w:sz w:val="20"/>
          <w:shd w:fill="FFFFFF" w:val="clear"/>
        </w:rPr>
        <w:t>means an interest-only security, which is a type of stripped security. IO strips receive a specified portion of the interest on the underlying assets.</w:t>
      </w:r>
    </w:p>
    <w:p>
      <w:pPr>
        <w:pStyle w:val="TextBody"/>
        <w:bidi w:val="0"/>
        <w:spacing w:before="0" w:after="0"/>
        <w:jc w:val="left"/>
        <w:rPr/>
      </w:pPr>
      <w:r>
        <w:rPr/>
      </w:r>
    </w:p>
    <w:p>
      <w:pPr>
        <w:pStyle w:val="TextBody"/>
        <w:bidi w:val="0"/>
        <w:spacing w:before="0" w:after="0"/>
        <w:jc w:val="both"/>
        <w:rPr>
          <w:color w:val="000000"/>
          <w:shd w:fill="FFFFFF" w:val="clear"/>
        </w:rPr>
      </w:pPr>
      <w:r>
        <w:rPr>
          <w:color w:val="000000"/>
          <w:shd w:fill="FFFFFF" w:val="clear"/>
        </w:rPr>
        <w:t>“</w:t>
      </w:r>
      <w:r>
        <w:rPr>
          <w:rFonts w:ascii="Times New Roman" w:hAnsi="Times New Roman"/>
          <w:b/>
          <w:color w:val="000000"/>
          <w:sz w:val="20"/>
          <w:shd w:fill="FFFFFF" w:val="clear"/>
        </w:rPr>
        <w:t xml:space="preserve">MBS” </w:t>
      </w:r>
      <w:r>
        <w:rPr>
          <w:rFonts w:ascii="Times New Roman" w:hAnsi="Times New Roman"/>
          <w:color w:val="000000"/>
          <w:sz w:val="20"/>
          <w:shd w:fill="FFFFFF" w:val="clear"/>
        </w:rPr>
        <w:t>means mortgage-backed securities.</w:t>
      </w:r>
    </w:p>
    <w:p>
      <w:pPr>
        <w:pStyle w:val="TextBody"/>
        <w:bidi w:val="0"/>
        <w:spacing w:before="0" w:after="0"/>
        <w:jc w:val="left"/>
        <w:rPr/>
      </w:pPr>
      <w:r>
        <w:rPr/>
      </w:r>
    </w:p>
    <w:p>
      <w:pPr>
        <w:pStyle w:val="TextBody"/>
        <w:bidi w:val="0"/>
        <w:spacing w:before="0" w:after="0"/>
        <w:jc w:val="both"/>
        <w:rPr>
          <w:color w:val="000000"/>
          <w:shd w:fill="FFFFFF" w:val="clear"/>
        </w:rPr>
      </w:pPr>
      <w:r>
        <w:rPr>
          <w:color w:val="000000"/>
          <w:shd w:fill="FFFFFF" w:val="clear"/>
        </w:rPr>
        <w:t>“</w:t>
      </w:r>
      <w:r>
        <w:rPr>
          <w:rFonts w:ascii="Times New Roman" w:hAnsi="Times New Roman"/>
          <w:b/>
          <w:color w:val="000000"/>
          <w:sz w:val="20"/>
          <w:shd w:fill="FFFFFF" w:val="clear"/>
        </w:rPr>
        <w:t xml:space="preserve">mortgage loan” </w:t>
      </w:r>
      <w:r>
        <w:rPr>
          <w:rFonts w:ascii="Times New Roman" w:hAnsi="Times New Roman"/>
          <w:color w:val="000000"/>
          <w:sz w:val="20"/>
          <w:shd w:fill="FFFFFF" w:val="clear"/>
        </w:rPr>
        <w:t>means a loan secured by real estate together with the right to receive the payment of principal and interest on the loan (including the servicing fee).</w:t>
      </w:r>
    </w:p>
    <w:p>
      <w:pPr>
        <w:pStyle w:val="TextBody"/>
        <w:bidi w:val="0"/>
        <w:spacing w:before="0" w:after="0"/>
        <w:jc w:val="left"/>
        <w:rPr/>
      </w:pPr>
      <w:r>
        <w:rPr/>
      </w:r>
    </w:p>
    <w:p>
      <w:pPr>
        <w:pStyle w:val="TextBody"/>
        <w:bidi w:val="0"/>
        <w:spacing w:before="0" w:after="0"/>
        <w:jc w:val="both"/>
        <w:rPr>
          <w:color w:val="000000"/>
          <w:shd w:fill="FFFFFF" w:val="clear"/>
        </w:rPr>
      </w:pPr>
      <w:r>
        <w:rPr>
          <w:color w:val="000000"/>
          <w:shd w:fill="FFFFFF" w:val="clear"/>
        </w:rPr>
        <w:t>“</w:t>
      </w:r>
      <w:r>
        <w:rPr>
          <w:rFonts w:ascii="Times New Roman" w:hAnsi="Times New Roman"/>
          <w:b/>
          <w:color w:val="000000"/>
          <w:sz w:val="20"/>
          <w:shd w:fill="FFFFFF" w:val="clear"/>
        </w:rPr>
        <w:t xml:space="preserve">MSR” </w:t>
      </w:r>
      <w:r>
        <w:rPr>
          <w:rFonts w:ascii="Times New Roman" w:hAnsi="Times New Roman"/>
          <w:color w:val="000000"/>
          <w:sz w:val="20"/>
          <w:shd w:fill="FFFFFF" w:val="clear"/>
        </w:rPr>
        <w:t>means a mortgage servicing right. An MSR provides a mortgage servicer with the right to service a mortgage loan or a pool of mortgages in exchange for a portion of the interest payments made on the mortgage or the underlying mortgages. An MSR is made up of two components: a basic servicing fee and an Excess MSR. The basic servicing fee is the amount of compensation for the performance of servicing duties.</w:t>
      </w:r>
    </w:p>
    <w:p>
      <w:pPr>
        <w:pStyle w:val="TextBody"/>
        <w:bidi w:val="0"/>
        <w:spacing w:before="0" w:after="0"/>
        <w:jc w:val="left"/>
        <w:rPr/>
      </w:pPr>
      <w:r>
        <w:rPr/>
      </w:r>
    </w:p>
    <w:p>
      <w:pPr>
        <w:pStyle w:val="TextBody"/>
        <w:bidi w:val="0"/>
        <w:spacing w:before="0" w:after="0"/>
        <w:jc w:val="both"/>
        <w:rPr>
          <w:color w:val="000000"/>
          <w:shd w:fill="FFFFFF" w:val="clear"/>
        </w:rPr>
      </w:pPr>
      <w:r>
        <w:rPr>
          <w:color w:val="000000"/>
          <w:shd w:fill="FFFFFF" w:val="clear"/>
        </w:rPr>
        <w:t>“</w:t>
      </w:r>
      <w:r>
        <w:rPr>
          <w:rFonts w:ascii="Times New Roman" w:hAnsi="Times New Roman"/>
          <w:b/>
          <w:color w:val="000000"/>
          <w:sz w:val="20"/>
          <w:shd w:fill="FFFFFF" w:val="clear"/>
        </w:rPr>
        <w:t xml:space="preserve">non-Agency RMBS” </w:t>
      </w:r>
      <w:r>
        <w:rPr>
          <w:rFonts w:ascii="Times New Roman" w:hAnsi="Times New Roman"/>
          <w:color w:val="000000"/>
          <w:sz w:val="20"/>
          <w:shd w:fill="FFFFFF" w:val="clear"/>
        </w:rPr>
        <w:t>means CMOs that either are loss share securities issued by a GSE or are not issued or guaranteed by an Agency, including investment grade (AAA through BBB rated) and non-investment grade (BB rated through unrated) classes.</w:t>
      </w:r>
    </w:p>
    <w:p>
      <w:pPr>
        <w:pStyle w:val="TextBody"/>
        <w:bidi w:val="0"/>
        <w:spacing w:before="0" w:after="0"/>
        <w:jc w:val="left"/>
        <w:rPr/>
      </w:pPr>
      <w:r>
        <w:rPr/>
      </w:r>
    </w:p>
    <w:p>
      <w:pPr>
        <w:pStyle w:val="TextBody"/>
        <w:bidi w:val="0"/>
        <w:spacing w:before="0" w:after="0"/>
        <w:jc w:val="both"/>
        <w:rPr>
          <w:color w:val="000000"/>
          <w:shd w:fill="FFFFFF" w:val="clear"/>
        </w:rPr>
      </w:pPr>
      <w:r>
        <w:rPr>
          <w:color w:val="000000"/>
          <w:shd w:fill="FFFFFF" w:val="clear"/>
        </w:rPr>
        <w:t>“</w:t>
      </w:r>
      <w:r>
        <w:rPr>
          <w:rFonts w:ascii="Times New Roman" w:hAnsi="Times New Roman"/>
          <w:b/>
          <w:color w:val="000000"/>
          <w:sz w:val="20"/>
          <w:shd w:fill="FFFFFF" w:val="clear"/>
        </w:rPr>
        <w:t>REIT”</w:t>
      </w:r>
      <w:r>
        <w:rPr>
          <w:rFonts w:ascii="Times New Roman" w:hAnsi="Times New Roman"/>
          <w:color w:val="000000"/>
          <w:sz w:val="20"/>
          <w:shd w:fill="FFFFFF" w:val="clear"/>
        </w:rPr>
        <w:t xml:space="preserve"> means a real estate investment trust under the Code.</w:t>
      </w:r>
    </w:p>
    <w:p>
      <w:pPr>
        <w:pStyle w:val="TextBody"/>
        <w:bidi w:val="0"/>
        <w:spacing w:before="0" w:after="0"/>
        <w:jc w:val="left"/>
        <w:rPr/>
      </w:pPr>
      <w:r>
        <w:rPr/>
      </w:r>
    </w:p>
    <w:p>
      <w:pPr>
        <w:pStyle w:val="TextBody"/>
        <w:bidi w:val="0"/>
        <w:spacing w:before="0" w:after="0"/>
        <w:jc w:val="both"/>
        <w:rPr>
          <w:color w:val="000000"/>
          <w:shd w:fill="FFFFFF" w:val="clear"/>
        </w:rPr>
      </w:pPr>
      <w:r>
        <w:rPr>
          <w:color w:val="000000"/>
          <w:shd w:fill="FFFFFF" w:val="clear"/>
        </w:rPr>
        <w:t>“</w:t>
      </w:r>
      <w:r>
        <w:rPr>
          <w:rFonts w:ascii="Times New Roman" w:hAnsi="Times New Roman"/>
          <w:b/>
          <w:color w:val="000000"/>
          <w:sz w:val="20"/>
          <w:shd w:fill="FFFFFF" w:val="clear"/>
        </w:rPr>
        <w:t>residential mortgage pass-through certificate”</w:t>
      </w:r>
      <w:r>
        <w:rPr>
          <w:rFonts w:ascii="Times New Roman" w:hAnsi="Times New Roman"/>
          <w:color w:val="000000"/>
          <w:sz w:val="20"/>
          <w:shd w:fill="FFFFFF" w:val="clear"/>
        </w:rPr>
        <w:t xml:space="preserve"> is a MBS that represents an interest in a “pool” of mortgage loans secured by residential real property where payments of both interest and principal (including principal prepayments) on the underlying residential mortgage loans are made monthly to holders of the security, in effect “passing through” monthly payments made by the individual borrowers on the mortgage loans that underlie the security, net of fees paid to the issuer/guarantor and servicer.</w:t>
      </w:r>
    </w:p>
    <w:p>
      <w:pPr>
        <w:pStyle w:val="TextBody"/>
        <w:bidi w:val="0"/>
        <w:spacing w:before="0" w:after="0"/>
        <w:jc w:val="left"/>
        <w:rPr/>
      </w:pPr>
      <w:r>
        <w:rPr/>
      </w:r>
    </w:p>
    <w:p>
      <w:pPr>
        <w:pStyle w:val="TextBody"/>
        <w:bidi w:val="0"/>
        <w:spacing w:before="0" w:after="0"/>
        <w:jc w:val="both"/>
        <w:rPr>
          <w:color w:val="000000"/>
          <w:shd w:fill="FFFFFF" w:val="clear"/>
        </w:rPr>
      </w:pPr>
      <w:r>
        <w:rPr>
          <w:color w:val="000000"/>
          <w:shd w:fill="FFFFFF" w:val="clear"/>
        </w:rPr>
        <w:t>“</w:t>
      </w:r>
      <w:r>
        <w:rPr>
          <w:rFonts w:ascii="Times New Roman" w:hAnsi="Times New Roman"/>
          <w:b/>
          <w:color w:val="000000"/>
          <w:sz w:val="20"/>
          <w:shd w:fill="FFFFFF" w:val="clear"/>
        </w:rPr>
        <w:t xml:space="preserve">RMBS” </w:t>
      </w:r>
      <w:r>
        <w:rPr>
          <w:rFonts w:ascii="Times New Roman" w:hAnsi="Times New Roman"/>
          <w:color w:val="000000"/>
          <w:sz w:val="20"/>
          <w:shd w:fill="FFFFFF" w:val="clear"/>
        </w:rPr>
        <w:t>means an Agency residential MBS or a non-Agency residential MBS.</w:t>
      </w:r>
    </w:p>
    <w:p>
      <w:pPr>
        <w:pStyle w:val="TextBody"/>
        <w:bidi w:val="0"/>
        <w:spacing w:before="0" w:after="0"/>
        <w:jc w:val="left"/>
        <w:rPr/>
      </w:pPr>
      <w:r>
        <w:rPr/>
      </w:r>
    </w:p>
    <w:p>
      <w:pPr>
        <w:pStyle w:val="TextBody"/>
        <w:bidi w:val="0"/>
        <w:spacing w:before="0" w:after="0"/>
        <w:jc w:val="both"/>
        <w:rPr>
          <w:color w:val="000000"/>
          <w:shd w:fill="FFFFFF" w:val="clear"/>
        </w:rPr>
      </w:pPr>
      <w:r>
        <w:rPr>
          <w:color w:val="000000"/>
          <w:shd w:fill="FFFFFF" w:val="clear"/>
        </w:rPr>
        <w:t>“</w:t>
      </w:r>
      <w:r>
        <w:rPr>
          <w:rFonts w:ascii="Times New Roman" w:hAnsi="Times New Roman"/>
          <w:b/>
          <w:color w:val="000000"/>
          <w:sz w:val="20"/>
          <w:shd w:fill="FFFFFF" w:val="clear"/>
        </w:rPr>
        <w:t>Servicing Related Assets”</w:t>
      </w:r>
      <w:r>
        <w:rPr>
          <w:rFonts w:ascii="Times New Roman" w:hAnsi="Times New Roman"/>
          <w:color w:val="000000"/>
          <w:sz w:val="20"/>
          <w:shd w:fill="FFFFFF" w:val="clear"/>
        </w:rPr>
        <w:t xml:space="preserve"> means Excess MSRs and MSRs.</w:t>
      </w:r>
    </w:p>
    <w:p>
      <w:pPr>
        <w:pStyle w:val="TextBody"/>
        <w:bidi w:val="0"/>
        <w:spacing w:before="0" w:after="0"/>
        <w:jc w:val="left"/>
        <w:rPr/>
      </w:pPr>
      <w:r>
        <w:rPr/>
      </w:r>
    </w:p>
    <w:p>
      <w:pPr>
        <w:pStyle w:val="TextBody"/>
        <w:bidi w:val="0"/>
        <w:spacing w:before="0" w:after="0"/>
        <w:jc w:val="both"/>
        <w:rPr>
          <w:color w:val="000000"/>
          <w:shd w:fill="FFFFFF" w:val="clear"/>
        </w:rPr>
      </w:pPr>
      <w:r>
        <w:rPr>
          <w:color w:val="000000"/>
          <w:shd w:fill="FFFFFF" w:val="clear"/>
        </w:rPr>
        <w:t>“</w:t>
      </w:r>
      <w:r>
        <w:rPr>
          <w:rFonts w:ascii="Times New Roman" w:hAnsi="Times New Roman"/>
          <w:b/>
          <w:color w:val="000000"/>
          <w:sz w:val="20"/>
          <w:shd w:fill="FFFFFF" w:val="clear"/>
        </w:rPr>
        <w:t xml:space="preserve">SIFMA” </w:t>
      </w:r>
      <w:r>
        <w:rPr>
          <w:rFonts w:ascii="Times New Roman" w:hAnsi="Times New Roman"/>
          <w:color w:val="000000"/>
          <w:sz w:val="20"/>
          <w:shd w:fill="FFFFFF" w:val="clear"/>
        </w:rPr>
        <w:t>means the Securities Industry and Financial Markets Association.</w:t>
      </w:r>
    </w:p>
    <w:p>
      <w:pPr>
        <w:pStyle w:val="TextBody"/>
        <w:bidi w:val="0"/>
        <w:spacing w:before="0" w:after="0"/>
        <w:jc w:val="left"/>
        <w:rPr/>
      </w:pPr>
      <w:r>
        <w:rPr/>
      </w:r>
    </w:p>
    <w:p>
      <w:pPr>
        <w:pStyle w:val="TextBody"/>
        <w:bidi w:val="0"/>
        <w:spacing w:before="0" w:after="0"/>
        <w:jc w:val="both"/>
        <w:rPr>
          <w:color w:val="000000"/>
          <w:shd w:fill="FFFFFF" w:val="clear"/>
        </w:rPr>
      </w:pPr>
      <w:r>
        <w:rPr>
          <w:color w:val="000000"/>
          <w:shd w:fill="FFFFFF" w:val="clear"/>
        </w:rPr>
        <w:t>“</w:t>
      </w:r>
      <w:r>
        <w:rPr>
          <w:rFonts w:ascii="Times New Roman" w:hAnsi="Times New Roman"/>
          <w:b/>
          <w:color w:val="000000"/>
          <w:sz w:val="20"/>
          <w:shd w:fill="FFFFFF" w:val="clear"/>
        </w:rPr>
        <w:t xml:space="preserve">stripped security” </w:t>
      </w:r>
      <w:r>
        <w:rPr>
          <w:rFonts w:ascii="Times New Roman" w:hAnsi="Times New Roman"/>
          <w:color w:val="000000"/>
          <w:sz w:val="20"/>
          <w:shd w:fill="FFFFFF" w:val="clear"/>
        </w:rPr>
        <w:t>is an RMBS structured with two or more classes that receives different distributions of principal or interest on a pool of RMBS. Stripped securities include IOs and inverse IOs.</w:t>
      </w:r>
    </w:p>
    <w:p>
      <w:pPr>
        <w:pStyle w:val="TextBody"/>
        <w:bidi w:val="0"/>
        <w:spacing w:before="0" w:after="0"/>
        <w:jc w:val="left"/>
        <w:rPr/>
      </w:pPr>
      <w:r>
        <w:rPr/>
      </w:r>
    </w:p>
    <w:p>
      <w:pPr>
        <w:pStyle w:val="TextBody"/>
        <w:bidi w:val="0"/>
        <w:spacing w:before="0" w:after="0"/>
        <w:jc w:val="both"/>
        <w:rPr>
          <w:color w:val="000000"/>
          <w:shd w:fill="FFFFFF" w:val="clear"/>
        </w:rPr>
      </w:pPr>
      <w:r>
        <w:rPr>
          <w:color w:val="000000"/>
          <w:shd w:fill="FFFFFF" w:val="clear"/>
        </w:rPr>
        <w:t>“</w:t>
      </w:r>
      <w:r>
        <w:rPr>
          <w:rFonts w:ascii="Times New Roman" w:hAnsi="Times New Roman"/>
          <w:b/>
          <w:color w:val="000000"/>
          <w:sz w:val="20"/>
          <w:shd w:fill="FFFFFF" w:val="clear"/>
        </w:rPr>
        <w:t xml:space="preserve">TBA” </w:t>
      </w:r>
      <w:r>
        <w:rPr>
          <w:rFonts w:ascii="Times New Roman" w:hAnsi="Times New Roman"/>
          <w:color w:val="000000"/>
          <w:sz w:val="20"/>
          <w:shd w:fill="FFFFFF" w:val="clear"/>
        </w:rPr>
        <w:t>means a forward-settling Agency RMBS where the pool is “to-be-announced.” In a TBA, a buyer will agree to purchase, for future delivery, Agency RMBS with certain principal and interest terms and certain types of underlying collateral, but the particular Agency RMBS to be delivered is not identified until shortly before the TBA settlement date.</w:t>
      </w:r>
    </w:p>
    <w:p>
      <w:pPr>
        <w:pStyle w:val="TextBody"/>
        <w:bidi w:val="0"/>
        <w:spacing w:before="0" w:after="0"/>
        <w:jc w:val="left"/>
        <w:rPr/>
      </w:pPr>
      <w:r>
        <w:rPr/>
      </w:r>
    </w:p>
    <w:p>
      <w:pPr>
        <w:pStyle w:val="TextBody"/>
        <w:bidi w:val="0"/>
        <w:spacing w:before="0" w:after="0"/>
        <w:jc w:val="both"/>
        <w:rPr>
          <w:color w:val="000000"/>
          <w:shd w:fill="FFFFFF" w:val="clear"/>
        </w:rPr>
      </w:pPr>
      <w:r>
        <w:rPr>
          <w:color w:val="000000"/>
          <w:shd w:fill="FFFFFF" w:val="clear"/>
        </w:rPr>
        <w:t>“</w:t>
      </w:r>
      <w:r>
        <w:rPr>
          <w:rFonts w:ascii="Times New Roman" w:hAnsi="Times New Roman"/>
          <w:b/>
          <w:color w:val="000000"/>
          <w:sz w:val="20"/>
          <w:shd w:fill="FFFFFF" w:val="clear"/>
        </w:rPr>
        <w:t>TRS”</w:t>
      </w:r>
      <w:r>
        <w:rPr>
          <w:rFonts w:ascii="Times New Roman" w:hAnsi="Times New Roman"/>
          <w:color w:val="000000"/>
          <w:sz w:val="20"/>
          <w:shd w:fill="FFFFFF" w:val="clear"/>
        </w:rPr>
        <w:t xml:space="preserve"> means a taxable REIT subsidiary.</w:t>
      </w:r>
    </w:p>
    <w:p>
      <w:pPr>
        <w:pStyle w:val="TextBody"/>
        <w:bidi w:val="0"/>
        <w:spacing w:before="0" w:after="0"/>
        <w:jc w:val="left"/>
        <w:rPr/>
      </w:pPr>
      <w:r>
        <w:rPr/>
      </w:r>
    </w:p>
    <w:p>
      <w:pPr>
        <w:pStyle w:val="TextBody"/>
        <w:bidi w:val="0"/>
        <w:spacing w:before="0" w:after="0"/>
        <w:jc w:val="both"/>
        <w:rPr>
          <w:color w:val="000000"/>
          <w:shd w:fill="FFFFFF" w:val="clear"/>
        </w:rPr>
      </w:pPr>
      <w:r>
        <w:rPr>
          <w:color w:val="000000"/>
          <w:shd w:fill="FFFFFF" w:val="clear"/>
        </w:rPr>
        <w:t>“</w:t>
      </w:r>
      <w:r>
        <w:rPr>
          <w:rFonts w:ascii="Times New Roman" w:hAnsi="Times New Roman"/>
          <w:b/>
          <w:color w:val="000000"/>
          <w:sz w:val="20"/>
          <w:shd w:fill="FFFFFF" w:val="clear"/>
        </w:rPr>
        <w:t xml:space="preserve">UPB” </w:t>
      </w:r>
      <w:r>
        <w:rPr>
          <w:rFonts w:ascii="Times New Roman" w:hAnsi="Times New Roman"/>
          <w:color w:val="000000"/>
          <w:sz w:val="20"/>
          <w:shd w:fill="FFFFFF" w:val="clear"/>
        </w:rPr>
        <w:t>means unpaid principal balance.</w:t>
      </w:r>
    </w:p>
    <w:p>
      <w:pPr>
        <w:pStyle w:val="TextBody"/>
        <w:bidi w:val="0"/>
        <w:spacing w:before="0" w:after="0"/>
        <w:jc w:val="left"/>
        <w:rPr/>
      </w:pPr>
      <w:r>
        <w:rPr/>
      </w:r>
    </w:p>
    <w:p>
      <w:pPr>
        <w:pStyle w:val="TextBody"/>
        <w:bidi w:val="0"/>
        <w:spacing w:before="0" w:after="0"/>
        <w:jc w:val="both"/>
        <w:rPr>
          <w:color w:val="000000"/>
          <w:shd w:fill="FFFFFF" w:val="clear"/>
        </w:rPr>
      </w:pPr>
      <w:r>
        <w:rPr>
          <w:color w:val="000000"/>
          <w:shd w:fill="FFFFFF" w:val="clear"/>
        </w:rPr>
        <w:t>“</w:t>
      </w:r>
      <w:r>
        <w:rPr>
          <w:rFonts w:ascii="Times New Roman" w:hAnsi="Times New Roman"/>
          <w:b/>
          <w:color w:val="000000"/>
          <w:sz w:val="20"/>
          <w:shd w:fill="FFFFFF" w:val="clear"/>
        </w:rPr>
        <w:t xml:space="preserve">U.S. Treasury” </w:t>
      </w:r>
      <w:r>
        <w:rPr>
          <w:rFonts w:ascii="Times New Roman" w:hAnsi="Times New Roman"/>
          <w:color w:val="000000"/>
          <w:sz w:val="20"/>
          <w:shd w:fill="FFFFFF" w:val="clear"/>
        </w:rPr>
        <w:t>means the U.S. Department of Treasury.</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CAUTIONARY STATEMENT CONCERNING FORWARD-LOOKING INFORMATION</w:t>
      </w:r>
      <w:bookmarkStart w:id="1" w:name="FORWARD-LOOKINGINFORMATIO"/>
      <w:bookmarkEnd w:id="1"/>
    </w:p>
    <w:p>
      <w:pPr>
        <w:pStyle w:val="TextBody"/>
        <w:bidi w:val="0"/>
        <w:spacing w:before="0" w:after="0"/>
        <w:jc w:val="left"/>
        <w:rPr/>
      </w:pPr>
      <w:r>
        <w:rPr/>
      </w:r>
    </w:p>
    <w:p>
      <w:pPr>
        <w:pStyle w:val="TextBody"/>
        <w:bidi w:val="0"/>
        <w:spacing w:before="0" w:after="0"/>
        <w:ind w:left="0" w:right="0" w:firstLine="540"/>
        <w:jc w:val="both"/>
        <w:rPr>
          <w:rFonts w:ascii="Times New Roman" w:hAnsi="Times New Roman"/>
          <w:color w:val="000000"/>
          <w:sz w:val="20"/>
          <w:shd w:fill="FFFFFF" w:val="clear"/>
        </w:rPr>
      </w:pPr>
      <w:r>
        <w:rPr>
          <w:rFonts w:ascii="Times New Roman" w:hAnsi="Times New Roman"/>
          <w:color w:val="000000"/>
          <w:sz w:val="20"/>
          <w:shd w:fill="FFFFFF" w:val="clear"/>
        </w:rPr>
        <w:t>Cherry Hill Mortgage Investment Corporation (together with its consolidated subsidiaries, the “Company”, “we”, “our” or “us”) makes forward-looking statements in this Quarterly Report on Form 10-Q within the meaning of the Private Securities Litigation Reform Act of 1995 (as set forth in Section 27A of the Securities Act of 1933, as amended (the “Securities Act”), and Section 21E of the Securities Exchange Act of 1934, as amended (the “Exchange Act”)). For these statements, the Company claims the protections of the safe harbor for forward-looking statements contained in such Sections. Forward-looking statements are subject to substantial risks and uncertainties, many of which are difficult to predict and are generally beyond the Company’s control. These forward-looking statements include information about possible or assumed future results of the Company’s business, financial condition, liquidity, results of operations, plans and objectives. When the Company uses the words “believe”, “expect”, “anticipate”, “estimate”, “plan”, “continue”, “intend”, “should”, “could”, “would”, “may”, “potential” or the negative of these terms or other comparable terminology, the Company intends to identify forward-looking statements. Forward-looking statements involve numerous risks and uncertainties. Our actual results may differ materially from our beliefs, expectations, estimates and projections and, consequently, you should not rely on these forward-looking statements as predictions of future events. Statements regarding the following subjects, among others, may be forward-looking:</w:t>
      </w:r>
    </w:p>
    <w:p>
      <w:pPr>
        <w:pStyle w:val="TextBody"/>
        <w:bidi w:val="0"/>
        <w:spacing w:before="0" w:after="0"/>
        <w:jc w:val="left"/>
        <w:rPr/>
      </w:pPr>
      <w:r>
        <w:rPr/>
      </w:r>
    </w:p>
    <w:tbl>
      <w:tblPr>
        <w:tblW w:w="5800" w:type="dxa"/>
        <w:jc w:val="left"/>
        <w:tblInd w:w="0" w:type="dxa"/>
        <w:tblLayout w:type="fixed"/>
        <w:tblCellMar>
          <w:top w:w="0" w:type="dxa"/>
          <w:left w:w="0" w:type="dxa"/>
          <w:bottom w:w="0" w:type="dxa"/>
          <w:right w:w="0" w:type="dxa"/>
        </w:tblCellMar>
      </w:tblPr>
      <w:tblGrid>
        <w:gridCol w:w="125"/>
        <w:gridCol w:w="5675"/>
      </w:tblGrid>
      <w:tr>
        <w:trPr/>
        <w:tc>
          <w:tcPr>
            <w:tcW w:w="125" w:type="dxa"/>
            <w:tcBorders/>
            <w:vAlign w:val="center"/>
          </w:tcPr>
          <w:p>
            <w:pPr>
              <w:pStyle w:val="TableContents"/>
              <w:bidi w:val="0"/>
              <w:spacing w:before="0" w:after="283"/>
              <w:jc w:val="left"/>
              <w:rPr>
                <w:color w:val="000000"/>
              </w:rPr>
            </w:pPr>
            <w:r>
              <w:rPr>
                <w:color w:val="000000"/>
              </w:rPr>
              <w:t>•</w:t>
            </w:r>
          </w:p>
        </w:tc>
        <w:tc>
          <w:tcPr>
            <w:tcW w:w="5675" w:type="dxa"/>
            <w:tcBorders/>
            <w:vAlign w:val="center"/>
          </w:tcPr>
          <w:p>
            <w:pPr>
              <w:pStyle w:val="TableContents"/>
              <w:bidi w:val="0"/>
              <w:spacing w:before="0" w:after="0"/>
              <w:jc w:val="both"/>
              <w:rPr>
                <w:color w:val="000000"/>
              </w:rPr>
            </w:pPr>
            <w:r>
              <w:rPr>
                <w:color w:val="000000"/>
              </w:rPr>
              <w:t>the Company’s investment objectives and business strategy;</w:t>
            </w:r>
          </w:p>
        </w:tc>
      </w:tr>
    </w:tbl>
    <w:p>
      <w:pPr>
        <w:pStyle w:val="TextBody"/>
        <w:bidi w:val="0"/>
        <w:spacing w:before="0" w:after="0"/>
        <w:jc w:val="left"/>
        <w:rPr/>
      </w:pPr>
      <w:r>
        <w:rPr/>
      </w:r>
    </w:p>
    <w:tbl>
      <w:tblPr>
        <w:tblW w:w="8455" w:type="dxa"/>
        <w:jc w:val="left"/>
        <w:tblInd w:w="0" w:type="dxa"/>
        <w:tblLayout w:type="fixed"/>
        <w:tblCellMar>
          <w:top w:w="0" w:type="dxa"/>
          <w:left w:w="0" w:type="dxa"/>
          <w:bottom w:w="0" w:type="dxa"/>
          <w:right w:w="0" w:type="dxa"/>
        </w:tblCellMar>
      </w:tblPr>
      <w:tblGrid>
        <w:gridCol w:w="125"/>
        <w:gridCol w:w="8330"/>
      </w:tblGrid>
      <w:tr>
        <w:trPr/>
        <w:tc>
          <w:tcPr>
            <w:tcW w:w="125" w:type="dxa"/>
            <w:tcBorders/>
            <w:vAlign w:val="center"/>
          </w:tcPr>
          <w:p>
            <w:pPr>
              <w:pStyle w:val="TableContents"/>
              <w:bidi w:val="0"/>
              <w:spacing w:before="0" w:after="283"/>
              <w:jc w:val="left"/>
              <w:rPr>
                <w:color w:val="000000"/>
              </w:rPr>
            </w:pPr>
            <w:r>
              <w:rPr>
                <w:color w:val="000000"/>
              </w:rPr>
              <w:t>•</w:t>
            </w:r>
          </w:p>
        </w:tc>
        <w:tc>
          <w:tcPr>
            <w:tcW w:w="8330" w:type="dxa"/>
            <w:tcBorders/>
            <w:vAlign w:val="center"/>
          </w:tcPr>
          <w:p>
            <w:pPr>
              <w:pStyle w:val="TableContents"/>
              <w:bidi w:val="0"/>
              <w:spacing w:before="0" w:after="0"/>
              <w:ind w:left="540" w:right="0" w:hanging="540"/>
              <w:jc w:val="both"/>
              <w:rPr>
                <w:rFonts w:ascii="Times New Roman" w:hAnsi="Times New Roman"/>
                <w:color w:val="000000"/>
                <w:sz w:val="20"/>
              </w:rPr>
            </w:pPr>
            <w:r>
              <w:rPr>
                <w:rFonts w:ascii="Times New Roman" w:hAnsi="Times New Roman"/>
                <w:color w:val="000000"/>
                <w:sz w:val="20"/>
              </w:rPr>
              <w:t>the Company’s exposure to future litigation, regulatory proceedings and governmental investigations;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color w:val="000000"/>
              </w:rPr>
            </w:pPr>
            <w:r>
              <w:rPr>
                <w:color w:val="000000"/>
              </w:rPr>
              <w:t>•</w:t>
            </w:r>
          </w:p>
        </w:tc>
        <w:tc>
          <w:tcPr>
            <w:tcW w:w="10080" w:type="dxa"/>
            <w:tcBorders/>
            <w:vAlign w:val="center"/>
          </w:tcPr>
          <w:p>
            <w:pPr>
              <w:pStyle w:val="TableContents"/>
              <w:bidi w:val="0"/>
              <w:spacing w:before="0" w:after="0"/>
              <w:jc w:val="both"/>
              <w:rPr>
                <w:color w:val="000000"/>
              </w:rPr>
            </w:pPr>
            <w:r>
              <w:rPr>
                <w:color w:val="000000"/>
              </w:rPr>
              <w:t>the Company’s ability to raise capital through the sale of its equity and debt securities and to invest the net proceeds of any such offering in the target assets, if any, identified at the time of the offering;</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color w:val="000000"/>
              </w:rPr>
            </w:pPr>
            <w:r>
              <w:rPr>
                <w:color w:val="000000"/>
              </w:rPr>
              <w:t>•</w:t>
            </w:r>
          </w:p>
        </w:tc>
        <w:tc>
          <w:tcPr>
            <w:tcW w:w="10080" w:type="dxa"/>
            <w:tcBorders/>
            <w:vAlign w:val="center"/>
          </w:tcPr>
          <w:p>
            <w:pPr>
              <w:pStyle w:val="TableContents"/>
              <w:bidi w:val="0"/>
              <w:spacing w:before="0" w:after="0"/>
              <w:jc w:val="both"/>
              <w:rPr>
                <w:color w:val="000000"/>
              </w:rPr>
            </w:pPr>
            <w:r>
              <w:rPr>
                <w:color w:val="000000"/>
              </w:rPr>
              <w:t>the Company’s ability to obtain future financing arrangements and refinance existing financing arrangements as they mature;</w:t>
            </w:r>
          </w:p>
        </w:tc>
      </w:tr>
    </w:tbl>
    <w:p>
      <w:pPr>
        <w:pStyle w:val="TextBody"/>
        <w:bidi w:val="0"/>
        <w:spacing w:before="0" w:after="0"/>
        <w:jc w:val="left"/>
        <w:rPr/>
      </w:pPr>
      <w:r>
        <w:rPr/>
      </w:r>
    </w:p>
    <w:tbl>
      <w:tblPr>
        <w:tblW w:w="3415" w:type="dxa"/>
        <w:jc w:val="left"/>
        <w:tblInd w:w="0" w:type="dxa"/>
        <w:tblLayout w:type="fixed"/>
        <w:tblCellMar>
          <w:top w:w="0" w:type="dxa"/>
          <w:left w:w="0" w:type="dxa"/>
          <w:bottom w:w="0" w:type="dxa"/>
          <w:right w:w="0" w:type="dxa"/>
        </w:tblCellMar>
      </w:tblPr>
      <w:tblGrid>
        <w:gridCol w:w="125"/>
        <w:gridCol w:w="3290"/>
      </w:tblGrid>
      <w:tr>
        <w:trPr/>
        <w:tc>
          <w:tcPr>
            <w:tcW w:w="125" w:type="dxa"/>
            <w:tcBorders/>
            <w:vAlign w:val="center"/>
          </w:tcPr>
          <w:p>
            <w:pPr>
              <w:pStyle w:val="TableContents"/>
              <w:bidi w:val="0"/>
              <w:spacing w:before="0" w:after="283"/>
              <w:jc w:val="left"/>
              <w:rPr>
                <w:color w:val="000000"/>
              </w:rPr>
            </w:pPr>
            <w:r>
              <w:rPr>
                <w:color w:val="000000"/>
              </w:rPr>
              <w:t>•</w:t>
            </w:r>
          </w:p>
        </w:tc>
        <w:tc>
          <w:tcPr>
            <w:tcW w:w="3290" w:type="dxa"/>
            <w:tcBorders/>
            <w:vAlign w:val="center"/>
          </w:tcPr>
          <w:p>
            <w:pPr>
              <w:pStyle w:val="TableContents"/>
              <w:bidi w:val="0"/>
              <w:spacing w:before="0" w:after="0"/>
              <w:jc w:val="both"/>
              <w:rPr>
                <w:color w:val="000000"/>
              </w:rPr>
            </w:pPr>
            <w:r>
              <w:rPr>
                <w:color w:val="000000"/>
              </w:rPr>
              <w:t>the Company’s expected leverage;</w:t>
            </w:r>
          </w:p>
        </w:tc>
      </w:tr>
    </w:tbl>
    <w:p>
      <w:pPr>
        <w:pStyle w:val="TextBody"/>
        <w:bidi w:val="0"/>
        <w:spacing w:before="0" w:after="0"/>
        <w:jc w:val="left"/>
        <w:rPr/>
      </w:pPr>
      <w:r>
        <w:rPr/>
      </w:r>
    </w:p>
    <w:tbl>
      <w:tblPr>
        <w:tblW w:w="5860" w:type="dxa"/>
        <w:jc w:val="left"/>
        <w:tblInd w:w="0" w:type="dxa"/>
        <w:tblLayout w:type="fixed"/>
        <w:tblCellMar>
          <w:top w:w="0" w:type="dxa"/>
          <w:left w:w="0" w:type="dxa"/>
          <w:bottom w:w="0" w:type="dxa"/>
          <w:right w:w="0" w:type="dxa"/>
        </w:tblCellMar>
      </w:tblPr>
      <w:tblGrid>
        <w:gridCol w:w="125"/>
        <w:gridCol w:w="5735"/>
      </w:tblGrid>
      <w:tr>
        <w:trPr/>
        <w:tc>
          <w:tcPr>
            <w:tcW w:w="125" w:type="dxa"/>
            <w:tcBorders/>
            <w:vAlign w:val="center"/>
          </w:tcPr>
          <w:p>
            <w:pPr>
              <w:pStyle w:val="TableContents"/>
              <w:bidi w:val="0"/>
              <w:spacing w:before="0" w:after="283"/>
              <w:jc w:val="left"/>
              <w:rPr>
                <w:color w:val="000000"/>
              </w:rPr>
            </w:pPr>
            <w:r>
              <w:rPr>
                <w:color w:val="000000"/>
              </w:rPr>
              <w:t>•</w:t>
            </w:r>
          </w:p>
        </w:tc>
        <w:tc>
          <w:tcPr>
            <w:tcW w:w="5735" w:type="dxa"/>
            <w:tcBorders/>
            <w:vAlign w:val="center"/>
          </w:tcPr>
          <w:p>
            <w:pPr>
              <w:pStyle w:val="TableContents"/>
              <w:bidi w:val="0"/>
              <w:spacing w:before="0" w:after="0"/>
              <w:jc w:val="both"/>
              <w:rPr>
                <w:color w:val="000000"/>
              </w:rPr>
            </w:pPr>
            <w:r>
              <w:rPr>
                <w:color w:val="000000"/>
              </w:rPr>
              <w:t>the Company’s expected investments and the timing thereof;</w:t>
            </w:r>
          </w:p>
        </w:tc>
      </w:tr>
    </w:tbl>
    <w:p>
      <w:pPr>
        <w:pStyle w:val="TextBody"/>
        <w:bidi w:val="0"/>
        <w:spacing w:before="0" w:after="0"/>
        <w:jc w:val="left"/>
        <w:rPr/>
      </w:pPr>
      <w:r>
        <w:rPr/>
      </w:r>
    </w:p>
    <w:tbl>
      <w:tblPr>
        <w:tblW w:w="10090" w:type="dxa"/>
        <w:jc w:val="left"/>
        <w:tblInd w:w="0" w:type="dxa"/>
        <w:tblLayout w:type="fixed"/>
        <w:tblCellMar>
          <w:top w:w="0" w:type="dxa"/>
          <w:left w:w="0" w:type="dxa"/>
          <w:bottom w:w="0" w:type="dxa"/>
          <w:right w:w="0" w:type="dxa"/>
        </w:tblCellMar>
      </w:tblPr>
      <w:tblGrid>
        <w:gridCol w:w="125"/>
        <w:gridCol w:w="9965"/>
      </w:tblGrid>
      <w:tr>
        <w:trPr/>
        <w:tc>
          <w:tcPr>
            <w:tcW w:w="125" w:type="dxa"/>
            <w:tcBorders/>
            <w:vAlign w:val="center"/>
          </w:tcPr>
          <w:p>
            <w:pPr>
              <w:pStyle w:val="TableContents"/>
              <w:bidi w:val="0"/>
              <w:spacing w:before="0" w:after="283"/>
              <w:jc w:val="left"/>
              <w:rPr>
                <w:color w:val="000000"/>
              </w:rPr>
            </w:pPr>
            <w:r>
              <w:rPr>
                <w:color w:val="000000"/>
              </w:rPr>
              <w:t>•</w:t>
            </w:r>
          </w:p>
        </w:tc>
        <w:tc>
          <w:tcPr>
            <w:tcW w:w="9965" w:type="dxa"/>
            <w:tcBorders/>
            <w:vAlign w:val="center"/>
          </w:tcPr>
          <w:p>
            <w:pPr>
              <w:pStyle w:val="TableContents"/>
              <w:bidi w:val="0"/>
              <w:spacing w:before="0" w:after="0"/>
              <w:jc w:val="both"/>
              <w:rPr>
                <w:color w:val="000000"/>
              </w:rPr>
            </w:pPr>
            <w:r>
              <w:rPr>
                <w:color w:val="000000"/>
              </w:rPr>
              <w:t>the Company’s ability to acquire Servicing Related Assets and mortgage and real estate-related securities;</w:t>
            </w:r>
          </w:p>
        </w:tc>
      </w:tr>
    </w:tbl>
    <w:p>
      <w:pPr>
        <w:pStyle w:val="TextBody"/>
        <w:bidi w:val="0"/>
        <w:spacing w:before="0" w:after="0"/>
        <w:jc w:val="left"/>
        <w:rPr/>
      </w:pPr>
      <w:r>
        <w:rPr/>
      </w:r>
    </w:p>
    <w:tbl>
      <w:tblPr>
        <w:tblW w:w="9835" w:type="dxa"/>
        <w:jc w:val="left"/>
        <w:tblInd w:w="0" w:type="dxa"/>
        <w:tblLayout w:type="fixed"/>
        <w:tblCellMar>
          <w:top w:w="0" w:type="dxa"/>
          <w:left w:w="0" w:type="dxa"/>
          <w:bottom w:w="0" w:type="dxa"/>
          <w:right w:w="0" w:type="dxa"/>
        </w:tblCellMar>
      </w:tblPr>
      <w:tblGrid>
        <w:gridCol w:w="125"/>
        <w:gridCol w:w="9710"/>
      </w:tblGrid>
      <w:tr>
        <w:trPr/>
        <w:tc>
          <w:tcPr>
            <w:tcW w:w="125" w:type="dxa"/>
            <w:tcBorders/>
            <w:vAlign w:val="center"/>
          </w:tcPr>
          <w:p>
            <w:pPr>
              <w:pStyle w:val="TableContents"/>
              <w:bidi w:val="0"/>
              <w:spacing w:before="0" w:after="283"/>
              <w:jc w:val="left"/>
              <w:rPr>
                <w:color w:val="000000"/>
              </w:rPr>
            </w:pPr>
            <w:r>
              <w:rPr>
                <w:color w:val="000000"/>
              </w:rPr>
              <w:t>•</w:t>
            </w:r>
          </w:p>
        </w:tc>
        <w:tc>
          <w:tcPr>
            <w:tcW w:w="9710" w:type="dxa"/>
            <w:tcBorders/>
            <w:vAlign w:val="center"/>
          </w:tcPr>
          <w:p>
            <w:pPr>
              <w:pStyle w:val="TableContents"/>
              <w:bidi w:val="0"/>
              <w:spacing w:before="0" w:after="0"/>
              <w:jc w:val="both"/>
              <w:rPr>
                <w:color w:val="000000"/>
              </w:rPr>
            </w:pPr>
            <w:r>
              <w:rPr>
                <w:color w:val="000000"/>
              </w:rPr>
              <w:t>the Company’s ability to make distributions to holders of the Company’s common and preferred stock;</w:t>
            </w:r>
          </w:p>
        </w:tc>
      </w:tr>
    </w:tbl>
    <w:p>
      <w:pPr>
        <w:pStyle w:val="TextBody"/>
        <w:bidi w:val="0"/>
        <w:spacing w:before="0" w:after="0"/>
        <w:jc w:val="left"/>
        <w:rPr/>
      </w:pPr>
      <w:r>
        <w:rPr/>
      </w:r>
    </w:p>
    <w:tbl>
      <w:tblPr>
        <w:tblW w:w="5185" w:type="dxa"/>
        <w:jc w:val="left"/>
        <w:tblInd w:w="0" w:type="dxa"/>
        <w:tblLayout w:type="fixed"/>
        <w:tblCellMar>
          <w:top w:w="0" w:type="dxa"/>
          <w:left w:w="0" w:type="dxa"/>
          <w:bottom w:w="0" w:type="dxa"/>
          <w:right w:w="0" w:type="dxa"/>
        </w:tblCellMar>
      </w:tblPr>
      <w:tblGrid>
        <w:gridCol w:w="125"/>
        <w:gridCol w:w="5060"/>
      </w:tblGrid>
      <w:tr>
        <w:trPr/>
        <w:tc>
          <w:tcPr>
            <w:tcW w:w="125" w:type="dxa"/>
            <w:tcBorders/>
            <w:vAlign w:val="center"/>
          </w:tcPr>
          <w:p>
            <w:pPr>
              <w:pStyle w:val="TableContents"/>
              <w:bidi w:val="0"/>
              <w:spacing w:before="0" w:after="283"/>
              <w:jc w:val="left"/>
              <w:rPr>
                <w:color w:val="000000"/>
              </w:rPr>
            </w:pPr>
            <w:r>
              <w:rPr>
                <w:color w:val="000000"/>
              </w:rPr>
              <w:t>•</w:t>
            </w:r>
          </w:p>
        </w:tc>
        <w:tc>
          <w:tcPr>
            <w:tcW w:w="5060" w:type="dxa"/>
            <w:tcBorders/>
            <w:vAlign w:val="center"/>
          </w:tcPr>
          <w:p>
            <w:pPr>
              <w:pStyle w:val="TableContents"/>
              <w:bidi w:val="0"/>
              <w:spacing w:before="0" w:after="0"/>
              <w:jc w:val="both"/>
              <w:rPr>
                <w:color w:val="000000"/>
              </w:rPr>
            </w:pPr>
            <w:r>
              <w:rPr>
                <w:color w:val="000000"/>
              </w:rPr>
              <w:t>the Company’s ability to compete in the marketplace;</w:t>
            </w:r>
          </w:p>
        </w:tc>
      </w:tr>
    </w:tbl>
    <w:p>
      <w:pPr>
        <w:pStyle w:val="TextBody"/>
        <w:bidi w:val="0"/>
        <w:spacing w:before="0" w:after="0"/>
        <w:jc w:val="left"/>
        <w:rPr/>
      </w:pPr>
      <w:r>
        <w:rPr/>
      </w:r>
    </w:p>
    <w:tbl>
      <w:tblPr>
        <w:tblW w:w="9070" w:type="dxa"/>
        <w:jc w:val="left"/>
        <w:tblInd w:w="0" w:type="dxa"/>
        <w:tblLayout w:type="fixed"/>
        <w:tblCellMar>
          <w:top w:w="0" w:type="dxa"/>
          <w:left w:w="0" w:type="dxa"/>
          <w:bottom w:w="0" w:type="dxa"/>
          <w:right w:w="0" w:type="dxa"/>
        </w:tblCellMar>
      </w:tblPr>
      <w:tblGrid>
        <w:gridCol w:w="125"/>
        <w:gridCol w:w="8945"/>
      </w:tblGrid>
      <w:tr>
        <w:trPr/>
        <w:tc>
          <w:tcPr>
            <w:tcW w:w="125" w:type="dxa"/>
            <w:tcBorders/>
            <w:vAlign w:val="center"/>
          </w:tcPr>
          <w:p>
            <w:pPr>
              <w:pStyle w:val="TableContents"/>
              <w:bidi w:val="0"/>
              <w:spacing w:before="0" w:after="283"/>
              <w:jc w:val="left"/>
              <w:rPr>
                <w:color w:val="000000"/>
              </w:rPr>
            </w:pPr>
            <w:r>
              <w:rPr>
                <w:color w:val="000000"/>
              </w:rPr>
              <w:t>•</w:t>
            </w:r>
          </w:p>
        </w:tc>
        <w:tc>
          <w:tcPr>
            <w:tcW w:w="8945" w:type="dxa"/>
            <w:tcBorders/>
            <w:vAlign w:val="center"/>
          </w:tcPr>
          <w:p>
            <w:pPr>
              <w:pStyle w:val="TableContents"/>
              <w:bidi w:val="0"/>
              <w:spacing w:before="0" w:after="0"/>
              <w:jc w:val="both"/>
              <w:rPr>
                <w:color w:val="000000"/>
              </w:rPr>
            </w:pPr>
            <w:r>
              <w:rPr>
                <w:color w:val="000000"/>
              </w:rPr>
              <w:t>the Company’s ability to hedge interest rate risk and prepayment risk associated with its assets;</w:t>
            </w:r>
          </w:p>
        </w:tc>
      </w:tr>
    </w:tbl>
    <w:p>
      <w:pPr>
        <w:pStyle w:val="TextBody"/>
        <w:bidi w:val="0"/>
        <w:spacing w:before="0" w:after="0"/>
        <w:jc w:val="left"/>
        <w:rPr/>
      </w:pPr>
      <w:r>
        <w:rPr/>
      </w:r>
    </w:p>
    <w:tbl>
      <w:tblPr>
        <w:tblW w:w="3760" w:type="dxa"/>
        <w:jc w:val="left"/>
        <w:tblInd w:w="0" w:type="dxa"/>
        <w:tblLayout w:type="fixed"/>
        <w:tblCellMar>
          <w:top w:w="0" w:type="dxa"/>
          <w:left w:w="0" w:type="dxa"/>
          <w:bottom w:w="0" w:type="dxa"/>
          <w:right w:w="0" w:type="dxa"/>
        </w:tblCellMar>
      </w:tblPr>
      <w:tblGrid>
        <w:gridCol w:w="125"/>
        <w:gridCol w:w="3635"/>
      </w:tblGrid>
      <w:tr>
        <w:trPr/>
        <w:tc>
          <w:tcPr>
            <w:tcW w:w="125" w:type="dxa"/>
            <w:tcBorders/>
            <w:vAlign w:val="center"/>
          </w:tcPr>
          <w:p>
            <w:pPr>
              <w:pStyle w:val="TableContents"/>
              <w:bidi w:val="0"/>
              <w:spacing w:before="0" w:after="283"/>
              <w:jc w:val="left"/>
              <w:rPr>
                <w:color w:val="000000"/>
              </w:rPr>
            </w:pPr>
            <w:r>
              <w:rPr>
                <w:color w:val="000000"/>
              </w:rPr>
              <w:t>•</w:t>
            </w:r>
          </w:p>
        </w:tc>
        <w:tc>
          <w:tcPr>
            <w:tcW w:w="3635" w:type="dxa"/>
            <w:tcBorders/>
            <w:vAlign w:val="center"/>
          </w:tcPr>
          <w:p>
            <w:pPr>
              <w:pStyle w:val="TableContents"/>
              <w:bidi w:val="0"/>
              <w:spacing w:before="0" w:after="0"/>
              <w:jc w:val="both"/>
              <w:rPr>
                <w:color w:val="000000"/>
              </w:rPr>
            </w:pPr>
            <w:r>
              <w:rPr>
                <w:color w:val="000000"/>
              </w:rPr>
              <w:t>market, industry and economic trends;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color w:val="000000"/>
              </w:rPr>
            </w:pPr>
            <w:r>
              <w:rPr>
                <w:color w:val="000000"/>
              </w:rPr>
              <w:t>•</w:t>
            </w:r>
          </w:p>
        </w:tc>
        <w:tc>
          <w:tcPr>
            <w:tcW w:w="10080" w:type="dxa"/>
            <w:tcBorders/>
            <w:vAlign w:val="center"/>
          </w:tcPr>
          <w:p>
            <w:pPr>
              <w:pStyle w:val="TableContents"/>
              <w:bidi w:val="0"/>
              <w:spacing w:before="0" w:after="0"/>
              <w:jc w:val="both"/>
              <w:rPr>
                <w:color w:val="000000"/>
              </w:rPr>
            </w:pPr>
            <w:r>
              <w:rPr>
                <w:color w:val="000000"/>
              </w:rPr>
              <w:t>recent market developments and actions taken and to be taken by the U.S. Government, the U.S. Treasury, the Board of Governors of the Federal Reserve System, Fannie Mae, Freddie Mac, Ginnie Mae and the U.S. Securities and Exchange Commission (“SEC”);</w:t>
            </w:r>
          </w:p>
        </w:tc>
      </w:tr>
    </w:tbl>
    <w:p>
      <w:pPr>
        <w:pStyle w:val="TextBody"/>
        <w:bidi w:val="0"/>
        <w:spacing w:before="0" w:after="0"/>
        <w:jc w:val="left"/>
        <w:rPr/>
      </w:pPr>
      <w:r>
        <w:rPr/>
      </w:r>
    </w:p>
    <w:tbl>
      <w:tblPr>
        <w:tblW w:w="6505" w:type="dxa"/>
        <w:jc w:val="left"/>
        <w:tblInd w:w="0" w:type="dxa"/>
        <w:tblLayout w:type="fixed"/>
        <w:tblCellMar>
          <w:top w:w="0" w:type="dxa"/>
          <w:left w:w="0" w:type="dxa"/>
          <w:bottom w:w="0" w:type="dxa"/>
          <w:right w:w="0" w:type="dxa"/>
        </w:tblCellMar>
      </w:tblPr>
      <w:tblGrid>
        <w:gridCol w:w="125"/>
        <w:gridCol w:w="6380"/>
      </w:tblGrid>
      <w:tr>
        <w:trPr/>
        <w:tc>
          <w:tcPr>
            <w:tcW w:w="125" w:type="dxa"/>
            <w:tcBorders/>
            <w:vAlign w:val="center"/>
          </w:tcPr>
          <w:p>
            <w:pPr>
              <w:pStyle w:val="TableContents"/>
              <w:bidi w:val="0"/>
              <w:spacing w:before="0" w:after="283"/>
              <w:jc w:val="left"/>
              <w:rPr>
                <w:color w:val="000000"/>
              </w:rPr>
            </w:pPr>
            <w:r>
              <w:rPr>
                <w:color w:val="000000"/>
              </w:rPr>
              <w:t>•</w:t>
            </w:r>
          </w:p>
        </w:tc>
        <w:tc>
          <w:tcPr>
            <w:tcW w:w="6380" w:type="dxa"/>
            <w:tcBorders/>
            <w:vAlign w:val="center"/>
          </w:tcPr>
          <w:p>
            <w:pPr>
              <w:pStyle w:val="TableContents"/>
              <w:bidi w:val="0"/>
              <w:spacing w:before="0" w:after="0"/>
              <w:jc w:val="both"/>
              <w:rPr>
                <w:color w:val="000000"/>
              </w:rPr>
            </w:pPr>
            <w:r>
              <w:rPr>
                <w:color w:val="000000"/>
              </w:rPr>
              <w:t>mortgage loan modification programs and future legislative actions;</w:t>
            </w:r>
          </w:p>
        </w:tc>
      </w:tr>
    </w:tbl>
    <w:p>
      <w:pPr>
        <w:pStyle w:val="TextBody"/>
        <w:bidi w:val="0"/>
        <w:spacing w:before="0" w:after="0"/>
        <w:jc w:val="left"/>
        <w:rPr/>
      </w:pPr>
      <w:r>
        <w:rPr/>
      </w:r>
    </w:p>
    <w:tbl>
      <w:tblPr>
        <w:tblW w:w="5425" w:type="dxa"/>
        <w:jc w:val="left"/>
        <w:tblInd w:w="0" w:type="dxa"/>
        <w:tblLayout w:type="fixed"/>
        <w:tblCellMar>
          <w:top w:w="0" w:type="dxa"/>
          <w:left w:w="0" w:type="dxa"/>
          <w:bottom w:w="0" w:type="dxa"/>
          <w:right w:w="0" w:type="dxa"/>
        </w:tblCellMar>
      </w:tblPr>
      <w:tblGrid>
        <w:gridCol w:w="125"/>
        <w:gridCol w:w="5300"/>
      </w:tblGrid>
      <w:tr>
        <w:trPr/>
        <w:tc>
          <w:tcPr>
            <w:tcW w:w="125" w:type="dxa"/>
            <w:tcBorders/>
            <w:vAlign w:val="center"/>
          </w:tcPr>
          <w:p>
            <w:pPr>
              <w:pStyle w:val="TableContents"/>
              <w:bidi w:val="0"/>
              <w:spacing w:before="0" w:after="283"/>
              <w:jc w:val="left"/>
              <w:rPr>
                <w:color w:val="000000"/>
              </w:rPr>
            </w:pPr>
            <w:r>
              <w:rPr>
                <w:color w:val="000000"/>
              </w:rPr>
              <w:t>•</w:t>
            </w:r>
          </w:p>
        </w:tc>
        <w:tc>
          <w:tcPr>
            <w:tcW w:w="5300" w:type="dxa"/>
            <w:tcBorders/>
            <w:vAlign w:val="center"/>
          </w:tcPr>
          <w:p>
            <w:pPr>
              <w:pStyle w:val="TableContents"/>
              <w:bidi w:val="0"/>
              <w:spacing w:before="0" w:after="0"/>
              <w:jc w:val="both"/>
              <w:rPr>
                <w:color w:val="000000"/>
              </w:rPr>
            </w:pPr>
            <w:r>
              <w:rPr>
                <w:color w:val="000000"/>
              </w:rPr>
              <w:t>the Federal Reserve’s potential changes in interest rates;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color w:val="000000"/>
              </w:rPr>
            </w:pPr>
            <w:r>
              <w:rPr>
                <w:color w:val="000000"/>
              </w:rPr>
              <w:t>•</w:t>
            </w:r>
          </w:p>
        </w:tc>
        <w:tc>
          <w:tcPr>
            <w:tcW w:w="10080" w:type="dxa"/>
            <w:tcBorders/>
            <w:vAlign w:val="center"/>
          </w:tcPr>
          <w:p>
            <w:pPr>
              <w:pStyle w:val="TableContents"/>
              <w:bidi w:val="0"/>
              <w:spacing w:before="0" w:after="0"/>
              <w:jc w:val="both"/>
              <w:rPr>
                <w:color w:val="000000"/>
              </w:rPr>
            </w:pPr>
            <w:r>
              <w:rPr>
                <w:color w:val="000000"/>
              </w:rPr>
              <w:t>the Company’s ability to qualify and maintain qualification as a REIT under the Code and limitations on the Company’s business due to compliance with requirements for maintaining its qualification as a REIT under the Code;</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color w:val="000000"/>
              </w:rPr>
            </w:pPr>
            <w:r>
              <w:rPr>
                <w:color w:val="000000"/>
              </w:rPr>
              <w:t>•</w:t>
            </w:r>
          </w:p>
        </w:tc>
        <w:tc>
          <w:tcPr>
            <w:tcW w:w="10080" w:type="dxa"/>
            <w:tcBorders/>
            <w:vAlign w:val="center"/>
          </w:tcPr>
          <w:p>
            <w:pPr>
              <w:pStyle w:val="TableContents"/>
              <w:bidi w:val="0"/>
              <w:spacing w:before="0" w:after="0"/>
              <w:jc w:val="both"/>
              <w:rPr>
                <w:color w:val="000000"/>
              </w:rPr>
            </w:pPr>
            <w:r>
              <w:rPr>
                <w:color w:val="000000"/>
              </w:rPr>
              <w:t>the Company’s ability to maintain an exception from the definitions of “investment company” under the Investment Company Act of 1940, as amended (the “Investment Company Act”), or otherwise not fall within those definitions;</w:t>
            </w:r>
          </w:p>
        </w:tc>
      </w:tr>
    </w:tbl>
    <w:p>
      <w:pPr>
        <w:pStyle w:val="TextBody"/>
        <w:bidi w:val="0"/>
        <w:spacing w:before="0" w:after="0"/>
        <w:jc w:val="left"/>
        <w:rPr/>
      </w:pPr>
      <w:r>
        <w:rPr/>
      </w:r>
    </w:p>
    <w:tbl>
      <w:tblPr>
        <w:tblW w:w="4375" w:type="dxa"/>
        <w:jc w:val="left"/>
        <w:tblInd w:w="0" w:type="dxa"/>
        <w:tblLayout w:type="fixed"/>
        <w:tblCellMar>
          <w:top w:w="0" w:type="dxa"/>
          <w:left w:w="0" w:type="dxa"/>
          <w:bottom w:w="0" w:type="dxa"/>
          <w:right w:w="0" w:type="dxa"/>
        </w:tblCellMar>
      </w:tblPr>
      <w:tblGrid>
        <w:gridCol w:w="125"/>
        <w:gridCol w:w="4250"/>
      </w:tblGrid>
      <w:tr>
        <w:trPr/>
        <w:tc>
          <w:tcPr>
            <w:tcW w:w="125" w:type="dxa"/>
            <w:tcBorders/>
            <w:vAlign w:val="center"/>
          </w:tcPr>
          <w:p>
            <w:pPr>
              <w:pStyle w:val="TableContents"/>
              <w:bidi w:val="0"/>
              <w:spacing w:before="0" w:after="283"/>
              <w:jc w:val="left"/>
              <w:rPr>
                <w:color w:val="000000"/>
              </w:rPr>
            </w:pPr>
            <w:r>
              <w:rPr>
                <w:color w:val="000000"/>
              </w:rPr>
              <w:t>•</w:t>
            </w:r>
          </w:p>
        </w:tc>
        <w:tc>
          <w:tcPr>
            <w:tcW w:w="4250" w:type="dxa"/>
            <w:tcBorders/>
            <w:vAlign w:val="center"/>
          </w:tcPr>
          <w:p>
            <w:pPr>
              <w:pStyle w:val="TableContents"/>
              <w:bidi w:val="0"/>
              <w:spacing w:before="0" w:after="0"/>
              <w:jc w:val="both"/>
              <w:rPr>
                <w:color w:val="000000"/>
              </w:rPr>
            </w:pPr>
            <w:r>
              <w:rPr>
                <w:color w:val="000000"/>
              </w:rPr>
              <w:t>projected capital and operating expenditures;</w:t>
            </w:r>
          </w:p>
        </w:tc>
      </w:tr>
    </w:tbl>
    <w:p>
      <w:pPr>
        <w:pStyle w:val="TextBody"/>
        <w:bidi w:val="0"/>
        <w:spacing w:before="0" w:after="0"/>
        <w:jc w:val="left"/>
        <w:rPr/>
      </w:pPr>
      <w:r>
        <w:rPr/>
      </w:r>
    </w:p>
    <w:tbl>
      <w:tblPr>
        <w:tblW w:w="3775" w:type="dxa"/>
        <w:jc w:val="left"/>
        <w:tblInd w:w="0" w:type="dxa"/>
        <w:tblLayout w:type="fixed"/>
        <w:tblCellMar>
          <w:top w:w="0" w:type="dxa"/>
          <w:left w:w="0" w:type="dxa"/>
          <w:bottom w:w="0" w:type="dxa"/>
          <w:right w:w="0" w:type="dxa"/>
        </w:tblCellMar>
      </w:tblPr>
      <w:tblGrid>
        <w:gridCol w:w="125"/>
        <w:gridCol w:w="3650"/>
      </w:tblGrid>
      <w:tr>
        <w:trPr/>
        <w:tc>
          <w:tcPr>
            <w:tcW w:w="125" w:type="dxa"/>
            <w:tcBorders/>
            <w:vAlign w:val="center"/>
          </w:tcPr>
          <w:p>
            <w:pPr>
              <w:pStyle w:val="TableContents"/>
              <w:bidi w:val="0"/>
              <w:spacing w:before="0" w:after="283"/>
              <w:jc w:val="left"/>
              <w:rPr>
                <w:color w:val="000000"/>
              </w:rPr>
            </w:pPr>
            <w:r>
              <w:rPr>
                <w:color w:val="000000"/>
              </w:rPr>
              <w:t>•</w:t>
            </w:r>
          </w:p>
        </w:tc>
        <w:tc>
          <w:tcPr>
            <w:tcW w:w="3650" w:type="dxa"/>
            <w:tcBorders/>
            <w:vAlign w:val="center"/>
          </w:tcPr>
          <w:p>
            <w:pPr>
              <w:pStyle w:val="TableContents"/>
              <w:bidi w:val="0"/>
              <w:spacing w:before="0" w:after="0"/>
              <w:jc w:val="both"/>
              <w:rPr>
                <w:color w:val="000000"/>
              </w:rPr>
            </w:pPr>
            <w:r>
              <w:rPr>
                <w:color w:val="000000"/>
              </w:rPr>
              <w:t>availability of qualified personnel; and</w:t>
            </w:r>
          </w:p>
        </w:tc>
      </w:tr>
    </w:tbl>
    <w:p>
      <w:pPr>
        <w:pStyle w:val="TextBody"/>
        <w:bidi w:val="0"/>
        <w:spacing w:before="0" w:after="0"/>
        <w:jc w:val="left"/>
        <w:rPr/>
      </w:pPr>
      <w:r>
        <w:rPr/>
      </w:r>
    </w:p>
    <w:tbl>
      <w:tblPr>
        <w:tblW w:w="4120" w:type="dxa"/>
        <w:jc w:val="left"/>
        <w:tblInd w:w="0" w:type="dxa"/>
        <w:tblLayout w:type="fixed"/>
        <w:tblCellMar>
          <w:top w:w="0" w:type="dxa"/>
          <w:left w:w="0" w:type="dxa"/>
          <w:bottom w:w="0" w:type="dxa"/>
          <w:right w:w="0" w:type="dxa"/>
        </w:tblCellMar>
      </w:tblPr>
      <w:tblGrid>
        <w:gridCol w:w="125"/>
        <w:gridCol w:w="3995"/>
      </w:tblGrid>
      <w:tr>
        <w:trPr/>
        <w:tc>
          <w:tcPr>
            <w:tcW w:w="125" w:type="dxa"/>
            <w:tcBorders/>
            <w:vAlign w:val="center"/>
          </w:tcPr>
          <w:p>
            <w:pPr>
              <w:pStyle w:val="TableContents"/>
              <w:bidi w:val="0"/>
              <w:spacing w:before="0" w:after="283"/>
              <w:jc w:val="left"/>
              <w:rPr>
                <w:color w:val="000000"/>
              </w:rPr>
            </w:pPr>
            <w:r>
              <w:rPr>
                <w:color w:val="000000"/>
              </w:rPr>
              <w:t>•</w:t>
            </w:r>
          </w:p>
        </w:tc>
        <w:tc>
          <w:tcPr>
            <w:tcW w:w="3995" w:type="dxa"/>
            <w:tcBorders/>
            <w:vAlign w:val="center"/>
          </w:tcPr>
          <w:p>
            <w:pPr>
              <w:pStyle w:val="TableContents"/>
              <w:bidi w:val="0"/>
              <w:spacing w:before="0" w:after="0"/>
              <w:jc w:val="both"/>
              <w:rPr>
                <w:color w:val="000000"/>
              </w:rPr>
            </w:pPr>
            <w:r>
              <w:rPr>
                <w:color w:val="000000"/>
              </w:rPr>
              <w:t>projected prepayment and/or default rates.</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Company’s beliefs, assumptions and expectations can change as a result of many possible events or factors, not all of which are known to it or are within its control. If any such change occurs, the Company’s business, financial condition, liquidity and results of operations may vary materially from those expressed in, or implied by, the Company’s forward-looking statements. Important factors, among others, that may cause the Company’s actual results, performance, liquidity or achievements to differ materially from those expressed or implied by the Company’s forward-looking statements include:</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color w:val="000000"/>
              </w:rPr>
            </w:pPr>
            <w:r>
              <w:rPr>
                <w:color w:val="000000"/>
              </w:rPr>
              <w:t>•</w:t>
            </w:r>
          </w:p>
        </w:tc>
        <w:tc>
          <w:tcPr>
            <w:tcW w:w="10080" w:type="dxa"/>
            <w:tcBorders/>
            <w:vAlign w:val="center"/>
          </w:tcPr>
          <w:p>
            <w:pPr>
              <w:pStyle w:val="TableContents"/>
              <w:bidi w:val="0"/>
              <w:spacing w:before="0" w:after="0"/>
              <w:jc w:val="both"/>
              <w:rPr>
                <w:color w:val="000000"/>
              </w:rPr>
            </w:pPr>
            <w:r>
              <w:rPr>
                <w:color w:val="000000"/>
              </w:rPr>
              <w:t>the factors discussed under “Part I, Item 2. Management’s Discussion and Analysis of Financial Condition and Results of Operations” in this Quarterly Report on Form 10-Q and “Part I, Item 1. Business” and “Part I, Item 1A. Risk Factors” in the Company’s Annual Report on Form 10-K for the year ended December 31, 2025;</w:t>
            </w:r>
          </w:p>
        </w:tc>
      </w:tr>
    </w:tbl>
    <w:p>
      <w:pPr>
        <w:pStyle w:val="TextBody"/>
        <w:bidi w:val="0"/>
        <w:spacing w:before="0" w:after="0"/>
        <w:jc w:val="left"/>
        <w:rPr/>
      </w:pPr>
      <w:r>
        <w:rPr/>
      </w:r>
    </w:p>
    <w:tbl>
      <w:tblPr>
        <w:tblW w:w="3865" w:type="dxa"/>
        <w:jc w:val="left"/>
        <w:tblInd w:w="0" w:type="dxa"/>
        <w:tblLayout w:type="fixed"/>
        <w:tblCellMar>
          <w:top w:w="0" w:type="dxa"/>
          <w:left w:w="0" w:type="dxa"/>
          <w:bottom w:w="0" w:type="dxa"/>
          <w:right w:w="0" w:type="dxa"/>
        </w:tblCellMar>
      </w:tblPr>
      <w:tblGrid>
        <w:gridCol w:w="125"/>
        <w:gridCol w:w="3740"/>
      </w:tblGrid>
      <w:tr>
        <w:trPr/>
        <w:tc>
          <w:tcPr>
            <w:tcW w:w="125" w:type="dxa"/>
            <w:tcBorders/>
            <w:vAlign w:val="center"/>
          </w:tcPr>
          <w:p>
            <w:pPr>
              <w:pStyle w:val="TableContents"/>
              <w:bidi w:val="0"/>
              <w:spacing w:before="0" w:after="283"/>
              <w:jc w:val="left"/>
              <w:rPr>
                <w:color w:val="000000"/>
              </w:rPr>
            </w:pPr>
            <w:r>
              <w:rPr>
                <w:color w:val="000000"/>
              </w:rPr>
              <w:t>•</w:t>
            </w:r>
          </w:p>
        </w:tc>
        <w:tc>
          <w:tcPr>
            <w:tcW w:w="3740" w:type="dxa"/>
            <w:tcBorders/>
            <w:vAlign w:val="center"/>
          </w:tcPr>
          <w:p>
            <w:pPr>
              <w:pStyle w:val="TableContents"/>
              <w:bidi w:val="0"/>
              <w:spacing w:before="0" w:after="0"/>
              <w:jc w:val="both"/>
              <w:rPr>
                <w:color w:val="000000"/>
              </w:rPr>
            </w:pPr>
            <w:r>
              <w:rPr>
                <w:color w:val="000000"/>
              </w:rPr>
              <w:t>general volatility of the capital markets;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color w:val="000000"/>
              </w:rPr>
            </w:pPr>
            <w:r>
              <w:rPr>
                <w:color w:val="000000"/>
              </w:rPr>
              <w:t>•</w:t>
            </w:r>
          </w:p>
        </w:tc>
        <w:tc>
          <w:tcPr>
            <w:tcW w:w="10080" w:type="dxa"/>
            <w:tcBorders/>
            <w:vAlign w:val="center"/>
          </w:tcPr>
          <w:p>
            <w:pPr>
              <w:pStyle w:val="TableContents"/>
              <w:bidi w:val="0"/>
              <w:spacing w:before="0" w:after="0"/>
              <w:jc w:val="both"/>
              <w:rPr>
                <w:color w:val="000000"/>
              </w:rPr>
            </w:pPr>
            <w:r>
              <w:rPr>
                <w:color w:val="000000"/>
              </w:rPr>
              <w:t>deterioration in domestic and global economic conditions or failure of conditions to improve as anticipated;</w:t>
            </w:r>
          </w:p>
        </w:tc>
      </w:tr>
    </w:tbl>
    <w:p>
      <w:pPr>
        <w:pStyle w:val="TextBody"/>
        <w:bidi w:val="0"/>
        <w:spacing w:before="0" w:after="0"/>
        <w:jc w:val="left"/>
        <w:rPr/>
      </w:pPr>
      <w:r>
        <w:rPr/>
      </w:r>
    </w:p>
    <w:tbl>
      <w:tblPr>
        <w:tblW w:w="3460" w:type="dxa"/>
        <w:jc w:val="left"/>
        <w:tblInd w:w="0" w:type="dxa"/>
        <w:tblLayout w:type="fixed"/>
        <w:tblCellMar>
          <w:top w:w="0" w:type="dxa"/>
          <w:left w:w="0" w:type="dxa"/>
          <w:bottom w:w="0" w:type="dxa"/>
          <w:right w:w="0" w:type="dxa"/>
        </w:tblCellMar>
      </w:tblPr>
      <w:tblGrid>
        <w:gridCol w:w="125"/>
        <w:gridCol w:w="3335"/>
      </w:tblGrid>
      <w:tr>
        <w:trPr/>
        <w:tc>
          <w:tcPr>
            <w:tcW w:w="125" w:type="dxa"/>
            <w:tcBorders/>
            <w:vAlign w:val="center"/>
          </w:tcPr>
          <w:p>
            <w:pPr>
              <w:pStyle w:val="TableContents"/>
              <w:bidi w:val="0"/>
              <w:spacing w:before="0" w:after="283"/>
              <w:jc w:val="left"/>
              <w:rPr>
                <w:color w:val="000000"/>
              </w:rPr>
            </w:pPr>
            <w:r>
              <w:rPr>
                <w:color w:val="000000"/>
              </w:rPr>
              <w:t>•</w:t>
            </w:r>
          </w:p>
        </w:tc>
        <w:tc>
          <w:tcPr>
            <w:tcW w:w="3335" w:type="dxa"/>
            <w:tcBorders/>
            <w:vAlign w:val="center"/>
          </w:tcPr>
          <w:p>
            <w:pPr>
              <w:pStyle w:val="TableContents"/>
              <w:bidi w:val="0"/>
              <w:spacing w:before="0" w:after="0"/>
              <w:jc w:val="both"/>
              <w:rPr>
                <w:color w:val="000000"/>
              </w:rPr>
            </w:pPr>
            <w:r>
              <w:rPr>
                <w:color w:val="000000"/>
              </w:rPr>
              <w:t>regulatory and legal developments;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color w:val="000000"/>
              </w:rPr>
            </w:pPr>
            <w:r>
              <w:rPr>
                <w:color w:val="000000"/>
              </w:rPr>
              <w:t>•</w:t>
            </w:r>
          </w:p>
        </w:tc>
        <w:tc>
          <w:tcPr>
            <w:tcW w:w="10080" w:type="dxa"/>
            <w:tcBorders/>
            <w:vAlign w:val="center"/>
          </w:tcPr>
          <w:p>
            <w:pPr>
              <w:pStyle w:val="TableContents"/>
              <w:bidi w:val="0"/>
              <w:spacing w:before="0" w:after="0"/>
              <w:jc w:val="both"/>
              <w:rPr>
                <w:color w:val="000000"/>
              </w:rPr>
            </w:pPr>
            <w:r>
              <w:rPr>
                <w:color w:val="000000"/>
              </w:rPr>
              <w:t>inflationary trends could result in further interest rate increases or sustained higher interest rates for longer than expected periods of time, which could lead to increased market volatility;</w:t>
            </w:r>
          </w:p>
        </w:tc>
      </w:tr>
    </w:tbl>
    <w:p>
      <w:pPr>
        <w:pStyle w:val="TextBody"/>
        <w:bidi w:val="0"/>
        <w:spacing w:before="0" w:after="0"/>
        <w:jc w:val="left"/>
        <w:rPr/>
      </w:pPr>
      <w:r>
        <w:rPr/>
      </w:r>
    </w:p>
    <w:tbl>
      <w:tblPr>
        <w:tblW w:w="6865" w:type="dxa"/>
        <w:jc w:val="left"/>
        <w:tblInd w:w="0" w:type="dxa"/>
        <w:tblLayout w:type="fixed"/>
        <w:tblCellMar>
          <w:top w:w="0" w:type="dxa"/>
          <w:left w:w="0" w:type="dxa"/>
          <w:bottom w:w="0" w:type="dxa"/>
          <w:right w:w="0" w:type="dxa"/>
        </w:tblCellMar>
      </w:tblPr>
      <w:tblGrid>
        <w:gridCol w:w="125"/>
        <w:gridCol w:w="6740"/>
      </w:tblGrid>
      <w:tr>
        <w:trPr/>
        <w:tc>
          <w:tcPr>
            <w:tcW w:w="125" w:type="dxa"/>
            <w:tcBorders/>
            <w:vAlign w:val="center"/>
          </w:tcPr>
          <w:p>
            <w:pPr>
              <w:pStyle w:val="TableContents"/>
              <w:bidi w:val="0"/>
              <w:spacing w:before="0" w:after="283"/>
              <w:jc w:val="left"/>
              <w:rPr>
                <w:color w:val="000000"/>
              </w:rPr>
            </w:pPr>
            <w:r>
              <w:rPr>
                <w:color w:val="000000"/>
              </w:rPr>
              <w:t>•</w:t>
            </w:r>
          </w:p>
        </w:tc>
        <w:tc>
          <w:tcPr>
            <w:tcW w:w="6740" w:type="dxa"/>
            <w:tcBorders/>
            <w:vAlign w:val="center"/>
          </w:tcPr>
          <w:p>
            <w:pPr>
              <w:pStyle w:val="TableContents"/>
              <w:bidi w:val="0"/>
              <w:spacing w:before="0" w:after="0"/>
              <w:jc w:val="both"/>
              <w:rPr>
                <w:color w:val="000000"/>
              </w:rPr>
            </w:pPr>
            <w:r>
              <w:rPr>
                <w:color w:val="000000"/>
              </w:rPr>
              <w:t>changes in the Company’s investment objectives and business strategy;</w:t>
            </w:r>
          </w:p>
        </w:tc>
      </w:tr>
    </w:tbl>
    <w:p>
      <w:pPr>
        <w:pStyle w:val="TextBody"/>
        <w:bidi w:val="0"/>
        <w:spacing w:before="0" w:after="0"/>
        <w:jc w:val="left"/>
        <w:rPr/>
      </w:pPr>
      <w:r>
        <w:rPr/>
      </w:r>
    </w:p>
    <w:tbl>
      <w:tblPr>
        <w:tblW w:w="4390" w:type="dxa"/>
        <w:jc w:val="left"/>
        <w:tblInd w:w="0" w:type="dxa"/>
        <w:tblLayout w:type="fixed"/>
        <w:tblCellMar>
          <w:top w:w="0" w:type="dxa"/>
          <w:left w:w="0" w:type="dxa"/>
          <w:bottom w:w="0" w:type="dxa"/>
          <w:right w:w="0" w:type="dxa"/>
        </w:tblCellMar>
      </w:tblPr>
      <w:tblGrid>
        <w:gridCol w:w="125"/>
        <w:gridCol w:w="4265"/>
      </w:tblGrid>
      <w:tr>
        <w:trPr/>
        <w:tc>
          <w:tcPr>
            <w:tcW w:w="125" w:type="dxa"/>
            <w:tcBorders/>
            <w:vAlign w:val="center"/>
          </w:tcPr>
          <w:p>
            <w:pPr>
              <w:pStyle w:val="TableContents"/>
              <w:bidi w:val="0"/>
              <w:spacing w:before="0" w:after="283"/>
              <w:jc w:val="left"/>
              <w:rPr>
                <w:color w:val="000000"/>
              </w:rPr>
            </w:pPr>
            <w:r>
              <w:rPr>
                <w:color w:val="000000"/>
              </w:rPr>
              <w:t>•</w:t>
            </w:r>
          </w:p>
        </w:tc>
        <w:tc>
          <w:tcPr>
            <w:tcW w:w="4265" w:type="dxa"/>
            <w:tcBorders/>
            <w:vAlign w:val="center"/>
          </w:tcPr>
          <w:p>
            <w:pPr>
              <w:pStyle w:val="TableContents"/>
              <w:bidi w:val="0"/>
              <w:spacing w:before="0" w:after="0"/>
              <w:jc w:val="both"/>
              <w:rPr>
                <w:color w:val="000000"/>
              </w:rPr>
            </w:pPr>
            <w:r>
              <w:rPr>
                <w:color w:val="000000"/>
              </w:rPr>
              <w:t>availability, terms and deployment of capital;</w:t>
            </w:r>
          </w:p>
        </w:tc>
      </w:tr>
    </w:tbl>
    <w:p>
      <w:pPr>
        <w:pStyle w:val="TextBody"/>
        <w:bidi w:val="0"/>
        <w:spacing w:before="0" w:after="0"/>
        <w:jc w:val="left"/>
        <w:rPr/>
      </w:pPr>
      <w:r>
        <w:rPr/>
      </w:r>
    </w:p>
    <w:tbl>
      <w:tblPr>
        <w:tblW w:w="4660" w:type="dxa"/>
        <w:jc w:val="left"/>
        <w:tblInd w:w="0" w:type="dxa"/>
        <w:tblLayout w:type="fixed"/>
        <w:tblCellMar>
          <w:top w:w="0" w:type="dxa"/>
          <w:left w:w="0" w:type="dxa"/>
          <w:bottom w:w="0" w:type="dxa"/>
          <w:right w:w="0" w:type="dxa"/>
        </w:tblCellMar>
      </w:tblPr>
      <w:tblGrid>
        <w:gridCol w:w="125"/>
        <w:gridCol w:w="4535"/>
      </w:tblGrid>
      <w:tr>
        <w:trPr/>
        <w:tc>
          <w:tcPr>
            <w:tcW w:w="125" w:type="dxa"/>
            <w:tcBorders/>
            <w:vAlign w:val="center"/>
          </w:tcPr>
          <w:p>
            <w:pPr>
              <w:pStyle w:val="TableContents"/>
              <w:bidi w:val="0"/>
              <w:spacing w:before="0" w:after="283"/>
              <w:jc w:val="left"/>
              <w:rPr>
                <w:color w:val="000000"/>
              </w:rPr>
            </w:pPr>
            <w:r>
              <w:rPr>
                <w:color w:val="000000"/>
              </w:rPr>
              <w:t>•</w:t>
            </w:r>
          </w:p>
        </w:tc>
        <w:tc>
          <w:tcPr>
            <w:tcW w:w="4535" w:type="dxa"/>
            <w:tcBorders/>
            <w:vAlign w:val="center"/>
          </w:tcPr>
          <w:p>
            <w:pPr>
              <w:pStyle w:val="TableContents"/>
              <w:bidi w:val="0"/>
              <w:spacing w:before="0" w:after="0"/>
              <w:jc w:val="both"/>
              <w:rPr>
                <w:color w:val="000000"/>
              </w:rPr>
            </w:pPr>
            <w:r>
              <w:rPr>
                <w:color w:val="000000"/>
              </w:rPr>
              <w:t>availability of suitable investment opportunities;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color w:val="000000"/>
              </w:rPr>
            </w:pPr>
            <w:r>
              <w:rPr>
                <w:color w:val="000000"/>
              </w:rPr>
              <w:t>•</w:t>
            </w:r>
          </w:p>
        </w:tc>
        <w:tc>
          <w:tcPr>
            <w:tcW w:w="10080" w:type="dxa"/>
            <w:tcBorders/>
            <w:vAlign w:val="center"/>
          </w:tcPr>
          <w:p>
            <w:pPr>
              <w:pStyle w:val="TableContents"/>
              <w:bidi w:val="0"/>
              <w:spacing w:before="0" w:after="0"/>
              <w:jc w:val="both"/>
              <w:rPr>
                <w:color w:val="000000"/>
              </w:rPr>
            </w:pPr>
            <w:r>
              <w:rPr>
                <w:color w:val="000000"/>
              </w:rPr>
              <w:t>the Company’s ability to operate its licensed mortgage servicing subsidiary and oversee the activities of such subsidiary;</w:t>
            </w:r>
          </w:p>
        </w:tc>
      </w:tr>
    </w:tbl>
    <w:p>
      <w:pPr>
        <w:pStyle w:val="TextBody"/>
        <w:bidi w:val="0"/>
        <w:spacing w:before="0" w:after="0"/>
        <w:jc w:val="left"/>
        <w:rPr/>
      </w:pPr>
      <w:r>
        <w:rPr/>
      </w:r>
    </w:p>
    <w:tbl>
      <w:tblPr>
        <w:tblW w:w="9745" w:type="dxa"/>
        <w:jc w:val="left"/>
        <w:tblInd w:w="0" w:type="dxa"/>
        <w:tblLayout w:type="fixed"/>
        <w:tblCellMar>
          <w:top w:w="0" w:type="dxa"/>
          <w:left w:w="0" w:type="dxa"/>
          <w:bottom w:w="0" w:type="dxa"/>
          <w:right w:w="0" w:type="dxa"/>
        </w:tblCellMar>
      </w:tblPr>
      <w:tblGrid>
        <w:gridCol w:w="125"/>
        <w:gridCol w:w="9620"/>
      </w:tblGrid>
      <w:tr>
        <w:trPr/>
        <w:tc>
          <w:tcPr>
            <w:tcW w:w="125" w:type="dxa"/>
            <w:tcBorders/>
            <w:vAlign w:val="center"/>
          </w:tcPr>
          <w:p>
            <w:pPr>
              <w:pStyle w:val="TableContents"/>
              <w:bidi w:val="0"/>
              <w:spacing w:before="0" w:after="283"/>
              <w:jc w:val="left"/>
              <w:rPr>
                <w:color w:val="000000"/>
              </w:rPr>
            </w:pPr>
            <w:r>
              <w:rPr>
                <w:color w:val="000000"/>
              </w:rPr>
              <w:t>•</w:t>
            </w:r>
          </w:p>
        </w:tc>
        <w:tc>
          <w:tcPr>
            <w:tcW w:w="9620" w:type="dxa"/>
            <w:tcBorders/>
            <w:vAlign w:val="center"/>
          </w:tcPr>
          <w:p>
            <w:pPr>
              <w:pStyle w:val="TableContents"/>
              <w:bidi w:val="0"/>
              <w:spacing w:before="0" w:after="0"/>
              <w:jc w:val="both"/>
              <w:rPr>
                <w:color w:val="000000"/>
              </w:rPr>
            </w:pPr>
            <w:r>
              <w:rPr>
                <w:color w:val="000000"/>
              </w:rPr>
              <w:t>the Company’s ability to manage various operational and regulatory risks associated with its business;</w:t>
            </w:r>
          </w:p>
        </w:tc>
      </w:tr>
    </w:tbl>
    <w:p>
      <w:pPr>
        <w:pStyle w:val="TextBody"/>
        <w:bidi w:val="0"/>
        <w:spacing w:before="0" w:after="0"/>
        <w:jc w:val="left"/>
        <w:rPr/>
      </w:pPr>
      <w:r>
        <w:rPr/>
      </w:r>
    </w:p>
    <w:tbl>
      <w:tblPr>
        <w:tblW w:w="6895" w:type="dxa"/>
        <w:jc w:val="left"/>
        <w:tblInd w:w="0" w:type="dxa"/>
        <w:tblLayout w:type="fixed"/>
        <w:tblCellMar>
          <w:top w:w="0" w:type="dxa"/>
          <w:left w:w="0" w:type="dxa"/>
          <w:bottom w:w="0" w:type="dxa"/>
          <w:right w:w="0" w:type="dxa"/>
        </w:tblCellMar>
      </w:tblPr>
      <w:tblGrid>
        <w:gridCol w:w="125"/>
        <w:gridCol w:w="6770"/>
      </w:tblGrid>
      <w:tr>
        <w:trPr/>
        <w:tc>
          <w:tcPr>
            <w:tcW w:w="125" w:type="dxa"/>
            <w:tcBorders/>
            <w:vAlign w:val="center"/>
          </w:tcPr>
          <w:p>
            <w:pPr>
              <w:pStyle w:val="TableContents"/>
              <w:bidi w:val="0"/>
              <w:spacing w:before="0" w:after="283"/>
              <w:jc w:val="left"/>
              <w:rPr>
                <w:color w:val="000000"/>
              </w:rPr>
            </w:pPr>
            <w:r>
              <w:rPr>
                <w:color w:val="000000"/>
              </w:rPr>
              <w:t>•</w:t>
            </w:r>
          </w:p>
        </w:tc>
        <w:tc>
          <w:tcPr>
            <w:tcW w:w="6770" w:type="dxa"/>
            <w:tcBorders/>
            <w:vAlign w:val="center"/>
          </w:tcPr>
          <w:p>
            <w:pPr>
              <w:pStyle w:val="TableContents"/>
              <w:bidi w:val="0"/>
              <w:spacing w:before="0" w:after="0"/>
              <w:jc w:val="both"/>
              <w:rPr>
                <w:color w:val="000000"/>
              </w:rPr>
            </w:pPr>
            <w:r>
              <w:rPr>
                <w:color w:val="000000"/>
              </w:rPr>
              <w:t>changes in the Company’s assets, interest rates or the general economy;</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color w:val="000000"/>
              </w:rPr>
            </w:pPr>
            <w:r>
              <w:rPr>
                <w:color w:val="000000"/>
              </w:rPr>
              <w:t>•</w:t>
            </w:r>
          </w:p>
        </w:tc>
        <w:tc>
          <w:tcPr>
            <w:tcW w:w="10080" w:type="dxa"/>
            <w:tcBorders/>
            <w:vAlign w:val="center"/>
          </w:tcPr>
          <w:p>
            <w:pPr>
              <w:pStyle w:val="TableContents"/>
              <w:bidi w:val="0"/>
              <w:spacing w:before="0" w:after="0"/>
              <w:jc w:val="both"/>
              <w:rPr>
                <w:color w:val="000000"/>
              </w:rPr>
            </w:pPr>
            <w:r>
              <w:rPr>
                <w:color w:val="000000"/>
              </w:rPr>
              <w:t>increased rates of default and/or decreased recovery rates on the Company’s investments, including as a result of the effects of more severe weather and changes in traditional weather patterns;</w:t>
            </w:r>
          </w:p>
        </w:tc>
      </w:tr>
    </w:tbl>
    <w:p>
      <w:pPr>
        <w:pStyle w:val="TextBody"/>
        <w:bidi w:val="0"/>
        <w:spacing w:before="0" w:after="0"/>
        <w:jc w:val="left"/>
        <w:rPr/>
      </w:pPr>
      <w:r>
        <w:rPr/>
      </w:r>
    </w:p>
    <w:tbl>
      <w:tblPr>
        <w:tblW w:w="9340" w:type="dxa"/>
        <w:jc w:val="left"/>
        <w:tblInd w:w="0" w:type="dxa"/>
        <w:tblLayout w:type="fixed"/>
        <w:tblCellMar>
          <w:top w:w="0" w:type="dxa"/>
          <w:left w:w="0" w:type="dxa"/>
          <w:bottom w:w="0" w:type="dxa"/>
          <w:right w:w="0" w:type="dxa"/>
        </w:tblCellMar>
      </w:tblPr>
      <w:tblGrid>
        <w:gridCol w:w="125"/>
        <w:gridCol w:w="9215"/>
      </w:tblGrid>
      <w:tr>
        <w:trPr/>
        <w:tc>
          <w:tcPr>
            <w:tcW w:w="125" w:type="dxa"/>
            <w:tcBorders/>
            <w:vAlign w:val="center"/>
          </w:tcPr>
          <w:p>
            <w:pPr>
              <w:pStyle w:val="TableContents"/>
              <w:bidi w:val="0"/>
              <w:spacing w:before="0" w:after="283"/>
              <w:jc w:val="left"/>
              <w:rPr>
                <w:color w:val="000000"/>
              </w:rPr>
            </w:pPr>
            <w:r>
              <w:rPr>
                <w:color w:val="000000"/>
              </w:rPr>
              <w:t>•</w:t>
            </w:r>
          </w:p>
        </w:tc>
        <w:tc>
          <w:tcPr>
            <w:tcW w:w="9215" w:type="dxa"/>
            <w:tcBorders/>
            <w:vAlign w:val="center"/>
          </w:tcPr>
          <w:p>
            <w:pPr>
              <w:pStyle w:val="TableContents"/>
              <w:bidi w:val="0"/>
              <w:spacing w:before="0" w:after="0"/>
              <w:jc w:val="both"/>
              <w:rPr>
                <w:color w:val="000000"/>
              </w:rPr>
            </w:pPr>
            <w:r>
              <w:rPr>
                <w:color w:val="000000"/>
              </w:rPr>
              <w:t>changes in interest rates, interest rate spreads, the yield curve, prepayment rates or recapture rates;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color w:val="000000"/>
              </w:rPr>
            </w:pPr>
            <w:r>
              <w:rPr>
                <w:color w:val="000000"/>
              </w:rPr>
              <w:t>•</w:t>
            </w:r>
          </w:p>
        </w:tc>
        <w:tc>
          <w:tcPr>
            <w:tcW w:w="10080" w:type="dxa"/>
            <w:tcBorders/>
            <w:vAlign w:val="center"/>
          </w:tcPr>
          <w:p>
            <w:pPr>
              <w:pStyle w:val="TableContents"/>
              <w:bidi w:val="0"/>
              <w:spacing w:before="0" w:after="0"/>
              <w:jc w:val="both"/>
              <w:rPr>
                <w:color w:val="000000"/>
              </w:rPr>
            </w:pPr>
            <w:r>
              <w:rPr>
                <w:color w:val="000000"/>
              </w:rPr>
              <w:t>limitations on the Company’s business due to compliance with requirements for maintaining its qualification as a REIT under the Code and the Company’s exception from the definitions of “investment company” under the Investment Company Act (or of otherwise not falling within those definitions);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color w:val="000000"/>
              </w:rPr>
            </w:pPr>
            <w:r>
              <w:rPr>
                <w:color w:val="000000"/>
              </w:rPr>
              <w:t>•</w:t>
            </w:r>
          </w:p>
        </w:tc>
        <w:tc>
          <w:tcPr>
            <w:tcW w:w="10080" w:type="dxa"/>
            <w:tcBorders/>
            <w:vAlign w:val="center"/>
          </w:tcPr>
          <w:p>
            <w:pPr>
              <w:pStyle w:val="TableContents"/>
              <w:bidi w:val="0"/>
              <w:spacing w:before="0" w:after="0"/>
              <w:jc w:val="both"/>
              <w:rPr>
                <w:color w:val="000000"/>
              </w:rPr>
            </w:pPr>
            <w:r>
              <w:rPr>
                <w:color w:val="000000"/>
              </w:rPr>
              <w:t>the degree and nature of the Company’s competition, including competition for the residential mortgage assets in which the Company invests; and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 w:name="d9037d2d4f29440e84a454d179908188"/>
      <w:bookmarkStart w:id="3" w:name="d9037d2d4f29440e84a454d179908188"/>
      <w:bookmarkEnd w:id="3"/>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color w:val="000000"/>
              </w:rPr>
            </w:pPr>
            <w:r>
              <w:rPr>
                <w:color w:val="000000"/>
              </w:rPr>
              <w:t>•</w:t>
            </w:r>
          </w:p>
        </w:tc>
        <w:tc>
          <w:tcPr>
            <w:tcW w:w="1008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the risks and uncertainties associated with: TPG Mortgage Investment Trust, Inc, a Maryland corporation (“MITT”) and the Company's ability to consummate the Mergers on the proposed terms or on the anticipated timeline, or at all, including risks and uncertainties related to obtaining the necessary approvals of the Company's and MITT's respective common stockholders and satisfaction of other closing conditions to consummate the Mergers; the occurrence of any event, change or other circumstance that could give rise to the termination of the Merger Agreement; risks related to diverting the attention of MITT's and the Company's management from ongoing business operations; failure to realize the expected benefits of the Mergers; significant transaction costs and/or unknown or inestimable liabilities; the risk of stockholder litigation in connection with the Mergers, including resulting expense or delay; the risk that MITT's and the Company's respective businesses will not be integrated successfully or that such integration may be more difficult, time-consuming or costly than expected; and effects relating to the announcement of the Mergers or any further announcements or the consummation of the Mergers on the market price of MITT's or the Company's common stock;</w:t>
            </w:r>
          </w:p>
        </w:tc>
      </w:tr>
    </w:tbl>
    <w:p>
      <w:pPr>
        <w:pStyle w:val="TextBody"/>
        <w:bidi w:val="0"/>
        <w:spacing w:before="0" w:after="0"/>
        <w:jc w:val="left"/>
        <w:rPr/>
      </w:pPr>
      <w:r>
        <w:rPr/>
      </w:r>
    </w:p>
    <w:tbl>
      <w:tblPr>
        <w:tblW w:w="8815" w:type="dxa"/>
        <w:jc w:val="left"/>
        <w:tblInd w:w="0" w:type="dxa"/>
        <w:tblLayout w:type="fixed"/>
        <w:tblCellMar>
          <w:top w:w="0" w:type="dxa"/>
          <w:left w:w="0" w:type="dxa"/>
          <w:bottom w:w="0" w:type="dxa"/>
          <w:right w:w="0" w:type="dxa"/>
        </w:tblCellMar>
      </w:tblPr>
      <w:tblGrid>
        <w:gridCol w:w="125"/>
        <w:gridCol w:w="8690"/>
      </w:tblGrid>
      <w:tr>
        <w:trPr/>
        <w:tc>
          <w:tcPr>
            <w:tcW w:w="125" w:type="dxa"/>
            <w:tcBorders/>
            <w:vAlign w:val="center"/>
          </w:tcPr>
          <w:p>
            <w:pPr>
              <w:pStyle w:val="TableContents"/>
              <w:bidi w:val="0"/>
              <w:spacing w:before="0" w:after="283"/>
              <w:jc w:val="left"/>
              <w:rPr>
                <w:color w:val="000000"/>
              </w:rPr>
            </w:pPr>
            <w:r>
              <w:rPr>
                <w:color w:val="000000"/>
              </w:rPr>
              <w:t>•</w:t>
            </w:r>
          </w:p>
        </w:tc>
        <w:tc>
          <w:tcPr>
            <w:tcW w:w="8690" w:type="dxa"/>
            <w:tcBorders/>
            <w:vAlign w:val="center"/>
          </w:tcPr>
          <w:p>
            <w:pPr>
              <w:pStyle w:val="TableContents"/>
              <w:bidi w:val="0"/>
              <w:spacing w:before="0" w:after="0"/>
              <w:jc w:val="both"/>
              <w:rPr>
                <w:color w:val="000000"/>
              </w:rPr>
            </w:pPr>
            <w:r>
              <w:rPr>
                <w:color w:val="000000"/>
              </w:rPr>
              <w:t>other risks associated with acquiring, investing in and managing residential mortgage assets.</w:t>
            </w:r>
          </w:p>
        </w:tc>
      </w:tr>
    </w:tbl>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 xml:space="preserve">Although the Company believes that the expectations reflected in the forward-looking statements are reasonable, it cannot guarantee future results, levels of activity, performance or achievements. These forward-looking statements apply only as of the date of this Quarterly Report on Form 10-Q. Except as otherwise may be required by law, the Company undertakes no obligation to update or revise any forward-looking statements, whether as a result of new information, future events or otherwise. </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4</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 xml:space="preserve">PART I. </w:t>
      </w:r>
      <w:bookmarkStart w:id="4" w:name="FINANCIALINFORMATION"/>
      <w:bookmarkEnd w:id="4"/>
      <w:r>
        <w:rPr>
          <w:rFonts w:ascii="Times New Roman" w:hAnsi="Times New Roman"/>
          <w:b/>
          <w:color w:val="000000"/>
          <w:sz w:val="20"/>
          <w:shd w:fill="FFFFFF" w:val="clear"/>
        </w:rPr>
        <w:t>FINANCIAL INFORMATION</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5" w:name="ConsolidatedFinancialStat"/>
      <w:bookmarkStart w:id="6" w:name="ConsolidatedFinancialStat"/>
      <w:bookmarkEnd w:id="6"/>
    </w:p>
    <w:tbl>
      <w:tblPr>
        <w:tblW w:w="3580" w:type="dxa"/>
        <w:jc w:val="left"/>
        <w:tblInd w:w="0" w:type="dxa"/>
        <w:tblLayout w:type="fixed"/>
        <w:tblCellMar>
          <w:top w:w="0" w:type="dxa"/>
          <w:left w:w="0" w:type="dxa"/>
          <w:bottom w:w="0" w:type="dxa"/>
          <w:right w:w="0" w:type="dxa"/>
        </w:tblCellMar>
      </w:tblPr>
      <w:tblGrid>
        <w:gridCol w:w="620"/>
        <w:gridCol w:w="2960"/>
      </w:tblGrid>
      <w:tr>
        <w:trPr/>
        <w:tc>
          <w:tcPr>
            <w:tcW w:w="620"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Item 1.</w:t>
            </w:r>
          </w:p>
        </w:tc>
        <w:tc>
          <w:tcPr>
            <w:tcW w:w="296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Consolidated Financial Statements</w:t>
            </w:r>
          </w:p>
        </w:tc>
      </w:tr>
    </w:tbl>
    <w:p>
      <w:pPr>
        <w:pStyle w:val="TextBody"/>
        <w:bidi w:val="0"/>
        <w:spacing w:before="0" w:after="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Cherry Hill Mortgage Investment Corporation and Subsidiaries</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Consolidated Balance Sheets</w:t>
      </w:r>
      <w:bookmarkStart w:id="7" w:name="ConsolidatedBalanceSheets"/>
      <w:bookmarkEnd w:id="7"/>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(in thousands — except share and par value data)</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673"/>
        <w:gridCol w:w="60"/>
        <w:gridCol w:w="134"/>
        <w:gridCol w:w="908"/>
        <w:gridCol w:w="80"/>
        <w:gridCol w:w="60"/>
        <w:gridCol w:w="153"/>
        <w:gridCol w:w="1039"/>
        <w:gridCol w:w="98"/>
      </w:tblGrid>
      <w:tr>
        <w:trPr/>
        <w:tc>
          <w:tcPr>
            <w:tcW w:w="76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2" w:type="dxa"/>
            <w:gridSpan w:val="2"/>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(unaudited)</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2" w:type="dxa"/>
            <w:gridSpan w:val="2"/>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r>
      <w:tr>
        <w:trPr/>
        <w:tc>
          <w:tcPr>
            <w:tcW w:w="767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042"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June 30, 2026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2"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December 31, 2025</w:t>
            </w:r>
          </w:p>
        </w:tc>
        <w:tc>
          <w:tcPr>
            <w:tcW w:w="98" w:type="dxa"/>
            <w:tcBorders/>
            <w:vAlign w:val="bottom"/>
          </w:tcPr>
          <w:p>
            <w:pPr>
              <w:pStyle w:val="TableContents"/>
              <w:bidi w:val="0"/>
              <w:spacing w:before="0" w:after="283"/>
              <w:jc w:val="left"/>
              <w:rPr/>
            </w:pPr>
            <w:r>
              <w:rPr/>
              <w:t> </w:t>
            </w:r>
          </w:p>
        </w:tc>
      </w:tr>
      <w:tr>
        <w:trPr/>
        <w:tc>
          <w:tcPr>
            <w:tcW w:w="7673" w:type="dxa"/>
            <w:tcBorders/>
            <w:shd w:fill="CCEEFF" w:val="clear"/>
            <w:vAlign w:val="bottom"/>
          </w:tcPr>
          <w:p>
            <w:pPr>
              <w:pStyle w:val="TableContents"/>
              <w:bidi w:val="0"/>
              <w:spacing w:before="0" w:after="0"/>
              <w:ind w:left="144" w:right="0" w:hanging="144"/>
              <w:jc w:val="left"/>
              <w:rPr>
                <w:rFonts w:ascii="Times New Roman" w:hAnsi="Times New Roman"/>
                <w:b/>
                <w:sz w:val="20"/>
              </w:rPr>
            </w:pPr>
            <w:r>
              <w:rPr>
                <w:rFonts w:ascii="Times New Roman" w:hAnsi="Times New Roman"/>
                <w:b/>
                <w:sz w:val="20"/>
              </w:rPr>
              <w:t>Assets</w:t>
            </w:r>
          </w:p>
        </w:tc>
        <w:tc>
          <w:tcPr>
            <w:tcW w:w="60" w:type="dxa"/>
            <w:tcBorders/>
            <w:shd w:fill="CCEEFF" w:val="clear"/>
            <w:vAlign w:val="bottom"/>
          </w:tcPr>
          <w:p>
            <w:pPr>
              <w:pStyle w:val="TableContents"/>
              <w:bidi w:val="0"/>
              <w:spacing w:before="0" w:after="283"/>
              <w:jc w:val="left"/>
              <w:rPr/>
            </w:pPr>
            <w:r>
              <w:rPr/>
              <w:t> </w:t>
            </w:r>
          </w:p>
        </w:tc>
        <w:tc>
          <w:tcPr>
            <w:tcW w:w="1042" w:type="dxa"/>
            <w:gridSpan w:val="2"/>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2" w:type="dxa"/>
            <w:gridSpan w:val="2"/>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r>
      <w:tr>
        <w:trPr/>
        <w:tc>
          <w:tcPr>
            <w:tcW w:w="7673" w:type="dxa"/>
            <w:tcBorders/>
            <w:vAlign w:val="bottom"/>
          </w:tcPr>
          <w:p>
            <w:pPr>
              <w:pStyle w:val="TableContents"/>
              <w:bidi w:val="0"/>
              <w:spacing w:before="0" w:after="0"/>
              <w:jc w:val="left"/>
              <w:rPr/>
            </w:pPr>
            <w:r>
              <w:rPr/>
              <w:t xml:space="preserve">   </w:t>
            </w:r>
            <w:r>
              <w:rPr>
                <w:rFonts w:ascii="Times New Roman" w:hAnsi="Times New Roman"/>
                <w:sz w:val="20"/>
              </w:rPr>
              <w:t>RMBS, at fair value (including pledged assets of $1,054,018 and $1,189,714, respectively)</w:t>
            </w:r>
          </w:p>
        </w:tc>
        <w:tc>
          <w:tcPr>
            <w:tcW w:w="60" w:type="dxa"/>
            <w:tcBorders/>
            <w:vAlign w:val="bottom"/>
          </w:tcPr>
          <w:p>
            <w:pPr>
              <w:pStyle w:val="TableContents"/>
              <w:bidi w:val="0"/>
              <w:spacing w:before="0" w:after="283"/>
              <w:jc w:val="right"/>
              <w:rPr/>
            </w:pPr>
            <w:r>
              <w:rPr/>
              <w:t> </w:t>
            </w:r>
          </w:p>
        </w:tc>
        <w:tc>
          <w:tcPr>
            <w:tcW w:w="13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08"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1,079,802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3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1,213,851</w:t>
            </w:r>
          </w:p>
        </w:tc>
        <w:tc>
          <w:tcPr>
            <w:tcW w:w="98" w:type="dxa"/>
            <w:tcBorders/>
            <w:vAlign w:val="bottom"/>
          </w:tcPr>
          <w:p>
            <w:pPr>
              <w:pStyle w:val="TableContents"/>
              <w:bidi w:val="0"/>
              <w:spacing w:before="0" w:after="283"/>
              <w:jc w:val="left"/>
              <w:rPr/>
            </w:pPr>
            <w:r>
              <w:rPr/>
              <w:t> </w:t>
            </w:r>
          </w:p>
        </w:tc>
      </w:tr>
      <w:tr>
        <w:trPr/>
        <w:tc>
          <w:tcPr>
            <w:tcW w:w="7673" w:type="dxa"/>
            <w:tcBorders/>
            <w:shd w:fill="CCEEFF" w:val="clear"/>
            <w:vAlign w:val="bottom"/>
          </w:tcPr>
          <w:p>
            <w:pPr>
              <w:pStyle w:val="TableContents"/>
              <w:bidi w:val="0"/>
              <w:spacing w:before="0" w:after="0"/>
              <w:ind w:left="180" w:right="0" w:hanging="0"/>
              <w:jc w:val="left"/>
              <w:rPr/>
            </w:pPr>
            <w:r>
              <w:rPr/>
              <w:t xml:space="preserve">   </w:t>
            </w:r>
            <w:r>
              <w:rPr>
                <w:rFonts w:ascii="Times New Roman" w:hAnsi="Times New Roman"/>
                <w:sz w:val="20"/>
              </w:rPr>
              <w:t>Investments in Servicing Related Assets, at fair value (including pledged assets of $211,105 and $214,831, respectively)</w:t>
            </w:r>
          </w:p>
        </w:tc>
        <w:tc>
          <w:tcPr>
            <w:tcW w:w="60" w:type="dxa"/>
            <w:tcBorders/>
            <w:shd w:fill="CCEEFF" w:val="clear"/>
            <w:vAlign w:val="bottom"/>
          </w:tcPr>
          <w:p>
            <w:pPr>
              <w:pStyle w:val="TableContents"/>
              <w:bidi w:val="0"/>
              <w:spacing w:before="0" w:after="283"/>
              <w:jc w:val="right"/>
              <w:rPr/>
            </w:pPr>
            <w:r>
              <w:rPr/>
              <w:t> </w:t>
            </w:r>
          </w:p>
        </w:tc>
        <w:tc>
          <w:tcPr>
            <w:tcW w:w="134" w:type="dxa"/>
            <w:tcBorders/>
            <w:shd w:fill="CCEEFF" w:val="clear"/>
            <w:vAlign w:val="bottom"/>
          </w:tcPr>
          <w:p>
            <w:pPr>
              <w:pStyle w:val="TableContents"/>
              <w:bidi w:val="0"/>
              <w:spacing w:before="0" w:after="283"/>
              <w:jc w:val="left"/>
              <w:rPr/>
            </w:pPr>
            <w:r>
              <w:rPr/>
              <w:t> </w:t>
            </w:r>
          </w:p>
        </w:tc>
        <w:tc>
          <w:tcPr>
            <w:tcW w:w="90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211,105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3"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214,831</w:t>
            </w:r>
          </w:p>
        </w:tc>
        <w:tc>
          <w:tcPr>
            <w:tcW w:w="98" w:type="dxa"/>
            <w:tcBorders/>
            <w:shd w:fill="CCEEFF" w:val="clear"/>
            <w:vAlign w:val="bottom"/>
          </w:tcPr>
          <w:p>
            <w:pPr>
              <w:pStyle w:val="TableContents"/>
              <w:bidi w:val="0"/>
              <w:spacing w:before="0" w:after="283"/>
              <w:jc w:val="left"/>
              <w:rPr/>
            </w:pPr>
            <w:r>
              <w:rPr/>
              <w:t> </w:t>
            </w:r>
          </w:p>
        </w:tc>
      </w:tr>
      <w:tr>
        <w:trPr/>
        <w:tc>
          <w:tcPr>
            <w:tcW w:w="7673" w:type="dxa"/>
            <w:tcBorders/>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Cash and cash equivalents</w:t>
            </w:r>
          </w:p>
        </w:tc>
        <w:tc>
          <w:tcPr>
            <w:tcW w:w="60" w:type="dxa"/>
            <w:tcBorders/>
            <w:vAlign w:val="bottom"/>
          </w:tcPr>
          <w:p>
            <w:pPr>
              <w:pStyle w:val="TableContents"/>
              <w:bidi w:val="0"/>
              <w:spacing w:before="0" w:after="283"/>
              <w:jc w:val="right"/>
              <w:rPr/>
            </w:pPr>
            <w:r>
              <w:rPr/>
              <w:t> </w:t>
            </w:r>
          </w:p>
        </w:tc>
        <w:tc>
          <w:tcPr>
            <w:tcW w:w="134" w:type="dxa"/>
            <w:tcBorders/>
            <w:vAlign w:val="bottom"/>
          </w:tcPr>
          <w:p>
            <w:pPr>
              <w:pStyle w:val="TableContents"/>
              <w:bidi w:val="0"/>
              <w:spacing w:before="0" w:after="283"/>
              <w:jc w:val="left"/>
              <w:rPr/>
            </w:pPr>
            <w:r>
              <w:rPr/>
              <w:t> </w:t>
            </w:r>
          </w:p>
        </w:tc>
        <w:tc>
          <w:tcPr>
            <w:tcW w:w="908"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52,062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3"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54,946</w:t>
            </w:r>
          </w:p>
        </w:tc>
        <w:tc>
          <w:tcPr>
            <w:tcW w:w="98" w:type="dxa"/>
            <w:tcBorders/>
            <w:vAlign w:val="bottom"/>
          </w:tcPr>
          <w:p>
            <w:pPr>
              <w:pStyle w:val="TableContents"/>
              <w:bidi w:val="0"/>
              <w:spacing w:before="0" w:after="283"/>
              <w:jc w:val="left"/>
              <w:rPr/>
            </w:pPr>
            <w:r>
              <w:rPr/>
              <w:t> </w:t>
            </w:r>
          </w:p>
        </w:tc>
      </w:tr>
      <w:tr>
        <w:trPr/>
        <w:tc>
          <w:tcPr>
            <w:tcW w:w="7673" w:type="dxa"/>
            <w:tcBorders/>
            <w:shd w:fill="CCEEFF" w:val="clear"/>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Restricted cash</w:t>
            </w:r>
          </w:p>
        </w:tc>
        <w:tc>
          <w:tcPr>
            <w:tcW w:w="60" w:type="dxa"/>
            <w:tcBorders/>
            <w:shd w:fill="CCEEFF" w:val="clear"/>
            <w:vAlign w:val="bottom"/>
          </w:tcPr>
          <w:p>
            <w:pPr>
              <w:pStyle w:val="TableContents"/>
              <w:bidi w:val="0"/>
              <w:spacing w:before="0" w:after="283"/>
              <w:jc w:val="right"/>
              <w:rPr/>
            </w:pPr>
            <w:r>
              <w:rPr/>
              <w:t> </w:t>
            </w:r>
          </w:p>
        </w:tc>
        <w:tc>
          <w:tcPr>
            <w:tcW w:w="134" w:type="dxa"/>
            <w:tcBorders/>
            <w:shd w:fill="CCEEFF" w:val="clear"/>
            <w:vAlign w:val="bottom"/>
          </w:tcPr>
          <w:p>
            <w:pPr>
              <w:pStyle w:val="TableContents"/>
              <w:bidi w:val="0"/>
              <w:spacing w:before="0" w:after="283"/>
              <w:jc w:val="left"/>
              <w:rPr/>
            </w:pPr>
            <w:r>
              <w:rPr/>
              <w:t> </w:t>
            </w:r>
          </w:p>
        </w:tc>
        <w:tc>
          <w:tcPr>
            <w:tcW w:w="90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25,434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3"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7,523</w:t>
            </w:r>
          </w:p>
        </w:tc>
        <w:tc>
          <w:tcPr>
            <w:tcW w:w="98" w:type="dxa"/>
            <w:tcBorders/>
            <w:shd w:fill="CCEEFF" w:val="clear"/>
            <w:vAlign w:val="bottom"/>
          </w:tcPr>
          <w:p>
            <w:pPr>
              <w:pStyle w:val="TableContents"/>
              <w:bidi w:val="0"/>
              <w:spacing w:before="0" w:after="283"/>
              <w:jc w:val="left"/>
              <w:rPr/>
            </w:pPr>
            <w:r>
              <w:rPr/>
              <w:t> </w:t>
            </w:r>
          </w:p>
        </w:tc>
      </w:tr>
      <w:tr>
        <w:trPr/>
        <w:tc>
          <w:tcPr>
            <w:tcW w:w="7673" w:type="dxa"/>
            <w:tcBorders/>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Derivative assets</w:t>
            </w:r>
          </w:p>
        </w:tc>
        <w:tc>
          <w:tcPr>
            <w:tcW w:w="60" w:type="dxa"/>
            <w:tcBorders/>
            <w:vAlign w:val="bottom"/>
          </w:tcPr>
          <w:p>
            <w:pPr>
              <w:pStyle w:val="TableContents"/>
              <w:bidi w:val="0"/>
              <w:spacing w:before="0" w:after="283"/>
              <w:jc w:val="right"/>
              <w:rPr/>
            </w:pPr>
            <w:r>
              <w:rPr/>
              <w:t> </w:t>
            </w:r>
          </w:p>
        </w:tc>
        <w:tc>
          <w:tcPr>
            <w:tcW w:w="134" w:type="dxa"/>
            <w:tcBorders/>
            <w:vAlign w:val="bottom"/>
          </w:tcPr>
          <w:p>
            <w:pPr>
              <w:pStyle w:val="TableContents"/>
              <w:bidi w:val="0"/>
              <w:spacing w:before="0" w:after="283"/>
              <w:jc w:val="left"/>
              <w:rPr/>
            </w:pPr>
            <w:r>
              <w:rPr/>
              <w:t> </w:t>
            </w:r>
          </w:p>
        </w:tc>
        <w:tc>
          <w:tcPr>
            <w:tcW w:w="908"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1,622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3"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14,757</w:t>
            </w:r>
          </w:p>
        </w:tc>
        <w:tc>
          <w:tcPr>
            <w:tcW w:w="98" w:type="dxa"/>
            <w:tcBorders/>
            <w:vAlign w:val="bottom"/>
          </w:tcPr>
          <w:p>
            <w:pPr>
              <w:pStyle w:val="TableContents"/>
              <w:bidi w:val="0"/>
              <w:spacing w:before="0" w:after="283"/>
              <w:jc w:val="left"/>
              <w:rPr/>
            </w:pPr>
            <w:r>
              <w:rPr/>
              <w:t> </w:t>
            </w:r>
          </w:p>
        </w:tc>
      </w:tr>
      <w:tr>
        <w:trPr/>
        <w:tc>
          <w:tcPr>
            <w:tcW w:w="7673" w:type="dxa"/>
            <w:tcBorders/>
            <w:shd w:fill="CCEEFF" w:val="clear"/>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Receivables and other assets</w:t>
            </w:r>
          </w:p>
        </w:tc>
        <w:tc>
          <w:tcPr>
            <w:tcW w:w="60" w:type="dxa"/>
            <w:tcBorders/>
            <w:shd w:fill="CCEEFF" w:val="clear"/>
            <w:vAlign w:val="bottom"/>
          </w:tcPr>
          <w:p>
            <w:pPr>
              <w:pStyle w:val="TableContents"/>
              <w:bidi w:val="0"/>
              <w:spacing w:before="0" w:after="283"/>
              <w:jc w:val="right"/>
              <w:rPr/>
            </w:pPr>
            <w:r>
              <w:rPr/>
              <w:t> </w:t>
            </w:r>
          </w:p>
        </w:tc>
        <w:tc>
          <w:tcPr>
            <w:tcW w:w="13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0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27,519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39"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34,648</w:t>
            </w:r>
          </w:p>
        </w:tc>
        <w:tc>
          <w:tcPr>
            <w:tcW w:w="98" w:type="dxa"/>
            <w:tcBorders/>
            <w:shd w:fill="CCEEFF" w:val="clear"/>
            <w:vAlign w:val="bottom"/>
          </w:tcPr>
          <w:p>
            <w:pPr>
              <w:pStyle w:val="TableContents"/>
              <w:bidi w:val="0"/>
              <w:spacing w:before="0" w:after="283"/>
              <w:jc w:val="left"/>
              <w:rPr/>
            </w:pPr>
            <w:r>
              <w:rPr/>
              <w:t> </w:t>
            </w:r>
          </w:p>
        </w:tc>
      </w:tr>
      <w:tr>
        <w:trPr/>
        <w:tc>
          <w:tcPr>
            <w:tcW w:w="7673" w:type="dxa"/>
            <w:tcBorders/>
            <w:vAlign w:val="bottom"/>
          </w:tcPr>
          <w:p>
            <w:pPr>
              <w:pStyle w:val="TableContents"/>
              <w:bidi w:val="0"/>
              <w:spacing w:before="0" w:after="0"/>
              <w:ind w:left="288" w:right="0" w:hanging="144"/>
              <w:jc w:val="left"/>
              <w:rPr>
                <w:rFonts w:ascii="Times New Roman" w:hAnsi="Times New Roman"/>
                <w:b/>
                <w:sz w:val="20"/>
              </w:rPr>
            </w:pPr>
            <w:r>
              <w:rPr>
                <w:rFonts w:ascii="Times New Roman" w:hAnsi="Times New Roman"/>
                <w:b/>
                <w:sz w:val="20"/>
              </w:rPr>
              <w:t>Total Assets</w:t>
            </w:r>
          </w:p>
        </w:tc>
        <w:tc>
          <w:tcPr>
            <w:tcW w:w="60" w:type="dxa"/>
            <w:tcBorders/>
            <w:vAlign w:val="bottom"/>
          </w:tcPr>
          <w:p>
            <w:pPr>
              <w:pStyle w:val="TableContents"/>
              <w:bidi w:val="0"/>
              <w:spacing w:before="0" w:after="283"/>
              <w:jc w:val="right"/>
              <w:rPr/>
            </w:pPr>
            <w:r>
              <w:rPr/>
              <w:t> </w:t>
            </w:r>
          </w:p>
        </w:tc>
        <w:tc>
          <w:tcPr>
            <w:tcW w:w="134"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908"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1,397,544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3"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1039"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1,540,556</w:t>
            </w:r>
          </w:p>
        </w:tc>
        <w:tc>
          <w:tcPr>
            <w:tcW w:w="98" w:type="dxa"/>
            <w:tcBorders/>
            <w:vAlign w:val="bottom"/>
          </w:tcPr>
          <w:p>
            <w:pPr>
              <w:pStyle w:val="TableContents"/>
              <w:bidi w:val="0"/>
              <w:spacing w:before="0" w:after="283"/>
              <w:jc w:val="left"/>
              <w:rPr/>
            </w:pPr>
            <w:r>
              <w:rPr/>
              <w:t> </w:t>
            </w:r>
          </w:p>
        </w:tc>
      </w:tr>
      <w:tr>
        <w:trPr/>
        <w:tc>
          <w:tcPr>
            <w:tcW w:w="7673" w:type="dxa"/>
            <w:tcBorders/>
            <w:shd w:fill="CCEEFF" w:val="clear"/>
            <w:vAlign w:val="bottom"/>
          </w:tcPr>
          <w:p>
            <w:pPr>
              <w:pStyle w:val="TableContents"/>
              <w:bidi w:val="0"/>
              <w:spacing w:before="0" w:after="0"/>
              <w:ind w:left="144" w:right="0" w:hanging="144"/>
              <w:jc w:val="left"/>
              <w:rPr>
                <w:rFonts w:ascii="Times New Roman" w:hAnsi="Times New Roman"/>
                <w:b/>
                <w:sz w:val="20"/>
              </w:rPr>
            </w:pPr>
            <w:r>
              <w:rPr>
                <w:rFonts w:ascii="Times New Roman" w:hAnsi="Times New Roman"/>
                <w:b/>
                <w:sz w:val="20"/>
              </w:rPr>
              <w:t>Liabilities and Stockholders’ Equity</w:t>
            </w:r>
          </w:p>
        </w:tc>
        <w:tc>
          <w:tcPr>
            <w:tcW w:w="60" w:type="dxa"/>
            <w:tcBorders/>
            <w:shd w:fill="CCEEFF" w:val="clear"/>
            <w:vAlign w:val="bottom"/>
          </w:tcPr>
          <w:p>
            <w:pPr>
              <w:pStyle w:val="TableContents"/>
              <w:bidi w:val="0"/>
              <w:spacing w:before="0" w:after="283"/>
              <w:jc w:val="right"/>
              <w:rPr/>
            </w:pPr>
            <w:r>
              <w:rPr/>
              <w:t> </w:t>
            </w:r>
          </w:p>
        </w:tc>
        <w:tc>
          <w:tcPr>
            <w:tcW w:w="134" w:type="dxa"/>
            <w:tcBorders/>
            <w:shd w:fill="CCEEFF" w:val="clear"/>
            <w:vAlign w:val="bottom"/>
          </w:tcPr>
          <w:p>
            <w:pPr>
              <w:pStyle w:val="TableContents"/>
              <w:bidi w:val="0"/>
              <w:spacing w:before="0" w:after="283"/>
              <w:jc w:val="left"/>
              <w:rPr/>
            </w:pPr>
            <w:r>
              <w:rPr/>
              <w:t> </w:t>
            </w:r>
          </w:p>
        </w:tc>
        <w:tc>
          <w:tcPr>
            <w:tcW w:w="908"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3"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283"/>
              <w:jc w:val="right"/>
              <w:rPr/>
            </w:pPr>
            <w:r>
              <w:rPr/>
              <w:t> </w:t>
            </w:r>
          </w:p>
        </w:tc>
        <w:tc>
          <w:tcPr>
            <w:tcW w:w="98" w:type="dxa"/>
            <w:tcBorders/>
            <w:shd w:fill="CCEEFF" w:val="clear"/>
            <w:vAlign w:val="bottom"/>
          </w:tcPr>
          <w:p>
            <w:pPr>
              <w:pStyle w:val="TableContents"/>
              <w:bidi w:val="0"/>
              <w:spacing w:before="0" w:after="283"/>
              <w:jc w:val="left"/>
              <w:rPr/>
            </w:pPr>
            <w:r>
              <w:rPr/>
              <w:t> </w:t>
            </w:r>
          </w:p>
        </w:tc>
      </w:tr>
      <w:tr>
        <w:trPr/>
        <w:tc>
          <w:tcPr>
            <w:tcW w:w="7673" w:type="dxa"/>
            <w:tcBorders/>
            <w:vAlign w:val="bottom"/>
          </w:tcPr>
          <w:p>
            <w:pPr>
              <w:pStyle w:val="TableContents"/>
              <w:bidi w:val="0"/>
              <w:spacing w:before="0" w:after="0"/>
              <w:ind w:left="144" w:right="0" w:hanging="144"/>
              <w:jc w:val="left"/>
              <w:rPr>
                <w:rFonts w:ascii="Times New Roman" w:hAnsi="Times New Roman"/>
                <w:b/>
                <w:sz w:val="20"/>
              </w:rPr>
            </w:pPr>
            <w:r>
              <w:rPr>
                <w:rFonts w:ascii="Times New Roman" w:hAnsi="Times New Roman"/>
                <w:b/>
                <w:sz w:val="20"/>
              </w:rPr>
              <w:t>Liabilities</w:t>
            </w:r>
          </w:p>
        </w:tc>
        <w:tc>
          <w:tcPr>
            <w:tcW w:w="60" w:type="dxa"/>
            <w:tcBorders/>
            <w:vAlign w:val="bottom"/>
          </w:tcPr>
          <w:p>
            <w:pPr>
              <w:pStyle w:val="TableContents"/>
              <w:bidi w:val="0"/>
              <w:spacing w:before="0" w:after="283"/>
              <w:jc w:val="right"/>
              <w:rPr/>
            </w:pPr>
            <w:r>
              <w:rPr/>
              <w:t> </w:t>
            </w:r>
          </w:p>
        </w:tc>
        <w:tc>
          <w:tcPr>
            <w:tcW w:w="134" w:type="dxa"/>
            <w:tcBorders/>
            <w:vAlign w:val="bottom"/>
          </w:tcPr>
          <w:p>
            <w:pPr>
              <w:pStyle w:val="TableContents"/>
              <w:bidi w:val="0"/>
              <w:spacing w:before="0" w:after="283"/>
              <w:jc w:val="left"/>
              <w:rPr/>
            </w:pPr>
            <w:r>
              <w:rPr/>
              <w:t> </w:t>
            </w:r>
          </w:p>
        </w:tc>
        <w:tc>
          <w:tcPr>
            <w:tcW w:w="908"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3"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283"/>
              <w:jc w:val="right"/>
              <w:rPr/>
            </w:pPr>
            <w:r>
              <w:rPr/>
              <w:t> </w:t>
            </w:r>
          </w:p>
        </w:tc>
        <w:tc>
          <w:tcPr>
            <w:tcW w:w="98" w:type="dxa"/>
            <w:tcBorders/>
            <w:vAlign w:val="bottom"/>
          </w:tcPr>
          <w:p>
            <w:pPr>
              <w:pStyle w:val="TableContents"/>
              <w:bidi w:val="0"/>
              <w:spacing w:before="0" w:after="283"/>
              <w:jc w:val="left"/>
              <w:rPr/>
            </w:pPr>
            <w:r>
              <w:rPr/>
              <w:t> </w:t>
            </w:r>
          </w:p>
        </w:tc>
      </w:tr>
      <w:tr>
        <w:trPr/>
        <w:tc>
          <w:tcPr>
            <w:tcW w:w="7673" w:type="dxa"/>
            <w:tcBorders/>
            <w:shd w:fill="CCEEFF" w:val="clear"/>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Repurchase agreements</w:t>
            </w:r>
          </w:p>
        </w:tc>
        <w:tc>
          <w:tcPr>
            <w:tcW w:w="60" w:type="dxa"/>
            <w:tcBorders/>
            <w:shd w:fill="CCEEFF" w:val="clear"/>
            <w:vAlign w:val="bottom"/>
          </w:tcPr>
          <w:p>
            <w:pPr>
              <w:pStyle w:val="TableContents"/>
              <w:bidi w:val="0"/>
              <w:spacing w:before="0" w:after="283"/>
              <w:jc w:val="right"/>
              <w:rPr/>
            </w:pPr>
            <w:r>
              <w:rPr/>
              <w:t> </w:t>
            </w:r>
          </w:p>
        </w:tc>
        <w:tc>
          <w:tcPr>
            <w:tcW w:w="13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0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1,008,738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3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1,137,200</w:t>
            </w:r>
          </w:p>
        </w:tc>
        <w:tc>
          <w:tcPr>
            <w:tcW w:w="98" w:type="dxa"/>
            <w:tcBorders/>
            <w:shd w:fill="CCEEFF" w:val="clear"/>
            <w:vAlign w:val="bottom"/>
          </w:tcPr>
          <w:p>
            <w:pPr>
              <w:pStyle w:val="TableContents"/>
              <w:bidi w:val="0"/>
              <w:spacing w:before="0" w:after="283"/>
              <w:jc w:val="left"/>
              <w:rPr/>
            </w:pPr>
            <w:r>
              <w:rPr/>
              <w:t> </w:t>
            </w:r>
          </w:p>
        </w:tc>
      </w:tr>
      <w:tr>
        <w:trPr/>
        <w:tc>
          <w:tcPr>
            <w:tcW w:w="7673" w:type="dxa"/>
            <w:tcBorders/>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Derivative liabilities</w:t>
            </w:r>
          </w:p>
        </w:tc>
        <w:tc>
          <w:tcPr>
            <w:tcW w:w="60" w:type="dxa"/>
            <w:tcBorders/>
            <w:vAlign w:val="bottom"/>
          </w:tcPr>
          <w:p>
            <w:pPr>
              <w:pStyle w:val="TableContents"/>
              <w:bidi w:val="0"/>
              <w:spacing w:before="0" w:after="283"/>
              <w:jc w:val="right"/>
              <w:rPr/>
            </w:pPr>
            <w:r>
              <w:rPr/>
              <w:t> </w:t>
            </w:r>
          </w:p>
        </w:tc>
        <w:tc>
          <w:tcPr>
            <w:tcW w:w="134" w:type="dxa"/>
            <w:tcBorders/>
            <w:vAlign w:val="bottom"/>
          </w:tcPr>
          <w:p>
            <w:pPr>
              <w:pStyle w:val="TableContents"/>
              <w:bidi w:val="0"/>
              <w:spacing w:before="0" w:after="283"/>
              <w:jc w:val="left"/>
              <w:rPr/>
            </w:pPr>
            <w:r>
              <w:rPr/>
              <w:t> </w:t>
            </w:r>
          </w:p>
        </w:tc>
        <w:tc>
          <w:tcPr>
            <w:tcW w:w="908"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3,739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3"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2,275</w:t>
            </w:r>
          </w:p>
        </w:tc>
        <w:tc>
          <w:tcPr>
            <w:tcW w:w="98" w:type="dxa"/>
            <w:tcBorders/>
            <w:vAlign w:val="bottom"/>
          </w:tcPr>
          <w:p>
            <w:pPr>
              <w:pStyle w:val="TableContents"/>
              <w:bidi w:val="0"/>
              <w:spacing w:before="0" w:after="283"/>
              <w:jc w:val="left"/>
              <w:rPr/>
            </w:pPr>
            <w:r>
              <w:rPr/>
              <w:t> </w:t>
            </w:r>
          </w:p>
        </w:tc>
      </w:tr>
      <w:tr>
        <w:trPr/>
        <w:tc>
          <w:tcPr>
            <w:tcW w:w="7673" w:type="dxa"/>
            <w:tcBorders/>
            <w:shd w:fill="CCEEFF" w:val="clear"/>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Notes payable</w:t>
            </w:r>
          </w:p>
        </w:tc>
        <w:tc>
          <w:tcPr>
            <w:tcW w:w="60" w:type="dxa"/>
            <w:tcBorders/>
            <w:shd w:fill="CCEEFF" w:val="clear"/>
            <w:vAlign w:val="bottom"/>
          </w:tcPr>
          <w:p>
            <w:pPr>
              <w:pStyle w:val="TableContents"/>
              <w:bidi w:val="0"/>
              <w:spacing w:before="0" w:after="283"/>
              <w:jc w:val="right"/>
              <w:rPr/>
            </w:pPr>
            <w:r>
              <w:rPr/>
              <w:t> </w:t>
            </w:r>
          </w:p>
        </w:tc>
        <w:tc>
          <w:tcPr>
            <w:tcW w:w="134" w:type="dxa"/>
            <w:tcBorders/>
            <w:shd w:fill="CCEEFF" w:val="clear"/>
            <w:vAlign w:val="bottom"/>
          </w:tcPr>
          <w:p>
            <w:pPr>
              <w:pStyle w:val="TableContents"/>
              <w:bidi w:val="0"/>
              <w:spacing w:before="0" w:after="283"/>
              <w:jc w:val="left"/>
              <w:rPr/>
            </w:pPr>
            <w:r>
              <w:rPr/>
              <w:t> </w:t>
            </w:r>
          </w:p>
        </w:tc>
        <w:tc>
          <w:tcPr>
            <w:tcW w:w="90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140,648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3"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145,191</w:t>
            </w:r>
          </w:p>
        </w:tc>
        <w:tc>
          <w:tcPr>
            <w:tcW w:w="98" w:type="dxa"/>
            <w:tcBorders/>
            <w:shd w:fill="CCEEFF" w:val="clear"/>
            <w:vAlign w:val="bottom"/>
          </w:tcPr>
          <w:p>
            <w:pPr>
              <w:pStyle w:val="TableContents"/>
              <w:bidi w:val="0"/>
              <w:spacing w:before="0" w:after="283"/>
              <w:jc w:val="left"/>
              <w:rPr/>
            </w:pPr>
            <w:r>
              <w:rPr/>
              <w:t> </w:t>
            </w:r>
          </w:p>
        </w:tc>
      </w:tr>
      <w:tr>
        <w:trPr/>
        <w:tc>
          <w:tcPr>
            <w:tcW w:w="7673" w:type="dxa"/>
            <w:tcBorders/>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Dividends payable</w:t>
            </w:r>
          </w:p>
        </w:tc>
        <w:tc>
          <w:tcPr>
            <w:tcW w:w="60" w:type="dxa"/>
            <w:tcBorders/>
            <w:vAlign w:val="bottom"/>
          </w:tcPr>
          <w:p>
            <w:pPr>
              <w:pStyle w:val="TableContents"/>
              <w:bidi w:val="0"/>
              <w:spacing w:before="0" w:after="283"/>
              <w:jc w:val="right"/>
              <w:rPr/>
            </w:pPr>
            <w:r>
              <w:rPr/>
              <w:t> </w:t>
            </w:r>
          </w:p>
        </w:tc>
        <w:tc>
          <w:tcPr>
            <w:tcW w:w="134" w:type="dxa"/>
            <w:tcBorders/>
            <w:vAlign w:val="bottom"/>
          </w:tcPr>
          <w:p>
            <w:pPr>
              <w:pStyle w:val="TableContents"/>
              <w:bidi w:val="0"/>
              <w:spacing w:before="0" w:after="283"/>
              <w:jc w:val="left"/>
              <w:rPr/>
            </w:pPr>
            <w:r>
              <w:rPr/>
              <w:t> </w:t>
            </w:r>
          </w:p>
        </w:tc>
        <w:tc>
          <w:tcPr>
            <w:tcW w:w="908"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5,910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3"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5,919</w:t>
            </w:r>
          </w:p>
        </w:tc>
        <w:tc>
          <w:tcPr>
            <w:tcW w:w="98" w:type="dxa"/>
            <w:tcBorders/>
            <w:vAlign w:val="bottom"/>
          </w:tcPr>
          <w:p>
            <w:pPr>
              <w:pStyle w:val="TableContents"/>
              <w:bidi w:val="0"/>
              <w:spacing w:before="0" w:after="283"/>
              <w:jc w:val="left"/>
              <w:rPr/>
            </w:pPr>
            <w:r>
              <w:rPr/>
              <w:t> </w:t>
            </w:r>
          </w:p>
        </w:tc>
      </w:tr>
      <w:tr>
        <w:trPr/>
        <w:tc>
          <w:tcPr>
            <w:tcW w:w="7673" w:type="dxa"/>
            <w:tcBorders/>
            <w:shd w:fill="CCEEFF" w:val="clear"/>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Accrued expenses and other liabilities</w:t>
            </w:r>
          </w:p>
        </w:tc>
        <w:tc>
          <w:tcPr>
            <w:tcW w:w="60" w:type="dxa"/>
            <w:tcBorders/>
            <w:shd w:fill="CCEEFF" w:val="clear"/>
            <w:vAlign w:val="bottom"/>
          </w:tcPr>
          <w:p>
            <w:pPr>
              <w:pStyle w:val="TableContents"/>
              <w:bidi w:val="0"/>
              <w:spacing w:before="0" w:after="283"/>
              <w:jc w:val="right"/>
              <w:rPr/>
            </w:pPr>
            <w:r>
              <w:rPr/>
              <w:t> </w:t>
            </w:r>
          </w:p>
        </w:tc>
        <w:tc>
          <w:tcPr>
            <w:tcW w:w="13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0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9,585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39"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11,439</w:t>
            </w:r>
          </w:p>
        </w:tc>
        <w:tc>
          <w:tcPr>
            <w:tcW w:w="98" w:type="dxa"/>
            <w:tcBorders/>
            <w:shd w:fill="CCEEFF" w:val="clear"/>
            <w:vAlign w:val="bottom"/>
          </w:tcPr>
          <w:p>
            <w:pPr>
              <w:pStyle w:val="TableContents"/>
              <w:bidi w:val="0"/>
              <w:spacing w:before="0" w:after="283"/>
              <w:jc w:val="left"/>
              <w:rPr/>
            </w:pPr>
            <w:r>
              <w:rPr/>
              <w:t> </w:t>
            </w:r>
          </w:p>
        </w:tc>
      </w:tr>
      <w:tr>
        <w:trPr/>
        <w:tc>
          <w:tcPr>
            <w:tcW w:w="7673" w:type="dxa"/>
            <w:tcBorders/>
            <w:vAlign w:val="bottom"/>
          </w:tcPr>
          <w:p>
            <w:pPr>
              <w:pStyle w:val="TableContents"/>
              <w:bidi w:val="0"/>
              <w:spacing w:before="0" w:after="0"/>
              <w:ind w:left="288" w:right="0" w:hanging="144"/>
              <w:jc w:val="left"/>
              <w:rPr>
                <w:rFonts w:ascii="Times New Roman" w:hAnsi="Times New Roman"/>
                <w:b/>
                <w:sz w:val="20"/>
              </w:rPr>
            </w:pPr>
            <w:r>
              <w:rPr>
                <w:rFonts w:ascii="Times New Roman" w:hAnsi="Times New Roman"/>
                <w:b/>
                <w:sz w:val="20"/>
              </w:rPr>
              <w:t>Total Liabilities</w:t>
            </w:r>
          </w:p>
        </w:tc>
        <w:tc>
          <w:tcPr>
            <w:tcW w:w="60" w:type="dxa"/>
            <w:tcBorders/>
            <w:vAlign w:val="bottom"/>
          </w:tcPr>
          <w:p>
            <w:pPr>
              <w:pStyle w:val="TableContents"/>
              <w:bidi w:val="0"/>
              <w:spacing w:before="0" w:after="283"/>
              <w:jc w:val="right"/>
              <w:rPr/>
            </w:pPr>
            <w:r>
              <w:rPr/>
              <w:t> </w:t>
            </w:r>
          </w:p>
        </w:tc>
        <w:tc>
          <w:tcPr>
            <w:tcW w:w="134"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908"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1,168,620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3"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1039"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1,302,024</w:t>
            </w:r>
          </w:p>
        </w:tc>
        <w:tc>
          <w:tcPr>
            <w:tcW w:w="98" w:type="dxa"/>
            <w:tcBorders/>
            <w:vAlign w:val="bottom"/>
          </w:tcPr>
          <w:p>
            <w:pPr>
              <w:pStyle w:val="TableContents"/>
              <w:bidi w:val="0"/>
              <w:spacing w:before="0" w:after="283"/>
              <w:jc w:val="left"/>
              <w:rPr/>
            </w:pPr>
            <w:r>
              <w:rPr/>
              <w:t> </w:t>
            </w:r>
          </w:p>
        </w:tc>
      </w:tr>
      <w:tr>
        <w:trPr/>
        <w:tc>
          <w:tcPr>
            <w:tcW w:w="7673" w:type="dxa"/>
            <w:tcBorders/>
            <w:shd w:fill="CCEEFF" w:val="clear"/>
            <w:vAlign w:val="bottom"/>
          </w:tcPr>
          <w:p>
            <w:pPr>
              <w:pStyle w:val="TableContents"/>
              <w:bidi w:val="0"/>
              <w:spacing w:before="0" w:after="0"/>
              <w:ind w:left="144" w:right="0" w:hanging="144"/>
              <w:jc w:val="left"/>
              <w:rPr>
                <w:rFonts w:ascii="Times New Roman" w:hAnsi="Times New Roman"/>
                <w:b/>
                <w:sz w:val="20"/>
              </w:rPr>
            </w:pPr>
            <w:r>
              <w:rPr>
                <w:rFonts w:ascii="Times New Roman" w:hAnsi="Times New Roman"/>
                <w:b/>
                <w:sz w:val="20"/>
              </w:rPr>
              <w:t>Stockholders’ Equity</w:t>
            </w:r>
          </w:p>
        </w:tc>
        <w:tc>
          <w:tcPr>
            <w:tcW w:w="60" w:type="dxa"/>
            <w:tcBorders/>
            <w:shd w:fill="CCEEFF" w:val="clear"/>
            <w:vAlign w:val="bottom"/>
          </w:tcPr>
          <w:p>
            <w:pPr>
              <w:pStyle w:val="TableContents"/>
              <w:bidi w:val="0"/>
              <w:spacing w:before="0" w:after="283"/>
              <w:jc w:val="right"/>
              <w:rPr/>
            </w:pPr>
            <w:r>
              <w:rPr/>
              <w:t> </w:t>
            </w:r>
          </w:p>
        </w:tc>
        <w:tc>
          <w:tcPr>
            <w:tcW w:w="134" w:type="dxa"/>
            <w:tcBorders/>
            <w:shd w:fill="CCEEFF" w:val="clear"/>
            <w:vAlign w:val="bottom"/>
          </w:tcPr>
          <w:p>
            <w:pPr>
              <w:pStyle w:val="TableContents"/>
              <w:bidi w:val="0"/>
              <w:spacing w:before="0" w:after="283"/>
              <w:jc w:val="left"/>
              <w:rPr/>
            </w:pPr>
            <w:r>
              <w:rPr/>
              <w:t> </w:t>
            </w:r>
          </w:p>
        </w:tc>
        <w:tc>
          <w:tcPr>
            <w:tcW w:w="908"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3"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283"/>
              <w:jc w:val="right"/>
              <w:rPr/>
            </w:pPr>
            <w:r>
              <w:rPr/>
              <w:t> </w:t>
            </w:r>
          </w:p>
        </w:tc>
        <w:tc>
          <w:tcPr>
            <w:tcW w:w="98" w:type="dxa"/>
            <w:tcBorders/>
            <w:shd w:fill="CCEEFF" w:val="clear"/>
            <w:vAlign w:val="bottom"/>
          </w:tcPr>
          <w:p>
            <w:pPr>
              <w:pStyle w:val="TableContents"/>
              <w:bidi w:val="0"/>
              <w:spacing w:before="0" w:after="283"/>
              <w:jc w:val="left"/>
              <w:rPr/>
            </w:pPr>
            <w:r>
              <w:rPr/>
              <w:t> </w:t>
            </w:r>
          </w:p>
        </w:tc>
      </w:tr>
      <w:tr>
        <w:trPr/>
        <w:tc>
          <w:tcPr>
            <w:tcW w:w="7673" w:type="dxa"/>
            <w:tcBorders/>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Preferred stock, par value $0.01 per share, 100,000,000 shares authorized:</w:t>
            </w:r>
          </w:p>
        </w:tc>
        <w:tc>
          <w:tcPr>
            <w:tcW w:w="60" w:type="dxa"/>
            <w:tcBorders/>
            <w:vAlign w:val="bottom"/>
          </w:tcPr>
          <w:p>
            <w:pPr>
              <w:pStyle w:val="TableContents"/>
              <w:bidi w:val="0"/>
              <w:spacing w:before="0" w:after="283"/>
              <w:jc w:val="right"/>
              <w:rPr/>
            </w:pPr>
            <w:r>
              <w:rPr/>
              <w:t> </w:t>
            </w:r>
          </w:p>
        </w:tc>
        <w:tc>
          <w:tcPr>
            <w:tcW w:w="134" w:type="dxa"/>
            <w:tcBorders/>
            <w:vAlign w:val="bottom"/>
          </w:tcPr>
          <w:p>
            <w:pPr>
              <w:pStyle w:val="TableContents"/>
              <w:bidi w:val="0"/>
              <w:spacing w:before="0" w:after="283"/>
              <w:jc w:val="left"/>
              <w:rPr/>
            </w:pPr>
            <w:r>
              <w:rPr/>
              <w:t> </w:t>
            </w:r>
          </w:p>
        </w:tc>
        <w:tc>
          <w:tcPr>
            <w:tcW w:w="908"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3"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283"/>
              <w:jc w:val="right"/>
              <w:rPr/>
            </w:pPr>
            <w:r>
              <w:rPr/>
              <w:t> </w:t>
            </w:r>
          </w:p>
        </w:tc>
        <w:tc>
          <w:tcPr>
            <w:tcW w:w="98" w:type="dxa"/>
            <w:tcBorders/>
            <w:vAlign w:val="bottom"/>
          </w:tcPr>
          <w:p>
            <w:pPr>
              <w:pStyle w:val="TableContents"/>
              <w:bidi w:val="0"/>
              <w:spacing w:before="0" w:after="283"/>
              <w:jc w:val="left"/>
              <w:rPr/>
            </w:pPr>
            <w:r>
              <w:rPr/>
              <w:t> </w:t>
            </w:r>
          </w:p>
        </w:tc>
      </w:tr>
      <w:tr>
        <w:trPr/>
        <w:tc>
          <w:tcPr>
            <w:tcW w:w="7673" w:type="dxa"/>
            <w:tcBorders/>
            <w:shd w:fill="CCEEFF" w:val="clear"/>
            <w:vAlign w:val="bottom"/>
          </w:tcPr>
          <w:p>
            <w:pPr>
              <w:pStyle w:val="TableContents"/>
              <w:bidi w:val="0"/>
              <w:spacing w:before="0" w:after="0"/>
              <w:ind w:left="540" w:right="0" w:hanging="0"/>
              <w:jc w:val="left"/>
              <w:rPr>
                <w:rFonts w:ascii="Times New Roman" w:hAnsi="Times New Roman"/>
                <w:color w:val="000000"/>
                <w:sz w:val="20"/>
              </w:rPr>
            </w:pPr>
            <w:r>
              <w:rPr>
                <w:rFonts w:ascii="Times New Roman" w:hAnsi="Times New Roman"/>
                <w:color w:val="000000"/>
                <w:sz w:val="20"/>
              </w:rPr>
              <w:t>8.20% Series A Cumulative Redeemable Preferred stock, 2,781,635 shares issued and outstanding as of June 30, 2026 and December 31, 2025, $69,541 liquidation preference as of June 30, 2026 and December 31, 2025</w:t>
            </w:r>
          </w:p>
        </w:tc>
        <w:tc>
          <w:tcPr>
            <w:tcW w:w="60" w:type="dxa"/>
            <w:tcBorders/>
            <w:shd w:fill="CCEEFF" w:val="clear"/>
            <w:vAlign w:val="bottom"/>
          </w:tcPr>
          <w:p>
            <w:pPr>
              <w:pStyle w:val="TableContents"/>
              <w:bidi w:val="0"/>
              <w:spacing w:before="0" w:after="283"/>
              <w:jc w:val="right"/>
              <w:rPr/>
            </w:pPr>
            <w:r>
              <w:rPr/>
              <w:t> </w:t>
            </w:r>
          </w:p>
        </w:tc>
        <w:tc>
          <w:tcPr>
            <w:tcW w:w="13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0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67,311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3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67,311</w:t>
            </w:r>
          </w:p>
        </w:tc>
        <w:tc>
          <w:tcPr>
            <w:tcW w:w="98" w:type="dxa"/>
            <w:tcBorders/>
            <w:shd w:fill="CCEEFF" w:val="clear"/>
            <w:vAlign w:val="bottom"/>
          </w:tcPr>
          <w:p>
            <w:pPr>
              <w:pStyle w:val="TableContents"/>
              <w:bidi w:val="0"/>
              <w:spacing w:before="0" w:after="283"/>
              <w:jc w:val="left"/>
              <w:rPr/>
            </w:pPr>
            <w:r>
              <w:rPr/>
              <w:t> </w:t>
            </w:r>
          </w:p>
        </w:tc>
      </w:tr>
      <w:tr>
        <w:trPr/>
        <w:tc>
          <w:tcPr>
            <w:tcW w:w="7673" w:type="dxa"/>
            <w:tcBorders/>
            <w:vAlign w:val="bottom"/>
          </w:tcPr>
          <w:p>
            <w:pPr>
              <w:pStyle w:val="TableContents"/>
              <w:bidi w:val="0"/>
              <w:spacing w:before="0" w:after="0"/>
              <w:ind w:left="540" w:right="0" w:hanging="0"/>
              <w:jc w:val="left"/>
              <w:rPr>
                <w:rFonts w:ascii="Times New Roman" w:hAnsi="Times New Roman"/>
                <w:color w:val="000000"/>
                <w:sz w:val="20"/>
              </w:rPr>
            </w:pPr>
            <w:r>
              <w:rPr>
                <w:rFonts w:ascii="Times New Roman" w:hAnsi="Times New Roman"/>
                <w:color w:val="000000"/>
                <w:sz w:val="20"/>
              </w:rPr>
              <w:t>8.25% Series B Fixed-to-Floating Rate Cumulative Redeemable Preferred stock, 1,604,103 shares issued and outstanding as of June 30, 2026 and December 31, 2025, $40,103 liquidation preference as of June 30, 2026 and December 31, 2025</w:t>
            </w:r>
          </w:p>
        </w:tc>
        <w:tc>
          <w:tcPr>
            <w:tcW w:w="60" w:type="dxa"/>
            <w:tcBorders/>
            <w:vAlign w:val="bottom"/>
          </w:tcPr>
          <w:p>
            <w:pPr>
              <w:pStyle w:val="TableContents"/>
              <w:bidi w:val="0"/>
              <w:spacing w:before="0" w:after="283"/>
              <w:jc w:val="right"/>
              <w:rPr/>
            </w:pPr>
            <w:r>
              <w:rPr/>
              <w:t> </w:t>
            </w:r>
          </w:p>
        </w:tc>
        <w:tc>
          <w:tcPr>
            <w:tcW w:w="134" w:type="dxa"/>
            <w:tcBorders/>
            <w:vAlign w:val="bottom"/>
          </w:tcPr>
          <w:p>
            <w:pPr>
              <w:pStyle w:val="TableContents"/>
              <w:bidi w:val="0"/>
              <w:spacing w:before="0" w:after="283"/>
              <w:jc w:val="left"/>
              <w:rPr/>
            </w:pPr>
            <w:r>
              <w:rPr/>
              <w:t> </w:t>
            </w:r>
          </w:p>
        </w:tc>
        <w:tc>
          <w:tcPr>
            <w:tcW w:w="908"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38,553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3"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38,553</w:t>
            </w:r>
          </w:p>
        </w:tc>
        <w:tc>
          <w:tcPr>
            <w:tcW w:w="98" w:type="dxa"/>
            <w:tcBorders/>
            <w:vAlign w:val="bottom"/>
          </w:tcPr>
          <w:p>
            <w:pPr>
              <w:pStyle w:val="TableContents"/>
              <w:bidi w:val="0"/>
              <w:spacing w:before="0" w:after="283"/>
              <w:jc w:val="left"/>
              <w:rPr/>
            </w:pPr>
            <w:r>
              <w:rPr/>
              <w:t> </w:t>
            </w:r>
          </w:p>
        </w:tc>
      </w:tr>
      <w:tr>
        <w:trPr/>
        <w:tc>
          <w:tcPr>
            <w:tcW w:w="7673" w:type="dxa"/>
            <w:tcBorders/>
            <w:shd w:fill="CCEEFF" w:val="clear"/>
            <w:vAlign w:val="bottom"/>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Common stock, $0.01 par value per share, 500,000,000 shares authorized and 36,947,394 shares issued and outstanding as of June 30, 2026 and 500,000,000 shares authorized and 36,739,538 shares issued and outstanding as of December 31, 2025</w:t>
            </w:r>
          </w:p>
        </w:tc>
        <w:tc>
          <w:tcPr>
            <w:tcW w:w="60" w:type="dxa"/>
            <w:tcBorders/>
            <w:shd w:fill="CCEEFF" w:val="clear"/>
            <w:vAlign w:val="bottom"/>
          </w:tcPr>
          <w:p>
            <w:pPr>
              <w:pStyle w:val="TableContents"/>
              <w:bidi w:val="0"/>
              <w:spacing w:before="0" w:after="283"/>
              <w:jc w:val="right"/>
              <w:rPr/>
            </w:pPr>
            <w:r>
              <w:rPr/>
              <w:t> </w:t>
            </w:r>
          </w:p>
        </w:tc>
        <w:tc>
          <w:tcPr>
            <w:tcW w:w="134" w:type="dxa"/>
            <w:tcBorders/>
            <w:shd w:fill="CCEEFF" w:val="clear"/>
            <w:vAlign w:val="bottom"/>
          </w:tcPr>
          <w:p>
            <w:pPr>
              <w:pStyle w:val="TableContents"/>
              <w:bidi w:val="0"/>
              <w:spacing w:before="0" w:after="283"/>
              <w:jc w:val="left"/>
              <w:rPr/>
            </w:pPr>
            <w:r>
              <w:rPr/>
              <w:t> </w:t>
            </w:r>
          </w:p>
        </w:tc>
        <w:tc>
          <w:tcPr>
            <w:tcW w:w="90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378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3"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373</w:t>
            </w:r>
          </w:p>
        </w:tc>
        <w:tc>
          <w:tcPr>
            <w:tcW w:w="98" w:type="dxa"/>
            <w:tcBorders/>
            <w:shd w:fill="CCEEFF" w:val="clear"/>
            <w:vAlign w:val="bottom"/>
          </w:tcPr>
          <w:p>
            <w:pPr>
              <w:pStyle w:val="TableContents"/>
              <w:bidi w:val="0"/>
              <w:spacing w:before="0" w:after="283"/>
              <w:jc w:val="left"/>
              <w:rPr/>
            </w:pPr>
            <w:r>
              <w:rPr/>
              <w:t> </w:t>
            </w:r>
          </w:p>
        </w:tc>
      </w:tr>
      <w:tr>
        <w:trPr/>
        <w:tc>
          <w:tcPr>
            <w:tcW w:w="7673" w:type="dxa"/>
            <w:tcBorders/>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Additional paid-in capital</w:t>
            </w:r>
          </w:p>
        </w:tc>
        <w:tc>
          <w:tcPr>
            <w:tcW w:w="60" w:type="dxa"/>
            <w:tcBorders/>
            <w:vAlign w:val="bottom"/>
          </w:tcPr>
          <w:p>
            <w:pPr>
              <w:pStyle w:val="TableContents"/>
              <w:bidi w:val="0"/>
              <w:spacing w:before="0" w:after="283"/>
              <w:jc w:val="right"/>
              <w:rPr/>
            </w:pPr>
            <w:r>
              <w:rPr/>
              <w:t> </w:t>
            </w:r>
          </w:p>
        </w:tc>
        <w:tc>
          <w:tcPr>
            <w:tcW w:w="134" w:type="dxa"/>
            <w:tcBorders/>
            <w:vAlign w:val="bottom"/>
          </w:tcPr>
          <w:p>
            <w:pPr>
              <w:pStyle w:val="TableContents"/>
              <w:bidi w:val="0"/>
              <w:spacing w:before="0" w:after="283"/>
              <w:jc w:val="left"/>
              <w:rPr/>
            </w:pPr>
            <w:r>
              <w:rPr/>
              <w:t> </w:t>
            </w:r>
          </w:p>
        </w:tc>
        <w:tc>
          <w:tcPr>
            <w:tcW w:w="908"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396,889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3"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396,516</w:t>
            </w:r>
          </w:p>
        </w:tc>
        <w:tc>
          <w:tcPr>
            <w:tcW w:w="98" w:type="dxa"/>
            <w:tcBorders/>
            <w:vAlign w:val="bottom"/>
          </w:tcPr>
          <w:p>
            <w:pPr>
              <w:pStyle w:val="TableContents"/>
              <w:bidi w:val="0"/>
              <w:spacing w:before="0" w:after="283"/>
              <w:jc w:val="left"/>
              <w:rPr/>
            </w:pPr>
            <w:r>
              <w:rPr/>
              <w:t> </w:t>
            </w:r>
          </w:p>
        </w:tc>
      </w:tr>
      <w:tr>
        <w:trPr/>
        <w:tc>
          <w:tcPr>
            <w:tcW w:w="7673" w:type="dxa"/>
            <w:tcBorders/>
            <w:shd w:fill="CCEEFF" w:val="clear"/>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Accumulated deficit</w:t>
            </w:r>
          </w:p>
        </w:tc>
        <w:tc>
          <w:tcPr>
            <w:tcW w:w="60" w:type="dxa"/>
            <w:tcBorders/>
            <w:shd w:fill="CCEEFF" w:val="clear"/>
            <w:vAlign w:val="bottom"/>
          </w:tcPr>
          <w:p>
            <w:pPr>
              <w:pStyle w:val="TableContents"/>
              <w:bidi w:val="0"/>
              <w:spacing w:before="0" w:after="283"/>
              <w:jc w:val="right"/>
              <w:rPr/>
            </w:pPr>
            <w:r>
              <w:rPr/>
              <w:t> </w:t>
            </w:r>
          </w:p>
        </w:tc>
        <w:tc>
          <w:tcPr>
            <w:tcW w:w="134" w:type="dxa"/>
            <w:tcBorders/>
            <w:shd w:fill="CCEEFF" w:val="clear"/>
            <w:vAlign w:val="bottom"/>
          </w:tcPr>
          <w:p>
            <w:pPr>
              <w:pStyle w:val="TableContents"/>
              <w:bidi w:val="0"/>
              <w:spacing w:before="0" w:after="283"/>
              <w:jc w:val="left"/>
              <w:rPr/>
            </w:pPr>
            <w:r>
              <w:rPr/>
              <w:t> </w:t>
            </w:r>
          </w:p>
        </w:tc>
        <w:tc>
          <w:tcPr>
            <w:tcW w:w="90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(278,445</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53"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(270,381</w:t>
            </w:r>
          </w:p>
        </w:tc>
        <w:tc>
          <w:tcPr>
            <w:tcW w:w="9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7673" w:type="dxa"/>
            <w:tcBorders/>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Accumulated other comprehensive income</w:t>
            </w:r>
          </w:p>
        </w:tc>
        <w:tc>
          <w:tcPr>
            <w:tcW w:w="60" w:type="dxa"/>
            <w:tcBorders/>
            <w:vAlign w:val="bottom"/>
          </w:tcPr>
          <w:p>
            <w:pPr>
              <w:pStyle w:val="TableContents"/>
              <w:bidi w:val="0"/>
              <w:spacing w:before="0" w:after="283"/>
              <w:jc w:val="right"/>
              <w:rPr/>
            </w:pPr>
            <w:r>
              <w:rPr/>
              <w:t> </w:t>
            </w:r>
          </w:p>
        </w:tc>
        <w:tc>
          <w:tcPr>
            <w:tcW w:w="134" w:type="dxa"/>
            <w:tcBorders>
              <w:bottom w:val="single" w:sz="12" w:space="0" w:color="000000"/>
            </w:tcBorders>
            <w:tcMar>
              <w:bottom w:w="28" w:type="dxa"/>
            </w:tcMar>
            <w:vAlign w:val="bottom"/>
          </w:tcPr>
          <w:p>
            <w:pPr>
              <w:pStyle w:val="TableContents"/>
              <w:bidi w:val="0"/>
              <w:spacing w:before="0" w:after="283"/>
              <w:jc w:val="left"/>
              <w:rPr/>
            </w:pPr>
            <w:r>
              <w:rPr/>
              <w:t> </w:t>
            </w:r>
          </w:p>
        </w:tc>
        <w:tc>
          <w:tcPr>
            <w:tcW w:w="90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1,757</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3" w:type="dxa"/>
            <w:tcBorders>
              <w:bottom w:val="single" w:sz="12" w:space="0" w:color="000000"/>
            </w:tcBorders>
            <w:tcMar>
              <w:bottom w:w="28" w:type="dxa"/>
            </w:tcMar>
            <w:vAlign w:val="bottom"/>
          </w:tcPr>
          <w:p>
            <w:pPr>
              <w:pStyle w:val="TableContents"/>
              <w:bidi w:val="0"/>
              <w:spacing w:before="0" w:after="283"/>
              <w:jc w:val="left"/>
              <w:rPr/>
            </w:pPr>
            <w:r>
              <w:rPr/>
              <w:t> </w:t>
            </w:r>
          </w:p>
        </w:tc>
        <w:tc>
          <w:tcPr>
            <w:tcW w:w="1039"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3,669</w:t>
            </w:r>
          </w:p>
        </w:tc>
        <w:tc>
          <w:tcPr>
            <w:tcW w:w="98" w:type="dxa"/>
            <w:tcBorders/>
            <w:vAlign w:val="bottom"/>
          </w:tcPr>
          <w:p>
            <w:pPr>
              <w:pStyle w:val="TableContents"/>
              <w:bidi w:val="0"/>
              <w:spacing w:before="0" w:after="283"/>
              <w:jc w:val="left"/>
              <w:rPr>
                <w:sz w:val="4"/>
                <w:szCs w:val="4"/>
              </w:rPr>
            </w:pPr>
            <w:r>
              <w:rPr>
                <w:sz w:val="4"/>
                <w:szCs w:val="4"/>
              </w:rPr>
            </w:r>
          </w:p>
        </w:tc>
      </w:tr>
      <w:tr>
        <w:trPr/>
        <w:tc>
          <w:tcPr>
            <w:tcW w:w="7673" w:type="dxa"/>
            <w:tcBorders/>
            <w:shd w:fill="CCEEFF" w:val="clear"/>
            <w:vAlign w:val="bottom"/>
          </w:tcPr>
          <w:p>
            <w:pPr>
              <w:pStyle w:val="TableContents"/>
              <w:bidi w:val="0"/>
              <w:spacing w:before="0" w:after="0"/>
              <w:ind w:left="288" w:right="0" w:hanging="144"/>
              <w:jc w:val="left"/>
              <w:rPr>
                <w:rFonts w:ascii="Times New Roman" w:hAnsi="Times New Roman"/>
                <w:b/>
                <w:sz w:val="20"/>
              </w:rPr>
            </w:pPr>
            <w:r>
              <w:rPr>
                <w:rFonts w:ascii="Times New Roman" w:hAnsi="Times New Roman"/>
                <w:b/>
                <w:sz w:val="20"/>
              </w:rPr>
              <w:t>Total Cherry Hill Mortgage Investment Corporation Stockholders’ Equity</w:t>
            </w:r>
          </w:p>
        </w:tc>
        <w:tc>
          <w:tcPr>
            <w:tcW w:w="60" w:type="dxa"/>
            <w:tcBorders/>
            <w:shd w:fill="CCEEFF" w:val="clear"/>
            <w:vAlign w:val="bottom"/>
          </w:tcPr>
          <w:p>
            <w:pPr>
              <w:pStyle w:val="TableContents"/>
              <w:bidi w:val="0"/>
              <w:spacing w:before="0" w:after="283"/>
              <w:jc w:val="right"/>
              <w:rPr/>
            </w:pPr>
            <w:r>
              <w:rPr/>
              <w:t> </w:t>
            </w:r>
          </w:p>
        </w:tc>
        <w:tc>
          <w:tcPr>
            <w:tcW w:w="134"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908"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226,443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3"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1039"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236,041</w:t>
            </w:r>
          </w:p>
        </w:tc>
        <w:tc>
          <w:tcPr>
            <w:tcW w:w="98" w:type="dxa"/>
            <w:tcBorders/>
            <w:shd w:fill="CCEEFF" w:val="clear"/>
            <w:vAlign w:val="bottom"/>
          </w:tcPr>
          <w:p>
            <w:pPr>
              <w:pStyle w:val="TableContents"/>
              <w:bidi w:val="0"/>
              <w:spacing w:before="0" w:after="283"/>
              <w:jc w:val="left"/>
              <w:rPr/>
            </w:pPr>
            <w:r>
              <w:rPr/>
              <w:t> </w:t>
            </w:r>
          </w:p>
        </w:tc>
      </w:tr>
      <w:tr>
        <w:trPr/>
        <w:tc>
          <w:tcPr>
            <w:tcW w:w="7673" w:type="dxa"/>
            <w:tcBorders/>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Non-controlling interests in Operating Partnership</w:t>
            </w:r>
          </w:p>
        </w:tc>
        <w:tc>
          <w:tcPr>
            <w:tcW w:w="60" w:type="dxa"/>
            <w:tcBorders/>
            <w:vAlign w:val="bottom"/>
          </w:tcPr>
          <w:p>
            <w:pPr>
              <w:pStyle w:val="TableContents"/>
              <w:bidi w:val="0"/>
              <w:spacing w:before="0" w:after="283"/>
              <w:jc w:val="right"/>
              <w:rPr/>
            </w:pPr>
            <w:r>
              <w:rPr/>
              <w:t> </w:t>
            </w:r>
          </w:p>
        </w:tc>
        <w:tc>
          <w:tcPr>
            <w:tcW w:w="134" w:type="dxa"/>
            <w:tcBorders>
              <w:bottom w:val="single" w:sz="12" w:space="0" w:color="000000"/>
            </w:tcBorders>
            <w:tcMar>
              <w:bottom w:w="28" w:type="dxa"/>
            </w:tcMar>
            <w:vAlign w:val="bottom"/>
          </w:tcPr>
          <w:p>
            <w:pPr>
              <w:pStyle w:val="TableContents"/>
              <w:bidi w:val="0"/>
              <w:spacing w:before="0" w:after="283"/>
              <w:jc w:val="left"/>
              <w:rPr/>
            </w:pPr>
            <w:r>
              <w:rPr/>
              <w:t> </w:t>
            </w:r>
          </w:p>
        </w:tc>
        <w:tc>
          <w:tcPr>
            <w:tcW w:w="90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2,481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3" w:type="dxa"/>
            <w:tcBorders>
              <w:bottom w:val="single" w:sz="12" w:space="0" w:color="000000"/>
            </w:tcBorders>
            <w:tcMar>
              <w:bottom w:w="28" w:type="dxa"/>
            </w:tcMar>
            <w:vAlign w:val="bottom"/>
          </w:tcPr>
          <w:p>
            <w:pPr>
              <w:pStyle w:val="TableContents"/>
              <w:bidi w:val="0"/>
              <w:spacing w:before="0" w:after="283"/>
              <w:jc w:val="left"/>
              <w:rPr/>
            </w:pPr>
            <w:r>
              <w:rPr/>
              <w:t> </w:t>
            </w:r>
          </w:p>
        </w:tc>
        <w:tc>
          <w:tcPr>
            <w:tcW w:w="1039"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2,491</w:t>
            </w:r>
          </w:p>
        </w:tc>
        <w:tc>
          <w:tcPr>
            <w:tcW w:w="98" w:type="dxa"/>
            <w:tcBorders/>
            <w:vAlign w:val="bottom"/>
          </w:tcPr>
          <w:p>
            <w:pPr>
              <w:pStyle w:val="TableContents"/>
              <w:bidi w:val="0"/>
              <w:spacing w:before="0" w:after="283"/>
              <w:jc w:val="left"/>
              <w:rPr/>
            </w:pPr>
            <w:r>
              <w:rPr/>
              <w:t> </w:t>
            </w:r>
          </w:p>
        </w:tc>
      </w:tr>
      <w:tr>
        <w:trPr/>
        <w:tc>
          <w:tcPr>
            <w:tcW w:w="7673" w:type="dxa"/>
            <w:tcBorders/>
            <w:shd w:fill="CCEEFF" w:val="clear"/>
            <w:vAlign w:val="bottom"/>
          </w:tcPr>
          <w:p>
            <w:pPr>
              <w:pStyle w:val="TableContents"/>
              <w:bidi w:val="0"/>
              <w:spacing w:before="0" w:after="0"/>
              <w:ind w:left="144" w:right="0" w:hanging="144"/>
              <w:jc w:val="left"/>
              <w:rPr>
                <w:rFonts w:ascii="Times New Roman" w:hAnsi="Times New Roman"/>
                <w:b/>
                <w:sz w:val="20"/>
              </w:rPr>
            </w:pPr>
            <w:r>
              <w:rPr>
                <w:rFonts w:ascii="Times New Roman" w:hAnsi="Times New Roman"/>
                <w:b/>
                <w:sz w:val="20"/>
              </w:rPr>
              <w:t>Total Stockholders’ Equity</w:t>
            </w:r>
          </w:p>
        </w:tc>
        <w:tc>
          <w:tcPr>
            <w:tcW w:w="60" w:type="dxa"/>
            <w:tcBorders/>
            <w:shd w:fill="CCEEFF" w:val="clear"/>
            <w:vAlign w:val="bottom"/>
          </w:tcPr>
          <w:p>
            <w:pPr>
              <w:pStyle w:val="TableContents"/>
              <w:bidi w:val="0"/>
              <w:spacing w:before="0" w:after="283"/>
              <w:jc w:val="right"/>
              <w:rPr/>
            </w:pPr>
            <w:r>
              <w:rPr/>
              <w:t> </w:t>
            </w:r>
          </w:p>
        </w:tc>
        <w:tc>
          <w:tcPr>
            <w:tcW w:w="134"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90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228,924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3"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1039"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238,532</w:t>
            </w:r>
          </w:p>
        </w:tc>
        <w:tc>
          <w:tcPr>
            <w:tcW w:w="98" w:type="dxa"/>
            <w:tcBorders/>
            <w:shd w:fill="CCEEFF" w:val="clear"/>
            <w:vAlign w:val="bottom"/>
          </w:tcPr>
          <w:p>
            <w:pPr>
              <w:pStyle w:val="TableContents"/>
              <w:bidi w:val="0"/>
              <w:spacing w:before="0" w:after="283"/>
              <w:jc w:val="left"/>
              <w:rPr/>
            </w:pPr>
            <w:r>
              <w:rPr/>
              <w:t> </w:t>
            </w:r>
          </w:p>
        </w:tc>
      </w:tr>
      <w:tr>
        <w:trPr/>
        <w:tc>
          <w:tcPr>
            <w:tcW w:w="7673" w:type="dxa"/>
            <w:tcBorders/>
            <w:vAlign w:val="bottom"/>
          </w:tcPr>
          <w:p>
            <w:pPr>
              <w:pStyle w:val="TableContents"/>
              <w:bidi w:val="0"/>
              <w:spacing w:before="0" w:after="0"/>
              <w:ind w:left="144" w:right="0" w:hanging="144"/>
              <w:jc w:val="left"/>
              <w:rPr>
                <w:rFonts w:ascii="Times New Roman" w:hAnsi="Times New Roman"/>
                <w:b/>
                <w:sz w:val="20"/>
              </w:rPr>
            </w:pPr>
            <w:r>
              <w:rPr>
                <w:rFonts w:ascii="Times New Roman" w:hAnsi="Times New Roman"/>
                <w:b/>
                <w:sz w:val="20"/>
              </w:rPr>
              <w:t>Total Liabilities and Stockholders’ Equity</w:t>
            </w:r>
          </w:p>
        </w:tc>
        <w:tc>
          <w:tcPr>
            <w:tcW w:w="60" w:type="dxa"/>
            <w:tcBorders/>
            <w:vAlign w:val="bottom"/>
          </w:tcPr>
          <w:p>
            <w:pPr>
              <w:pStyle w:val="TableContents"/>
              <w:bidi w:val="0"/>
              <w:spacing w:before="0" w:after="283"/>
              <w:jc w:val="right"/>
              <w:rPr/>
            </w:pPr>
            <w:r>
              <w:rPr/>
              <w:t> </w:t>
            </w:r>
          </w:p>
        </w:tc>
        <w:tc>
          <w:tcPr>
            <w:tcW w:w="134"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908"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1,397,544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3"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1039"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1,540,556</w:t>
            </w:r>
          </w:p>
        </w:tc>
        <w:tc>
          <w:tcPr>
            <w:tcW w:w="98"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See accompanying notes to consolidated financial statements.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5</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Cherry Hill Mortgage Investment Corporation and Subsidiaries</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 xml:space="preserve">Consolidated Statements of </w:t>
      </w:r>
      <w:bookmarkStart w:id="8" w:name="Income"/>
      <w:bookmarkEnd w:id="8"/>
      <w:r>
        <w:rPr>
          <w:rFonts w:ascii="Times New Roman" w:hAnsi="Times New Roman"/>
          <w:b/>
          <w:color w:val="000000"/>
          <w:sz w:val="20"/>
          <w:shd w:fill="FFFFFF" w:val="clear"/>
        </w:rPr>
        <w:t>Income (Loss)</w:t>
      </w:r>
      <w:bookmarkStart w:id="9" w:name="Loss"/>
      <w:bookmarkEnd w:id="9"/>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(Unaudited)</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(in thousands — except share and per share data)</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4957"/>
        <w:gridCol w:w="60"/>
        <w:gridCol w:w="149"/>
        <w:gridCol w:w="1013"/>
        <w:gridCol w:w="101"/>
        <w:gridCol w:w="63"/>
        <w:gridCol w:w="132"/>
        <w:gridCol w:w="1013"/>
        <w:gridCol w:w="95"/>
        <w:gridCol w:w="60"/>
        <w:gridCol w:w="125"/>
        <w:gridCol w:w="950"/>
        <w:gridCol w:w="95"/>
        <w:gridCol w:w="60"/>
        <w:gridCol w:w="125"/>
        <w:gridCol w:w="950"/>
        <w:gridCol w:w="257"/>
      </w:tblGrid>
      <w:tr>
        <w:trPr/>
        <w:tc>
          <w:tcPr>
            <w:tcW w:w="4957" w:type="dxa"/>
            <w:tcBorders/>
            <w:vAlign w:val="bottom"/>
          </w:tcPr>
          <w:p>
            <w:pPr>
              <w:pStyle w:val="TableContents"/>
              <w:bidi w:val="0"/>
              <w:spacing w:before="0" w:after="0"/>
              <w:ind w:left="144" w:right="0" w:hanging="144"/>
              <w:jc w:val="left"/>
              <w:rPr/>
            </w:pPr>
            <w:r>
              <w:rPr/>
              <w:t> </w:t>
            </w:r>
          </w:p>
        </w:tc>
        <w:tc>
          <w:tcPr>
            <w:tcW w:w="60" w:type="dxa"/>
            <w:tcBorders/>
            <w:vAlign w:val="bottom"/>
          </w:tcPr>
          <w:p>
            <w:pPr>
              <w:pStyle w:val="TableContents"/>
              <w:bidi w:val="0"/>
              <w:spacing w:before="0" w:after="283"/>
              <w:jc w:val="left"/>
              <w:rPr/>
            </w:pPr>
            <w:r>
              <w:rPr/>
              <w:t> </w:t>
            </w:r>
          </w:p>
        </w:tc>
        <w:tc>
          <w:tcPr>
            <w:tcW w:w="2471"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Three Months Ended June 30,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05"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Six Months Ended June 30,</w:t>
            </w:r>
          </w:p>
        </w:tc>
        <w:tc>
          <w:tcPr>
            <w:tcW w:w="257" w:type="dxa"/>
            <w:tcBorders/>
            <w:vAlign w:val="bottom"/>
          </w:tcPr>
          <w:p>
            <w:pPr>
              <w:pStyle w:val="TableContents"/>
              <w:bidi w:val="0"/>
              <w:spacing w:before="0" w:after="283"/>
              <w:jc w:val="left"/>
              <w:rPr/>
            </w:pPr>
            <w:r>
              <w:rPr/>
              <w:t> </w:t>
            </w:r>
          </w:p>
        </w:tc>
      </w:tr>
      <w:tr>
        <w:trPr/>
        <w:tc>
          <w:tcPr>
            <w:tcW w:w="4957" w:type="dxa"/>
            <w:tcBorders/>
            <w:vAlign w:val="bottom"/>
          </w:tcPr>
          <w:p>
            <w:pPr>
              <w:pStyle w:val="TableContents"/>
              <w:bidi w:val="0"/>
              <w:spacing w:before="0" w:after="0"/>
              <w:ind w:left="144" w:right="0" w:hanging="144"/>
              <w:jc w:val="left"/>
              <w:rPr/>
            </w:pPr>
            <w:r>
              <w:rPr/>
              <w:t> </w:t>
            </w:r>
          </w:p>
        </w:tc>
        <w:tc>
          <w:tcPr>
            <w:tcW w:w="60" w:type="dxa"/>
            <w:tcBorders/>
            <w:vAlign w:val="bottom"/>
          </w:tcPr>
          <w:p>
            <w:pPr>
              <w:pStyle w:val="TableContents"/>
              <w:bidi w:val="0"/>
              <w:spacing w:before="0" w:after="283"/>
              <w:jc w:val="left"/>
              <w:rPr/>
            </w:pPr>
            <w:r>
              <w:rPr/>
              <w:t> </w:t>
            </w:r>
          </w:p>
        </w:tc>
        <w:tc>
          <w:tcPr>
            <w:tcW w:w="1162"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2026</w:t>
            </w:r>
          </w:p>
        </w:tc>
        <w:tc>
          <w:tcPr>
            <w:tcW w:w="101"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14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2025</w:t>
            </w:r>
          </w:p>
        </w:tc>
        <w:tc>
          <w:tcPr>
            <w:tcW w:w="257" w:type="dxa"/>
            <w:tcBorders/>
            <w:vAlign w:val="bottom"/>
          </w:tcPr>
          <w:p>
            <w:pPr>
              <w:pStyle w:val="TableContents"/>
              <w:bidi w:val="0"/>
              <w:spacing w:before="0" w:after="283"/>
              <w:jc w:val="left"/>
              <w:rPr/>
            </w:pPr>
            <w:r>
              <w:rPr/>
              <w:t> </w:t>
            </w:r>
          </w:p>
        </w:tc>
      </w:tr>
      <w:tr>
        <w:trPr/>
        <w:tc>
          <w:tcPr>
            <w:tcW w:w="4957" w:type="dxa"/>
            <w:tcBorders/>
            <w:shd w:fill="CCEEFF" w:val="clear"/>
            <w:vAlign w:val="bottom"/>
          </w:tcPr>
          <w:p>
            <w:pPr>
              <w:pStyle w:val="TableContents"/>
              <w:bidi w:val="0"/>
              <w:spacing w:before="0" w:after="0"/>
              <w:ind w:left="144" w:right="0" w:hanging="144"/>
              <w:jc w:val="left"/>
              <w:rPr>
                <w:rFonts w:ascii="Times New Roman" w:hAnsi="Times New Roman"/>
                <w:b/>
                <w:sz w:val="20"/>
              </w:rPr>
            </w:pPr>
            <w:r>
              <w:rPr>
                <w:rFonts w:ascii="Times New Roman" w:hAnsi="Times New Roman"/>
                <w:b/>
                <w:sz w:val="20"/>
              </w:rPr>
              <w:t>Income</w:t>
            </w:r>
          </w:p>
        </w:tc>
        <w:tc>
          <w:tcPr>
            <w:tcW w:w="60" w:type="dxa"/>
            <w:tcBorders/>
            <w:shd w:fill="CCEEFF" w:val="clear"/>
            <w:vAlign w:val="bottom"/>
          </w:tcPr>
          <w:p>
            <w:pPr>
              <w:pStyle w:val="TableContents"/>
              <w:bidi w:val="0"/>
              <w:spacing w:before="0" w:after="283"/>
              <w:jc w:val="left"/>
              <w:rPr/>
            </w:pPr>
            <w:r>
              <w:rPr/>
              <w:t> </w:t>
            </w:r>
          </w:p>
        </w:tc>
        <w:tc>
          <w:tcPr>
            <w:tcW w:w="1162" w:type="dxa"/>
            <w:gridSpan w:val="2"/>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145" w:type="dxa"/>
            <w:gridSpan w:val="2"/>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75" w:type="dxa"/>
            <w:gridSpan w:val="2"/>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75" w:type="dxa"/>
            <w:gridSpan w:val="2"/>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r>
      <w:tr>
        <w:trPr/>
        <w:tc>
          <w:tcPr>
            <w:tcW w:w="4957" w:type="dxa"/>
            <w:tcBorders/>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Interest income</w:t>
            </w:r>
          </w:p>
        </w:tc>
        <w:tc>
          <w:tcPr>
            <w:tcW w:w="60" w:type="dxa"/>
            <w:tcBorders/>
            <w:vAlign w:val="bottom"/>
          </w:tcPr>
          <w:p>
            <w:pPr>
              <w:pStyle w:val="TableContents"/>
              <w:bidi w:val="0"/>
              <w:spacing w:before="0" w:after="283"/>
              <w:jc w:val="right"/>
              <w:rPr/>
            </w:pPr>
            <w:r>
              <w:rPr/>
              <w:t> </w:t>
            </w:r>
          </w:p>
        </w:tc>
        <w:tc>
          <w:tcPr>
            <w:tcW w:w="14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1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14,740</w:t>
            </w:r>
          </w:p>
        </w:tc>
        <w:tc>
          <w:tcPr>
            <w:tcW w:w="101"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right"/>
              <w:rPr/>
            </w:pPr>
            <w:r>
              <w:rPr/>
              <w:t> </w:t>
            </w:r>
          </w:p>
        </w:tc>
        <w:tc>
          <w:tcPr>
            <w:tcW w:w="13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1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14,813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30,590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29,614</w:t>
            </w:r>
          </w:p>
        </w:tc>
        <w:tc>
          <w:tcPr>
            <w:tcW w:w="257" w:type="dxa"/>
            <w:tcBorders/>
            <w:vAlign w:val="bottom"/>
          </w:tcPr>
          <w:p>
            <w:pPr>
              <w:pStyle w:val="TableContents"/>
              <w:bidi w:val="0"/>
              <w:spacing w:before="0" w:after="283"/>
              <w:jc w:val="left"/>
              <w:rPr/>
            </w:pPr>
            <w:r>
              <w:rPr/>
              <w:t> </w:t>
            </w:r>
          </w:p>
        </w:tc>
      </w:tr>
      <w:tr>
        <w:trPr/>
        <w:tc>
          <w:tcPr>
            <w:tcW w:w="4957" w:type="dxa"/>
            <w:tcBorders/>
            <w:shd w:fill="CCEEFF" w:val="clear"/>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Interest expense</w:t>
            </w:r>
          </w:p>
        </w:tc>
        <w:tc>
          <w:tcPr>
            <w:tcW w:w="60" w:type="dxa"/>
            <w:tcBorders/>
            <w:shd w:fill="CCEEFF" w:val="clear"/>
            <w:vAlign w:val="bottom"/>
          </w:tcPr>
          <w:p>
            <w:pPr>
              <w:pStyle w:val="TableContents"/>
              <w:bidi w:val="0"/>
              <w:spacing w:before="0" w:after="283"/>
              <w:jc w:val="right"/>
              <w:rPr/>
            </w:pPr>
            <w:r>
              <w:rPr/>
              <w:t> </w:t>
            </w:r>
          </w:p>
        </w:tc>
        <w:tc>
          <w:tcPr>
            <w:tcW w:w="14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1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10,004</w:t>
            </w:r>
          </w:p>
        </w:tc>
        <w:tc>
          <w:tcPr>
            <w:tcW w:w="101"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right"/>
              <w:rPr/>
            </w:pPr>
            <w:r>
              <w:rPr/>
              <w:t> </w:t>
            </w:r>
          </w:p>
        </w:tc>
        <w:tc>
          <w:tcPr>
            <w:tcW w:w="13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1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12,172</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21,398</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24,807</w:t>
            </w:r>
          </w:p>
        </w:tc>
        <w:tc>
          <w:tcPr>
            <w:tcW w:w="257" w:type="dxa"/>
            <w:tcBorders/>
            <w:shd w:fill="CCEEFF" w:val="clear"/>
            <w:vAlign w:val="bottom"/>
          </w:tcPr>
          <w:p>
            <w:pPr>
              <w:pStyle w:val="TableContents"/>
              <w:bidi w:val="0"/>
              <w:spacing w:before="0" w:after="283"/>
              <w:jc w:val="left"/>
              <w:rPr/>
            </w:pPr>
            <w:r>
              <w:rPr/>
              <w:t> </w:t>
            </w:r>
          </w:p>
        </w:tc>
      </w:tr>
      <w:tr>
        <w:trPr/>
        <w:tc>
          <w:tcPr>
            <w:tcW w:w="4957" w:type="dxa"/>
            <w:tcBorders/>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Net interest income</w:t>
            </w:r>
          </w:p>
        </w:tc>
        <w:tc>
          <w:tcPr>
            <w:tcW w:w="60" w:type="dxa"/>
            <w:tcBorders/>
            <w:vAlign w:val="bottom"/>
          </w:tcPr>
          <w:p>
            <w:pPr>
              <w:pStyle w:val="TableContents"/>
              <w:bidi w:val="0"/>
              <w:spacing w:before="0" w:after="283"/>
              <w:jc w:val="right"/>
              <w:rPr/>
            </w:pPr>
            <w:r>
              <w:rPr/>
              <w:t> </w:t>
            </w:r>
          </w:p>
        </w:tc>
        <w:tc>
          <w:tcPr>
            <w:tcW w:w="149" w:type="dxa"/>
            <w:tcBorders/>
            <w:vAlign w:val="bottom"/>
          </w:tcPr>
          <w:p>
            <w:pPr>
              <w:pStyle w:val="TableContents"/>
              <w:bidi w:val="0"/>
              <w:spacing w:before="0" w:after="283"/>
              <w:jc w:val="left"/>
              <w:rPr/>
            </w:pPr>
            <w:r>
              <w:rPr/>
              <w:t> </w:t>
            </w:r>
          </w:p>
        </w:tc>
        <w:tc>
          <w:tcPr>
            <w:tcW w:w="101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4,736</w:t>
            </w:r>
          </w:p>
        </w:tc>
        <w:tc>
          <w:tcPr>
            <w:tcW w:w="101"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right"/>
              <w:rPr/>
            </w:pPr>
            <w:r>
              <w:rPr/>
              <w:t> </w:t>
            </w:r>
          </w:p>
        </w:tc>
        <w:tc>
          <w:tcPr>
            <w:tcW w:w="132" w:type="dxa"/>
            <w:tcBorders/>
            <w:vAlign w:val="bottom"/>
          </w:tcPr>
          <w:p>
            <w:pPr>
              <w:pStyle w:val="TableContents"/>
              <w:bidi w:val="0"/>
              <w:spacing w:before="0" w:after="283"/>
              <w:jc w:val="left"/>
              <w:rPr/>
            </w:pPr>
            <w:r>
              <w:rPr/>
              <w:t> </w:t>
            </w:r>
          </w:p>
        </w:tc>
        <w:tc>
          <w:tcPr>
            <w:tcW w:w="101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2,641</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9,192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4,807</w:t>
            </w:r>
          </w:p>
        </w:tc>
        <w:tc>
          <w:tcPr>
            <w:tcW w:w="257" w:type="dxa"/>
            <w:tcBorders/>
            <w:vAlign w:val="bottom"/>
          </w:tcPr>
          <w:p>
            <w:pPr>
              <w:pStyle w:val="TableContents"/>
              <w:bidi w:val="0"/>
              <w:spacing w:before="0" w:after="283"/>
              <w:jc w:val="left"/>
              <w:rPr/>
            </w:pPr>
            <w:r>
              <w:rPr/>
              <w:t> </w:t>
            </w:r>
          </w:p>
        </w:tc>
      </w:tr>
      <w:tr>
        <w:trPr/>
        <w:tc>
          <w:tcPr>
            <w:tcW w:w="4957" w:type="dxa"/>
            <w:tcBorders/>
            <w:shd w:fill="CCEEFF" w:val="clear"/>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Servicing fee income</w:t>
            </w:r>
          </w:p>
        </w:tc>
        <w:tc>
          <w:tcPr>
            <w:tcW w:w="60" w:type="dxa"/>
            <w:tcBorders/>
            <w:shd w:fill="CCEEFF" w:val="clear"/>
            <w:vAlign w:val="bottom"/>
          </w:tcPr>
          <w:p>
            <w:pPr>
              <w:pStyle w:val="TableContents"/>
              <w:bidi w:val="0"/>
              <w:spacing w:before="0" w:after="283"/>
              <w:jc w:val="right"/>
              <w:rPr/>
            </w:pPr>
            <w:r>
              <w:rPr/>
              <w:t> </w:t>
            </w:r>
          </w:p>
        </w:tc>
        <w:tc>
          <w:tcPr>
            <w:tcW w:w="149" w:type="dxa"/>
            <w:tcBorders/>
            <w:shd w:fill="CCEEFF" w:val="clear"/>
            <w:vAlign w:val="bottom"/>
          </w:tcPr>
          <w:p>
            <w:pPr>
              <w:pStyle w:val="TableContents"/>
              <w:bidi w:val="0"/>
              <w:spacing w:before="0" w:after="283"/>
              <w:jc w:val="left"/>
              <w:rPr/>
            </w:pPr>
            <w:r>
              <w:rPr/>
              <w:t> </w:t>
            </w:r>
          </w:p>
        </w:tc>
        <w:tc>
          <w:tcPr>
            <w:tcW w:w="101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9,692</w:t>
            </w:r>
          </w:p>
        </w:tc>
        <w:tc>
          <w:tcPr>
            <w:tcW w:w="101"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right"/>
              <w:rPr/>
            </w:pPr>
            <w:r>
              <w:rPr/>
              <w:t> </w:t>
            </w:r>
          </w:p>
        </w:tc>
        <w:tc>
          <w:tcPr>
            <w:tcW w:w="132" w:type="dxa"/>
            <w:tcBorders/>
            <w:shd w:fill="CCEEFF" w:val="clear"/>
            <w:vAlign w:val="bottom"/>
          </w:tcPr>
          <w:p>
            <w:pPr>
              <w:pStyle w:val="TableContents"/>
              <w:bidi w:val="0"/>
              <w:spacing w:before="0" w:after="283"/>
              <w:jc w:val="left"/>
              <w:rPr/>
            </w:pPr>
            <w:r>
              <w:rPr/>
              <w:t> </w:t>
            </w:r>
          </w:p>
        </w:tc>
        <w:tc>
          <w:tcPr>
            <w:tcW w:w="101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10,933</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19,911</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21,906</w:t>
            </w:r>
          </w:p>
        </w:tc>
        <w:tc>
          <w:tcPr>
            <w:tcW w:w="257" w:type="dxa"/>
            <w:tcBorders/>
            <w:shd w:fill="CCEEFF" w:val="clear"/>
            <w:vAlign w:val="bottom"/>
          </w:tcPr>
          <w:p>
            <w:pPr>
              <w:pStyle w:val="TableContents"/>
              <w:bidi w:val="0"/>
              <w:spacing w:before="0" w:after="283"/>
              <w:jc w:val="left"/>
              <w:rPr/>
            </w:pPr>
            <w:r>
              <w:rPr/>
              <w:t> </w:t>
            </w:r>
          </w:p>
        </w:tc>
      </w:tr>
      <w:tr>
        <w:trPr/>
        <w:tc>
          <w:tcPr>
            <w:tcW w:w="4957" w:type="dxa"/>
            <w:tcBorders/>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Servicing costs</w:t>
            </w:r>
          </w:p>
        </w:tc>
        <w:tc>
          <w:tcPr>
            <w:tcW w:w="60" w:type="dxa"/>
            <w:tcBorders/>
            <w:vAlign w:val="bottom"/>
          </w:tcPr>
          <w:p>
            <w:pPr>
              <w:pStyle w:val="TableContents"/>
              <w:bidi w:val="0"/>
              <w:spacing w:before="0" w:after="283"/>
              <w:jc w:val="right"/>
              <w:rPr/>
            </w:pPr>
            <w:r>
              <w:rPr/>
              <w:t> </w:t>
            </w:r>
          </w:p>
        </w:tc>
        <w:tc>
          <w:tcPr>
            <w:tcW w:w="149" w:type="dxa"/>
            <w:tcBorders>
              <w:bottom w:val="single" w:sz="12" w:space="0" w:color="000000"/>
            </w:tcBorders>
            <w:tcMar>
              <w:bottom w:w="28" w:type="dxa"/>
            </w:tcMar>
            <w:vAlign w:val="bottom"/>
          </w:tcPr>
          <w:p>
            <w:pPr>
              <w:pStyle w:val="TableContents"/>
              <w:bidi w:val="0"/>
              <w:spacing w:before="0" w:after="283"/>
              <w:jc w:val="left"/>
              <w:rPr/>
            </w:pPr>
            <w:r>
              <w:rPr/>
              <w:t> </w:t>
            </w:r>
          </w:p>
        </w:tc>
        <w:tc>
          <w:tcPr>
            <w:tcW w:w="1013"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2,319</w:t>
            </w:r>
          </w:p>
        </w:tc>
        <w:tc>
          <w:tcPr>
            <w:tcW w:w="101"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right"/>
              <w:rPr/>
            </w:pPr>
            <w:r>
              <w:rPr/>
              <w:t> </w:t>
            </w:r>
          </w:p>
        </w:tc>
        <w:tc>
          <w:tcPr>
            <w:tcW w:w="132" w:type="dxa"/>
            <w:tcBorders>
              <w:bottom w:val="single" w:sz="12" w:space="0" w:color="000000"/>
            </w:tcBorders>
            <w:tcMar>
              <w:bottom w:w="28" w:type="dxa"/>
            </w:tcMar>
            <w:vAlign w:val="bottom"/>
          </w:tcPr>
          <w:p>
            <w:pPr>
              <w:pStyle w:val="TableContents"/>
              <w:bidi w:val="0"/>
              <w:spacing w:before="0" w:after="283"/>
              <w:jc w:val="left"/>
              <w:rPr/>
            </w:pPr>
            <w:r>
              <w:rPr/>
              <w:t> </w:t>
            </w:r>
          </w:p>
        </w:tc>
        <w:tc>
          <w:tcPr>
            <w:tcW w:w="1013"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1,952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4,608</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4,497</w:t>
            </w:r>
          </w:p>
        </w:tc>
        <w:tc>
          <w:tcPr>
            <w:tcW w:w="257" w:type="dxa"/>
            <w:tcBorders/>
            <w:vAlign w:val="bottom"/>
          </w:tcPr>
          <w:p>
            <w:pPr>
              <w:pStyle w:val="TableContents"/>
              <w:bidi w:val="0"/>
              <w:spacing w:before="0" w:after="283"/>
              <w:jc w:val="left"/>
              <w:rPr/>
            </w:pPr>
            <w:r>
              <w:rPr/>
              <w:t> </w:t>
            </w:r>
          </w:p>
        </w:tc>
      </w:tr>
      <w:tr>
        <w:trPr/>
        <w:tc>
          <w:tcPr>
            <w:tcW w:w="4957" w:type="dxa"/>
            <w:tcBorders/>
            <w:shd w:fill="CCEEFF" w:val="clear"/>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Net servicing income</w:t>
            </w:r>
          </w:p>
        </w:tc>
        <w:tc>
          <w:tcPr>
            <w:tcW w:w="60" w:type="dxa"/>
            <w:tcBorders/>
            <w:shd w:fill="CCEEFF" w:val="clear"/>
            <w:vAlign w:val="bottom"/>
          </w:tcPr>
          <w:p>
            <w:pPr>
              <w:pStyle w:val="TableContents"/>
              <w:bidi w:val="0"/>
              <w:spacing w:before="0" w:after="283"/>
              <w:jc w:val="right"/>
              <w:rPr/>
            </w:pPr>
            <w:r>
              <w:rPr/>
              <w:t> </w:t>
            </w:r>
          </w:p>
        </w:tc>
        <w:tc>
          <w:tcPr>
            <w:tcW w:w="149" w:type="dxa"/>
            <w:tcBorders/>
            <w:shd w:fill="CCEEFF" w:val="clear"/>
            <w:vAlign w:val="bottom"/>
          </w:tcPr>
          <w:p>
            <w:pPr>
              <w:pStyle w:val="TableContents"/>
              <w:bidi w:val="0"/>
              <w:spacing w:before="0" w:after="283"/>
              <w:jc w:val="left"/>
              <w:rPr/>
            </w:pPr>
            <w:r>
              <w:rPr/>
              <w:t> </w:t>
            </w:r>
          </w:p>
        </w:tc>
        <w:tc>
          <w:tcPr>
            <w:tcW w:w="101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7,373</w:t>
            </w:r>
          </w:p>
        </w:tc>
        <w:tc>
          <w:tcPr>
            <w:tcW w:w="101"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right"/>
              <w:rPr/>
            </w:pPr>
            <w:r>
              <w:rPr/>
              <w:t> </w:t>
            </w:r>
          </w:p>
        </w:tc>
        <w:tc>
          <w:tcPr>
            <w:tcW w:w="132" w:type="dxa"/>
            <w:tcBorders/>
            <w:shd w:fill="CCEEFF" w:val="clear"/>
            <w:vAlign w:val="bottom"/>
          </w:tcPr>
          <w:p>
            <w:pPr>
              <w:pStyle w:val="TableContents"/>
              <w:bidi w:val="0"/>
              <w:spacing w:before="0" w:after="283"/>
              <w:jc w:val="left"/>
              <w:rPr/>
            </w:pPr>
            <w:r>
              <w:rPr/>
              <w:t> </w:t>
            </w:r>
          </w:p>
        </w:tc>
        <w:tc>
          <w:tcPr>
            <w:tcW w:w="101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8,981</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15,303</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17,409</w:t>
            </w:r>
          </w:p>
        </w:tc>
        <w:tc>
          <w:tcPr>
            <w:tcW w:w="257" w:type="dxa"/>
            <w:tcBorders/>
            <w:shd w:fill="CCEEFF" w:val="clear"/>
            <w:vAlign w:val="bottom"/>
          </w:tcPr>
          <w:p>
            <w:pPr>
              <w:pStyle w:val="TableContents"/>
              <w:bidi w:val="0"/>
              <w:spacing w:before="0" w:after="283"/>
              <w:jc w:val="left"/>
              <w:rPr/>
            </w:pPr>
            <w:r>
              <w:rPr/>
              <w:t> </w:t>
            </w:r>
          </w:p>
        </w:tc>
      </w:tr>
      <w:tr>
        <w:trPr/>
        <w:tc>
          <w:tcPr>
            <w:tcW w:w="4957" w:type="dxa"/>
            <w:tcBorders/>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Other income (loss)</w:t>
            </w:r>
          </w:p>
        </w:tc>
        <w:tc>
          <w:tcPr>
            <w:tcW w:w="60" w:type="dxa"/>
            <w:tcBorders/>
            <w:vAlign w:val="bottom"/>
          </w:tcPr>
          <w:p>
            <w:pPr>
              <w:pStyle w:val="TableContents"/>
              <w:bidi w:val="0"/>
              <w:spacing w:before="0" w:after="283"/>
              <w:jc w:val="right"/>
              <w:rPr/>
            </w:pPr>
            <w:r>
              <w:rPr/>
              <w:t> </w:t>
            </w:r>
          </w:p>
        </w:tc>
        <w:tc>
          <w:tcPr>
            <w:tcW w:w="149" w:type="dxa"/>
            <w:tcBorders/>
            <w:vAlign w:val="bottom"/>
          </w:tcPr>
          <w:p>
            <w:pPr>
              <w:pStyle w:val="TableContents"/>
              <w:bidi w:val="0"/>
              <w:spacing w:before="0" w:after="283"/>
              <w:jc w:val="left"/>
              <w:rPr/>
            </w:pPr>
            <w:r>
              <w:rPr/>
              <w:t> </w:t>
            </w:r>
          </w:p>
        </w:tc>
        <w:tc>
          <w:tcPr>
            <w:tcW w:w="1013" w:type="dxa"/>
            <w:tcBorders/>
            <w:vAlign w:val="bottom"/>
          </w:tcPr>
          <w:p>
            <w:pPr>
              <w:pStyle w:val="TableContents"/>
              <w:bidi w:val="0"/>
              <w:spacing w:before="0" w:after="283"/>
              <w:jc w:val="right"/>
              <w:rPr/>
            </w:pPr>
            <w:r>
              <w:rPr/>
              <w:t> </w:t>
            </w:r>
          </w:p>
        </w:tc>
        <w:tc>
          <w:tcPr>
            <w:tcW w:w="101"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right"/>
              <w:rPr/>
            </w:pPr>
            <w:r>
              <w:rPr/>
              <w:t> </w:t>
            </w:r>
          </w:p>
        </w:tc>
        <w:tc>
          <w:tcPr>
            <w:tcW w:w="132" w:type="dxa"/>
            <w:tcBorders/>
            <w:vAlign w:val="bottom"/>
          </w:tcPr>
          <w:p>
            <w:pPr>
              <w:pStyle w:val="TableContents"/>
              <w:bidi w:val="0"/>
              <w:spacing w:before="0" w:after="283"/>
              <w:jc w:val="left"/>
              <w:rPr/>
            </w:pPr>
            <w:r>
              <w:rPr/>
              <w:t> </w:t>
            </w:r>
          </w:p>
        </w:tc>
        <w:tc>
          <w:tcPr>
            <w:tcW w:w="1013"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257" w:type="dxa"/>
            <w:tcBorders/>
            <w:vAlign w:val="bottom"/>
          </w:tcPr>
          <w:p>
            <w:pPr>
              <w:pStyle w:val="TableContents"/>
              <w:bidi w:val="0"/>
              <w:spacing w:before="0" w:after="283"/>
              <w:jc w:val="left"/>
              <w:rPr/>
            </w:pPr>
            <w:r>
              <w:rPr/>
              <w:t> </w:t>
            </w:r>
          </w:p>
        </w:tc>
      </w:tr>
      <w:tr>
        <w:trPr/>
        <w:tc>
          <w:tcPr>
            <w:tcW w:w="4957" w:type="dxa"/>
            <w:tcBorders/>
            <w:shd w:fill="CCEEFF" w:val="clear"/>
            <w:vAlign w:val="bottom"/>
          </w:tcPr>
          <w:p>
            <w:pPr>
              <w:pStyle w:val="TableContents"/>
              <w:bidi w:val="0"/>
              <w:spacing w:before="0" w:after="0"/>
              <w:ind w:left="504" w:right="0" w:hanging="144"/>
              <w:jc w:val="left"/>
              <w:rPr>
                <w:rFonts w:ascii="Times New Roman" w:hAnsi="Times New Roman"/>
                <w:sz w:val="20"/>
              </w:rPr>
            </w:pPr>
            <w:r>
              <w:rPr>
                <w:rFonts w:ascii="Times New Roman" w:hAnsi="Times New Roman"/>
                <w:sz w:val="20"/>
              </w:rPr>
              <w:t>Realized loss on RMBS, net</w:t>
            </w:r>
          </w:p>
        </w:tc>
        <w:tc>
          <w:tcPr>
            <w:tcW w:w="60" w:type="dxa"/>
            <w:tcBorders/>
            <w:shd w:fill="CCEEFF" w:val="clear"/>
            <w:vAlign w:val="bottom"/>
          </w:tcPr>
          <w:p>
            <w:pPr>
              <w:pStyle w:val="TableContents"/>
              <w:bidi w:val="0"/>
              <w:spacing w:before="0" w:after="283"/>
              <w:jc w:val="right"/>
              <w:rPr/>
            </w:pPr>
            <w:r>
              <w:rPr/>
              <w:t> </w:t>
            </w:r>
          </w:p>
        </w:tc>
        <w:tc>
          <w:tcPr>
            <w:tcW w:w="149" w:type="dxa"/>
            <w:tcBorders/>
            <w:shd w:fill="CCEEFF" w:val="clear"/>
            <w:vAlign w:val="bottom"/>
          </w:tcPr>
          <w:p>
            <w:pPr>
              <w:pStyle w:val="TableContents"/>
              <w:bidi w:val="0"/>
              <w:spacing w:before="0" w:after="283"/>
              <w:jc w:val="left"/>
              <w:rPr/>
            </w:pPr>
            <w:r>
              <w:rPr/>
              <w:t> </w:t>
            </w:r>
          </w:p>
        </w:tc>
        <w:tc>
          <w:tcPr>
            <w:tcW w:w="101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(1,047</w:t>
            </w:r>
          </w:p>
        </w:tc>
        <w:tc>
          <w:tcPr>
            <w:tcW w:w="10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3" w:type="dxa"/>
            <w:tcBorders/>
            <w:shd w:fill="CCEEFF" w:val="clear"/>
            <w:vAlign w:val="bottom"/>
          </w:tcPr>
          <w:p>
            <w:pPr>
              <w:pStyle w:val="TableContents"/>
              <w:bidi w:val="0"/>
              <w:spacing w:before="0" w:after="283"/>
              <w:jc w:val="right"/>
              <w:rPr/>
            </w:pPr>
            <w:r>
              <w:rPr/>
              <w:t> </w:t>
            </w:r>
          </w:p>
        </w:tc>
        <w:tc>
          <w:tcPr>
            <w:tcW w:w="132" w:type="dxa"/>
            <w:tcBorders/>
            <w:shd w:fill="CCEEFF" w:val="clear"/>
            <w:vAlign w:val="bottom"/>
          </w:tcPr>
          <w:p>
            <w:pPr>
              <w:pStyle w:val="TableContents"/>
              <w:bidi w:val="0"/>
              <w:spacing w:before="0" w:after="283"/>
              <w:jc w:val="left"/>
              <w:rPr/>
            </w:pPr>
            <w:r>
              <w:rPr/>
              <w:t> </w:t>
            </w:r>
          </w:p>
        </w:tc>
        <w:tc>
          <w:tcPr>
            <w:tcW w:w="101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(2,053</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(1,047</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(6,045</w:t>
            </w:r>
          </w:p>
        </w:tc>
        <w:tc>
          <w:tcPr>
            <w:tcW w:w="25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4957" w:type="dxa"/>
            <w:tcBorders/>
            <w:vAlign w:val="bottom"/>
          </w:tcPr>
          <w:p>
            <w:pPr>
              <w:pStyle w:val="TableContents"/>
              <w:bidi w:val="0"/>
              <w:spacing w:before="0" w:after="0"/>
              <w:ind w:left="504" w:right="0" w:hanging="144"/>
              <w:jc w:val="left"/>
              <w:rPr>
                <w:rFonts w:ascii="Times New Roman" w:hAnsi="Times New Roman"/>
                <w:sz w:val="20"/>
              </w:rPr>
            </w:pPr>
            <w:r>
              <w:rPr>
                <w:rFonts w:ascii="Times New Roman" w:hAnsi="Times New Roman"/>
                <w:sz w:val="20"/>
              </w:rPr>
              <w:t>Realized gain on derivatives, net</w:t>
            </w:r>
          </w:p>
        </w:tc>
        <w:tc>
          <w:tcPr>
            <w:tcW w:w="60" w:type="dxa"/>
            <w:tcBorders/>
            <w:vAlign w:val="bottom"/>
          </w:tcPr>
          <w:p>
            <w:pPr>
              <w:pStyle w:val="TableContents"/>
              <w:bidi w:val="0"/>
              <w:spacing w:before="0" w:after="283"/>
              <w:jc w:val="right"/>
              <w:rPr/>
            </w:pPr>
            <w:r>
              <w:rPr/>
              <w:t> </w:t>
            </w:r>
          </w:p>
        </w:tc>
        <w:tc>
          <w:tcPr>
            <w:tcW w:w="149" w:type="dxa"/>
            <w:tcBorders/>
            <w:vAlign w:val="bottom"/>
          </w:tcPr>
          <w:p>
            <w:pPr>
              <w:pStyle w:val="TableContents"/>
              <w:bidi w:val="0"/>
              <w:spacing w:before="0" w:after="283"/>
              <w:jc w:val="left"/>
              <w:rPr/>
            </w:pPr>
            <w:r>
              <w:rPr/>
              <w:t> </w:t>
            </w:r>
          </w:p>
        </w:tc>
        <w:tc>
          <w:tcPr>
            <w:tcW w:w="101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12,139</w:t>
            </w:r>
          </w:p>
        </w:tc>
        <w:tc>
          <w:tcPr>
            <w:tcW w:w="101"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right"/>
              <w:rPr/>
            </w:pPr>
            <w:r>
              <w:rPr/>
              <w:t> </w:t>
            </w:r>
          </w:p>
        </w:tc>
        <w:tc>
          <w:tcPr>
            <w:tcW w:w="132" w:type="dxa"/>
            <w:tcBorders/>
            <w:vAlign w:val="bottom"/>
          </w:tcPr>
          <w:p>
            <w:pPr>
              <w:pStyle w:val="TableContents"/>
              <w:bidi w:val="0"/>
              <w:spacing w:before="0" w:after="283"/>
              <w:jc w:val="left"/>
              <w:rPr/>
            </w:pPr>
            <w:r>
              <w:rPr/>
              <w:t> </w:t>
            </w:r>
          </w:p>
        </w:tc>
        <w:tc>
          <w:tcPr>
            <w:tcW w:w="101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14,838</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12,069</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19,472</w:t>
            </w:r>
          </w:p>
        </w:tc>
        <w:tc>
          <w:tcPr>
            <w:tcW w:w="257" w:type="dxa"/>
            <w:tcBorders/>
            <w:vAlign w:val="bottom"/>
          </w:tcPr>
          <w:p>
            <w:pPr>
              <w:pStyle w:val="TableContents"/>
              <w:bidi w:val="0"/>
              <w:spacing w:before="0" w:after="283"/>
              <w:jc w:val="left"/>
              <w:rPr/>
            </w:pPr>
            <w:r>
              <w:rPr/>
              <w:t> </w:t>
            </w:r>
          </w:p>
        </w:tc>
      </w:tr>
      <w:tr>
        <w:trPr/>
        <w:tc>
          <w:tcPr>
            <w:tcW w:w="4957" w:type="dxa"/>
            <w:tcBorders/>
            <w:shd w:fill="CCEEFF" w:val="clear"/>
            <w:vAlign w:val="bottom"/>
          </w:tcPr>
          <w:p>
            <w:pPr>
              <w:pStyle w:val="TableContents"/>
              <w:bidi w:val="0"/>
              <w:spacing w:before="0" w:after="0"/>
              <w:ind w:left="0" w:right="0" w:firstLine="360"/>
              <w:jc w:val="left"/>
              <w:rPr>
                <w:rFonts w:ascii="Times New Roman" w:hAnsi="Times New Roman"/>
                <w:sz w:val="20"/>
              </w:rPr>
            </w:pPr>
            <w:r>
              <w:rPr>
                <w:rFonts w:ascii="Times New Roman" w:hAnsi="Times New Roman"/>
                <w:sz w:val="20"/>
              </w:rPr>
              <w:t>Realized gain on acquired assets, net</w:t>
            </w:r>
          </w:p>
        </w:tc>
        <w:tc>
          <w:tcPr>
            <w:tcW w:w="60" w:type="dxa"/>
            <w:tcBorders/>
            <w:shd w:fill="CCEEFF" w:val="clear"/>
            <w:vAlign w:val="bottom"/>
          </w:tcPr>
          <w:p>
            <w:pPr>
              <w:pStyle w:val="TableContents"/>
              <w:bidi w:val="0"/>
              <w:spacing w:before="0" w:after="283"/>
              <w:jc w:val="right"/>
              <w:rPr/>
            </w:pPr>
            <w:r>
              <w:rPr/>
              <w:t> </w:t>
            </w:r>
          </w:p>
        </w:tc>
        <w:tc>
          <w:tcPr>
            <w:tcW w:w="149" w:type="dxa"/>
            <w:tcBorders/>
            <w:shd w:fill="CCEEFF" w:val="clear"/>
            <w:vAlign w:val="bottom"/>
          </w:tcPr>
          <w:p>
            <w:pPr>
              <w:pStyle w:val="TableContents"/>
              <w:bidi w:val="0"/>
              <w:spacing w:before="0" w:after="283"/>
              <w:jc w:val="left"/>
              <w:rPr/>
            </w:pPr>
            <w:r>
              <w:rPr/>
              <w:t> </w:t>
            </w:r>
          </w:p>
        </w:tc>
        <w:tc>
          <w:tcPr>
            <w:tcW w:w="1013" w:type="dxa"/>
            <w:tcBorders/>
            <w:shd w:fill="CCEEFF" w:val="clear"/>
            <w:vAlign w:val="bottom"/>
          </w:tcPr>
          <w:p>
            <w:pPr>
              <w:pStyle w:val="TableContents"/>
              <w:bidi w:val="0"/>
              <w:spacing w:before="0" w:after="283"/>
              <w:jc w:val="right"/>
              <w:rPr/>
            </w:pPr>
            <w:r>
              <w:rPr/>
              <w:t>2</w:t>
            </w:r>
          </w:p>
        </w:tc>
        <w:tc>
          <w:tcPr>
            <w:tcW w:w="101"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right"/>
              <w:rPr/>
            </w:pPr>
            <w:r>
              <w:rPr/>
              <w:t> </w:t>
            </w:r>
          </w:p>
        </w:tc>
        <w:tc>
          <w:tcPr>
            <w:tcW w:w="132" w:type="dxa"/>
            <w:tcBorders/>
            <w:shd w:fill="CCEEFF" w:val="clear"/>
            <w:vAlign w:val="bottom"/>
          </w:tcPr>
          <w:p>
            <w:pPr>
              <w:pStyle w:val="TableContents"/>
              <w:bidi w:val="0"/>
              <w:spacing w:before="0" w:after="283"/>
              <w:jc w:val="left"/>
              <w:rPr/>
            </w:pPr>
            <w:r>
              <w:rPr/>
              <w:t> </w:t>
            </w:r>
          </w:p>
        </w:tc>
        <w:tc>
          <w:tcPr>
            <w:tcW w:w="1013" w:type="dxa"/>
            <w:tcBorders/>
            <w:shd w:fill="CCEEFF" w:val="clear"/>
            <w:vAlign w:val="bottom"/>
          </w:tcPr>
          <w:p>
            <w:pPr>
              <w:pStyle w:val="TableContents"/>
              <w:bidi w:val="0"/>
              <w:spacing w:before="0" w:after="283"/>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2</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w:t>
            </w:r>
          </w:p>
        </w:tc>
        <w:tc>
          <w:tcPr>
            <w:tcW w:w="257" w:type="dxa"/>
            <w:tcBorders/>
            <w:shd w:fill="CCEEFF" w:val="clear"/>
            <w:vAlign w:val="bottom"/>
          </w:tcPr>
          <w:p>
            <w:pPr>
              <w:pStyle w:val="TableContents"/>
              <w:bidi w:val="0"/>
              <w:spacing w:before="0" w:after="283"/>
              <w:jc w:val="left"/>
              <w:rPr/>
            </w:pPr>
            <w:r>
              <w:rPr/>
              <w:t> </w:t>
            </w:r>
          </w:p>
        </w:tc>
      </w:tr>
      <w:tr>
        <w:trPr/>
        <w:tc>
          <w:tcPr>
            <w:tcW w:w="4957" w:type="dxa"/>
            <w:tcBorders/>
            <w:vAlign w:val="bottom"/>
          </w:tcPr>
          <w:p>
            <w:pPr>
              <w:pStyle w:val="TableContents"/>
              <w:bidi w:val="0"/>
              <w:spacing w:before="0" w:after="0"/>
              <w:ind w:left="540" w:right="0" w:hanging="180"/>
              <w:jc w:val="left"/>
              <w:rPr>
                <w:rFonts w:ascii="Times New Roman" w:hAnsi="Times New Roman"/>
                <w:sz w:val="20"/>
              </w:rPr>
            </w:pPr>
            <w:r>
              <w:rPr>
                <w:rFonts w:ascii="Times New Roman" w:hAnsi="Times New Roman"/>
                <w:sz w:val="20"/>
              </w:rPr>
              <w:t>Unrealized gain (loss) on RMBS, measured at fair value through earnings, net</w:t>
            </w:r>
          </w:p>
        </w:tc>
        <w:tc>
          <w:tcPr>
            <w:tcW w:w="60" w:type="dxa"/>
            <w:tcBorders/>
            <w:vAlign w:val="bottom"/>
          </w:tcPr>
          <w:p>
            <w:pPr>
              <w:pStyle w:val="TableContents"/>
              <w:bidi w:val="0"/>
              <w:spacing w:before="0" w:after="283"/>
              <w:jc w:val="right"/>
              <w:rPr/>
            </w:pPr>
            <w:r>
              <w:rPr/>
              <w:t> </w:t>
            </w:r>
          </w:p>
        </w:tc>
        <w:tc>
          <w:tcPr>
            <w:tcW w:w="149" w:type="dxa"/>
            <w:tcBorders/>
            <w:vAlign w:val="bottom"/>
          </w:tcPr>
          <w:p>
            <w:pPr>
              <w:pStyle w:val="TableContents"/>
              <w:bidi w:val="0"/>
              <w:spacing w:before="0" w:after="283"/>
              <w:jc w:val="left"/>
              <w:rPr/>
            </w:pPr>
            <w:r>
              <w:rPr/>
              <w:t> </w:t>
            </w:r>
          </w:p>
        </w:tc>
        <w:tc>
          <w:tcPr>
            <w:tcW w:w="1013" w:type="dxa"/>
            <w:tcBorders/>
            <w:vAlign w:val="bottom"/>
          </w:tcPr>
          <w:p>
            <w:pPr>
              <w:pStyle w:val="TableContents"/>
              <w:bidi w:val="0"/>
              <w:spacing w:before="0" w:after="283"/>
              <w:jc w:val="right"/>
              <w:rPr/>
            </w:pPr>
            <w:r>
              <w:rPr/>
              <w:t>(860</w:t>
            </w:r>
          </w:p>
        </w:tc>
        <w:tc>
          <w:tcPr>
            <w:tcW w:w="101" w:type="dxa"/>
            <w:tcBorders/>
            <w:vAlign w:val="bottom"/>
          </w:tcPr>
          <w:p>
            <w:pPr>
              <w:pStyle w:val="TableContents"/>
              <w:bidi w:val="0"/>
              <w:spacing w:before="0" w:after="283"/>
              <w:jc w:val="left"/>
              <w:rPr/>
            </w:pPr>
            <w:r>
              <w:rPr/>
              <w:t>)</w:t>
            </w:r>
          </w:p>
        </w:tc>
        <w:tc>
          <w:tcPr>
            <w:tcW w:w="63" w:type="dxa"/>
            <w:tcBorders/>
            <w:vAlign w:val="bottom"/>
          </w:tcPr>
          <w:p>
            <w:pPr>
              <w:pStyle w:val="TableContents"/>
              <w:bidi w:val="0"/>
              <w:spacing w:before="0" w:after="283"/>
              <w:jc w:val="right"/>
              <w:rPr/>
            </w:pPr>
            <w:r>
              <w:rPr/>
              <w:t> </w:t>
            </w:r>
          </w:p>
        </w:tc>
        <w:tc>
          <w:tcPr>
            <w:tcW w:w="132" w:type="dxa"/>
            <w:tcBorders/>
            <w:vAlign w:val="bottom"/>
          </w:tcPr>
          <w:p>
            <w:pPr>
              <w:pStyle w:val="TableContents"/>
              <w:bidi w:val="0"/>
              <w:spacing w:before="0" w:after="283"/>
              <w:jc w:val="left"/>
              <w:rPr/>
            </w:pPr>
            <w:r>
              <w:rPr/>
              <w:t> </w:t>
            </w:r>
          </w:p>
        </w:tc>
        <w:tc>
          <w:tcPr>
            <w:tcW w:w="1013" w:type="dxa"/>
            <w:tcBorders/>
            <w:vAlign w:val="bottom"/>
          </w:tcPr>
          <w:p>
            <w:pPr>
              <w:pStyle w:val="TableContents"/>
              <w:bidi w:val="0"/>
              <w:spacing w:before="0" w:after="283"/>
              <w:jc w:val="right"/>
              <w:rPr/>
            </w:pPr>
            <w:r>
              <w:rPr/>
              <w:t>3,508</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(13,296</w:t>
            </w:r>
          </w:p>
        </w:tc>
        <w:tc>
          <w:tcPr>
            <w:tcW w:w="95" w:type="dxa"/>
            <w:tcBorders/>
            <w:vAlign w:val="bottom"/>
          </w:tcPr>
          <w:p>
            <w:pPr>
              <w:pStyle w:val="TableContents"/>
              <w:bidi w:val="0"/>
              <w:spacing w:before="0" w:after="283"/>
              <w:jc w:val="left"/>
              <w:rPr/>
            </w:pPr>
            <w:r>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18,288</w:t>
            </w:r>
          </w:p>
        </w:tc>
        <w:tc>
          <w:tcPr>
            <w:tcW w:w="257" w:type="dxa"/>
            <w:tcBorders/>
            <w:vAlign w:val="bottom"/>
          </w:tcPr>
          <w:p>
            <w:pPr>
              <w:pStyle w:val="TableContents"/>
              <w:bidi w:val="0"/>
              <w:spacing w:before="0" w:after="283"/>
              <w:jc w:val="left"/>
              <w:rPr/>
            </w:pPr>
            <w:r>
              <w:rPr/>
              <w:t> </w:t>
            </w:r>
          </w:p>
        </w:tc>
      </w:tr>
      <w:tr>
        <w:trPr/>
        <w:tc>
          <w:tcPr>
            <w:tcW w:w="4957" w:type="dxa"/>
            <w:tcBorders/>
            <w:shd w:fill="CCEEFF" w:val="clear"/>
            <w:vAlign w:val="bottom"/>
          </w:tcPr>
          <w:p>
            <w:pPr>
              <w:pStyle w:val="TableContents"/>
              <w:bidi w:val="0"/>
              <w:spacing w:before="0" w:after="0"/>
              <w:ind w:left="504" w:right="0" w:hanging="144"/>
              <w:jc w:val="left"/>
              <w:rPr>
                <w:rFonts w:ascii="Times New Roman" w:hAnsi="Times New Roman"/>
                <w:sz w:val="20"/>
              </w:rPr>
            </w:pPr>
            <w:r>
              <w:rPr>
                <w:rFonts w:ascii="Times New Roman" w:hAnsi="Times New Roman"/>
                <w:sz w:val="20"/>
              </w:rPr>
              <w:t>Unrealized loss on derivatives, net</w:t>
            </w:r>
          </w:p>
        </w:tc>
        <w:tc>
          <w:tcPr>
            <w:tcW w:w="60" w:type="dxa"/>
            <w:tcBorders/>
            <w:shd w:fill="CCEEFF" w:val="clear"/>
            <w:vAlign w:val="bottom"/>
          </w:tcPr>
          <w:p>
            <w:pPr>
              <w:pStyle w:val="TableContents"/>
              <w:bidi w:val="0"/>
              <w:spacing w:before="0" w:after="283"/>
              <w:jc w:val="right"/>
              <w:rPr/>
            </w:pPr>
            <w:r>
              <w:rPr/>
              <w:t> </w:t>
            </w:r>
          </w:p>
        </w:tc>
        <w:tc>
          <w:tcPr>
            <w:tcW w:w="149" w:type="dxa"/>
            <w:tcBorders/>
            <w:shd w:fill="CCEEFF" w:val="clear"/>
            <w:vAlign w:val="bottom"/>
          </w:tcPr>
          <w:p>
            <w:pPr>
              <w:pStyle w:val="TableContents"/>
              <w:bidi w:val="0"/>
              <w:spacing w:before="0" w:after="283"/>
              <w:jc w:val="left"/>
              <w:rPr/>
            </w:pPr>
            <w:r>
              <w:rPr/>
              <w:t> </w:t>
            </w:r>
          </w:p>
        </w:tc>
        <w:tc>
          <w:tcPr>
            <w:tcW w:w="101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(9,299</w:t>
            </w:r>
          </w:p>
        </w:tc>
        <w:tc>
          <w:tcPr>
            <w:tcW w:w="10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3" w:type="dxa"/>
            <w:tcBorders/>
            <w:shd w:fill="CCEEFF" w:val="clear"/>
            <w:vAlign w:val="bottom"/>
          </w:tcPr>
          <w:p>
            <w:pPr>
              <w:pStyle w:val="TableContents"/>
              <w:bidi w:val="0"/>
              <w:spacing w:before="0" w:after="283"/>
              <w:jc w:val="right"/>
              <w:rPr/>
            </w:pPr>
            <w:r>
              <w:rPr/>
              <w:t> </w:t>
            </w:r>
          </w:p>
        </w:tc>
        <w:tc>
          <w:tcPr>
            <w:tcW w:w="132" w:type="dxa"/>
            <w:tcBorders/>
            <w:shd w:fill="CCEEFF" w:val="clear"/>
            <w:vAlign w:val="bottom"/>
          </w:tcPr>
          <w:p>
            <w:pPr>
              <w:pStyle w:val="TableContents"/>
              <w:bidi w:val="0"/>
              <w:spacing w:before="0" w:after="283"/>
              <w:jc w:val="left"/>
              <w:rPr/>
            </w:pPr>
            <w:r>
              <w:rPr/>
              <w:t> </w:t>
            </w:r>
          </w:p>
        </w:tc>
        <w:tc>
          <w:tcPr>
            <w:tcW w:w="101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(19,147</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(3,178</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(41,888</w:t>
            </w:r>
          </w:p>
        </w:tc>
        <w:tc>
          <w:tcPr>
            <w:tcW w:w="25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4957" w:type="dxa"/>
            <w:tcBorders/>
            <w:vAlign w:val="bottom"/>
          </w:tcPr>
          <w:p>
            <w:pPr>
              <w:pStyle w:val="TableContents"/>
              <w:bidi w:val="0"/>
              <w:spacing w:before="0" w:after="0"/>
              <w:ind w:left="504" w:right="0" w:hanging="144"/>
              <w:jc w:val="left"/>
              <w:rPr>
                <w:rFonts w:ascii="Times New Roman" w:hAnsi="Times New Roman"/>
                <w:sz w:val="20"/>
              </w:rPr>
            </w:pPr>
            <w:r>
              <w:rPr>
                <w:rFonts w:ascii="Times New Roman" w:hAnsi="Times New Roman"/>
                <w:sz w:val="20"/>
              </w:rPr>
              <w:t>Unrealized loss on investments in Servicing Related Assets</w:t>
            </w:r>
          </w:p>
        </w:tc>
        <w:tc>
          <w:tcPr>
            <w:tcW w:w="60" w:type="dxa"/>
            <w:tcBorders/>
            <w:vAlign w:val="bottom"/>
          </w:tcPr>
          <w:p>
            <w:pPr>
              <w:pStyle w:val="TableContents"/>
              <w:bidi w:val="0"/>
              <w:spacing w:before="0" w:after="283"/>
              <w:jc w:val="right"/>
              <w:rPr/>
            </w:pPr>
            <w:r>
              <w:rPr/>
              <w:t> </w:t>
            </w:r>
          </w:p>
        </w:tc>
        <w:tc>
          <w:tcPr>
            <w:tcW w:w="149" w:type="dxa"/>
            <w:tcBorders/>
            <w:vAlign w:val="bottom"/>
          </w:tcPr>
          <w:p>
            <w:pPr>
              <w:pStyle w:val="TableContents"/>
              <w:bidi w:val="0"/>
              <w:spacing w:before="0" w:after="283"/>
              <w:jc w:val="left"/>
              <w:rPr/>
            </w:pPr>
            <w:r>
              <w:rPr/>
              <w:t> </w:t>
            </w:r>
          </w:p>
        </w:tc>
        <w:tc>
          <w:tcPr>
            <w:tcW w:w="101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(2,351</w:t>
            </w:r>
          </w:p>
        </w:tc>
        <w:tc>
          <w:tcPr>
            <w:tcW w:w="10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3" w:type="dxa"/>
            <w:tcBorders/>
            <w:vAlign w:val="bottom"/>
          </w:tcPr>
          <w:p>
            <w:pPr>
              <w:pStyle w:val="TableContents"/>
              <w:bidi w:val="0"/>
              <w:spacing w:before="0" w:after="283"/>
              <w:jc w:val="right"/>
              <w:rPr/>
            </w:pPr>
            <w:r>
              <w:rPr/>
              <w:t> </w:t>
            </w:r>
          </w:p>
        </w:tc>
        <w:tc>
          <w:tcPr>
            <w:tcW w:w="132" w:type="dxa"/>
            <w:tcBorders/>
            <w:vAlign w:val="bottom"/>
          </w:tcPr>
          <w:p>
            <w:pPr>
              <w:pStyle w:val="TableContents"/>
              <w:bidi w:val="0"/>
              <w:spacing w:before="0" w:after="283"/>
              <w:jc w:val="left"/>
              <w:rPr/>
            </w:pPr>
            <w:r>
              <w:rPr/>
              <w:t> </w:t>
            </w:r>
          </w:p>
        </w:tc>
        <w:tc>
          <w:tcPr>
            <w:tcW w:w="101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(2,731</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(3,712</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(9,056</w:t>
            </w:r>
          </w:p>
        </w:tc>
        <w:tc>
          <w:tcPr>
            <w:tcW w:w="25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4957" w:type="dxa"/>
            <w:tcBorders/>
            <w:shd w:fill="CCEEFF" w:val="clear"/>
            <w:vAlign w:val="bottom"/>
          </w:tcPr>
          <w:p>
            <w:pPr>
              <w:pStyle w:val="TableContents"/>
              <w:bidi w:val="0"/>
              <w:spacing w:before="0" w:after="0"/>
              <w:ind w:left="0" w:right="0" w:firstLine="360"/>
              <w:jc w:val="left"/>
              <w:rPr>
                <w:rFonts w:ascii="Times New Roman" w:hAnsi="Times New Roman"/>
                <w:sz w:val="20"/>
              </w:rPr>
            </w:pPr>
            <w:r>
              <w:rPr>
                <w:rFonts w:ascii="Times New Roman" w:hAnsi="Times New Roman"/>
                <w:sz w:val="20"/>
              </w:rPr>
              <w:t>Credit loss and impairment on other assets</w:t>
            </w:r>
          </w:p>
        </w:tc>
        <w:tc>
          <w:tcPr>
            <w:tcW w:w="60" w:type="dxa"/>
            <w:tcBorders/>
            <w:shd w:fill="CCEEFF" w:val="clear"/>
            <w:vAlign w:val="bottom"/>
          </w:tcPr>
          <w:p>
            <w:pPr>
              <w:pStyle w:val="TableContents"/>
              <w:bidi w:val="0"/>
              <w:spacing w:before="0" w:after="283"/>
              <w:jc w:val="right"/>
              <w:rPr/>
            </w:pPr>
            <w:r>
              <w:rPr/>
              <w:t> </w:t>
            </w:r>
          </w:p>
        </w:tc>
        <w:tc>
          <w:tcPr>
            <w:tcW w:w="14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13" w:type="dxa"/>
            <w:tcBorders>
              <w:bottom w:val="single" w:sz="12" w:space="0" w:color="000000"/>
            </w:tcBorders>
            <w:shd w:fill="CCEEFF" w:val="clear"/>
            <w:tcMar>
              <w:bottom w:w="28" w:type="dxa"/>
            </w:tcMar>
            <w:vAlign w:val="bottom"/>
          </w:tcPr>
          <w:p>
            <w:pPr>
              <w:pStyle w:val="TableContents"/>
              <w:bidi w:val="0"/>
              <w:spacing w:before="0" w:after="283"/>
              <w:jc w:val="right"/>
              <w:rPr/>
            </w:pPr>
            <w:r>
              <w:rPr/>
              <w:t>(2,815</w:t>
            </w:r>
          </w:p>
        </w:tc>
        <w:tc>
          <w:tcPr>
            <w:tcW w:w="101" w:type="dxa"/>
            <w:tcBorders/>
            <w:shd w:fill="CCEEFF" w:val="clear"/>
            <w:vAlign w:val="bottom"/>
          </w:tcPr>
          <w:p>
            <w:pPr>
              <w:pStyle w:val="TableContents"/>
              <w:bidi w:val="0"/>
              <w:spacing w:before="0" w:after="283"/>
              <w:jc w:val="left"/>
              <w:rPr/>
            </w:pPr>
            <w:r>
              <w:rPr/>
              <w:t>)</w:t>
            </w:r>
          </w:p>
        </w:tc>
        <w:tc>
          <w:tcPr>
            <w:tcW w:w="63" w:type="dxa"/>
            <w:tcBorders/>
            <w:shd w:fill="CCEEFF" w:val="clear"/>
            <w:vAlign w:val="bottom"/>
          </w:tcPr>
          <w:p>
            <w:pPr>
              <w:pStyle w:val="TableContents"/>
              <w:bidi w:val="0"/>
              <w:spacing w:before="0" w:after="283"/>
              <w:jc w:val="right"/>
              <w:rPr/>
            </w:pPr>
            <w:r>
              <w:rPr/>
              <w:t> </w:t>
            </w:r>
          </w:p>
        </w:tc>
        <w:tc>
          <w:tcPr>
            <w:tcW w:w="13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13" w:type="dxa"/>
            <w:tcBorders>
              <w:bottom w:val="single" w:sz="12" w:space="0" w:color="000000"/>
            </w:tcBorders>
            <w:shd w:fill="CCEEFF" w:val="clear"/>
            <w:tcMar>
              <w:bottom w:w="28" w:type="dxa"/>
            </w:tcMar>
            <w:vAlign w:val="bottom"/>
          </w:tcPr>
          <w:p>
            <w:pPr>
              <w:pStyle w:val="TableContents"/>
              <w:bidi w:val="0"/>
              <w:spacing w:before="0" w:after="283"/>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bottom"/>
          </w:tcPr>
          <w:p>
            <w:pPr>
              <w:pStyle w:val="TableContents"/>
              <w:bidi w:val="0"/>
              <w:spacing w:before="0" w:after="283"/>
              <w:jc w:val="right"/>
              <w:rPr/>
            </w:pPr>
            <w:r>
              <w:rPr/>
              <w:t>(2,815</w:t>
            </w:r>
          </w:p>
        </w:tc>
        <w:tc>
          <w:tcPr>
            <w:tcW w:w="95" w:type="dxa"/>
            <w:tcBorders/>
            <w:shd w:fill="CCEEFF" w:val="clear"/>
            <w:vAlign w:val="bottom"/>
          </w:tcPr>
          <w:p>
            <w:pPr>
              <w:pStyle w:val="TableContents"/>
              <w:bidi w:val="0"/>
              <w:spacing w:before="0" w:after="283"/>
              <w:jc w:val="left"/>
              <w:rPr/>
            </w:pPr>
            <w:r>
              <w:rPr/>
              <w:t>)</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bottom"/>
          </w:tcPr>
          <w:p>
            <w:pPr>
              <w:pStyle w:val="TableContents"/>
              <w:bidi w:val="0"/>
              <w:spacing w:before="0" w:after="283"/>
              <w:jc w:val="right"/>
              <w:rPr/>
            </w:pPr>
            <w:r>
              <w:rPr/>
              <w:t>-</w:t>
            </w:r>
          </w:p>
        </w:tc>
        <w:tc>
          <w:tcPr>
            <w:tcW w:w="257" w:type="dxa"/>
            <w:tcBorders/>
            <w:shd w:fill="CCEEFF" w:val="clear"/>
            <w:vAlign w:val="bottom"/>
          </w:tcPr>
          <w:p>
            <w:pPr>
              <w:pStyle w:val="TableContents"/>
              <w:bidi w:val="0"/>
              <w:spacing w:before="0" w:after="283"/>
              <w:ind w:left="0" w:right="0" w:firstLine="180"/>
              <w:jc w:val="left"/>
              <w:rPr/>
            </w:pPr>
            <w:r>
              <w:rPr/>
              <w:t> </w:t>
            </w:r>
          </w:p>
        </w:tc>
      </w:tr>
      <w:tr>
        <w:trPr/>
        <w:tc>
          <w:tcPr>
            <w:tcW w:w="4957" w:type="dxa"/>
            <w:tcBorders/>
            <w:vAlign w:val="bottom"/>
          </w:tcPr>
          <w:p>
            <w:pPr>
              <w:pStyle w:val="TableContents"/>
              <w:bidi w:val="0"/>
              <w:spacing w:before="0" w:after="0"/>
              <w:ind w:left="288" w:right="0" w:hanging="144"/>
              <w:jc w:val="left"/>
              <w:rPr/>
            </w:pPr>
            <w:r>
              <w:rPr/>
              <w:t xml:space="preserve">Total other loss </w:t>
            </w:r>
          </w:p>
        </w:tc>
        <w:tc>
          <w:tcPr>
            <w:tcW w:w="60" w:type="dxa"/>
            <w:tcBorders/>
            <w:vAlign w:val="bottom"/>
          </w:tcPr>
          <w:p>
            <w:pPr>
              <w:pStyle w:val="TableContents"/>
              <w:bidi w:val="0"/>
              <w:spacing w:before="0" w:after="283"/>
              <w:jc w:val="right"/>
              <w:rPr/>
            </w:pPr>
            <w:r>
              <w:rPr/>
              <w:t> </w:t>
            </w:r>
          </w:p>
        </w:tc>
        <w:tc>
          <w:tcPr>
            <w:tcW w:w="149" w:type="dxa"/>
            <w:tcBorders>
              <w:bottom w:val="single" w:sz="12" w:space="0" w:color="000000"/>
            </w:tcBorders>
            <w:tcMar>
              <w:bottom w:w="28" w:type="dxa"/>
            </w:tcMar>
            <w:vAlign w:val="bottom"/>
          </w:tcPr>
          <w:p>
            <w:pPr>
              <w:pStyle w:val="TableContents"/>
              <w:bidi w:val="0"/>
              <w:spacing w:before="0" w:after="283"/>
              <w:jc w:val="left"/>
              <w:rPr/>
            </w:pPr>
            <w:r>
              <w:rPr/>
              <w:t> </w:t>
            </w:r>
          </w:p>
        </w:tc>
        <w:tc>
          <w:tcPr>
            <w:tcW w:w="1013" w:type="dxa"/>
            <w:tcBorders>
              <w:bottom w:val="single" w:sz="12" w:space="0" w:color="000000"/>
            </w:tcBorders>
            <w:tcMar>
              <w:bottom w:w="28" w:type="dxa"/>
            </w:tcMar>
            <w:vAlign w:val="bottom"/>
          </w:tcPr>
          <w:p>
            <w:pPr>
              <w:pStyle w:val="TableContents"/>
              <w:bidi w:val="0"/>
              <w:spacing w:before="0" w:after="283"/>
              <w:jc w:val="right"/>
              <w:rPr/>
            </w:pPr>
            <w:r>
              <w:rPr/>
              <w:t>(4,231</w:t>
            </w:r>
          </w:p>
        </w:tc>
        <w:tc>
          <w:tcPr>
            <w:tcW w:w="101" w:type="dxa"/>
            <w:tcBorders/>
            <w:vAlign w:val="bottom"/>
          </w:tcPr>
          <w:p>
            <w:pPr>
              <w:pStyle w:val="TableContents"/>
              <w:bidi w:val="0"/>
              <w:spacing w:before="0" w:after="283"/>
              <w:jc w:val="left"/>
              <w:rPr/>
            </w:pPr>
            <w:r>
              <w:rPr/>
              <w:t>)</w:t>
            </w:r>
          </w:p>
        </w:tc>
        <w:tc>
          <w:tcPr>
            <w:tcW w:w="63" w:type="dxa"/>
            <w:tcBorders/>
            <w:vAlign w:val="bottom"/>
          </w:tcPr>
          <w:p>
            <w:pPr>
              <w:pStyle w:val="TableContents"/>
              <w:bidi w:val="0"/>
              <w:spacing w:before="0" w:after="283"/>
              <w:jc w:val="right"/>
              <w:rPr/>
            </w:pPr>
            <w:r>
              <w:rPr/>
              <w:t> </w:t>
            </w:r>
          </w:p>
        </w:tc>
        <w:tc>
          <w:tcPr>
            <w:tcW w:w="132" w:type="dxa"/>
            <w:tcBorders>
              <w:bottom w:val="single" w:sz="12" w:space="0" w:color="000000"/>
            </w:tcBorders>
            <w:tcMar>
              <w:bottom w:w="28" w:type="dxa"/>
            </w:tcMar>
            <w:vAlign w:val="bottom"/>
          </w:tcPr>
          <w:p>
            <w:pPr>
              <w:pStyle w:val="TableContents"/>
              <w:bidi w:val="0"/>
              <w:spacing w:before="0" w:after="283"/>
              <w:jc w:val="left"/>
              <w:rPr/>
            </w:pPr>
            <w:r>
              <w:rPr/>
              <w:t> </w:t>
            </w:r>
          </w:p>
        </w:tc>
        <w:tc>
          <w:tcPr>
            <w:tcW w:w="1013" w:type="dxa"/>
            <w:tcBorders>
              <w:bottom w:val="single" w:sz="12" w:space="0" w:color="000000"/>
            </w:tcBorders>
            <w:tcMar>
              <w:bottom w:w="28" w:type="dxa"/>
            </w:tcMar>
            <w:vAlign w:val="bottom"/>
          </w:tcPr>
          <w:p>
            <w:pPr>
              <w:pStyle w:val="TableContents"/>
              <w:bidi w:val="0"/>
              <w:spacing w:before="0" w:after="283"/>
              <w:jc w:val="right"/>
              <w:rPr/>
            </w:pPr>
            <w:r>
              <w:rPr/>
              <w:t>(5,585</w:t>
            </w:r>
          </w:p>
        </w:tc>
        <w:tc>
          <w:tcPr>
            <w:tcW w:w="95" w:type="dxa"/>
            <w:tcBorders/>
            <w:vAlign w:val="bottom"/>
          </w:tcPr>
          <w:p>
            <w:pPr>
              <w:pStyle w:val="TableContents"/>
              <w:bidi w:val="0"/>
              <w:spacing w:before="0" w:after="283"/>
              <w:jc w:val="left"/>
              <w:rPr/>
            </w:pPr>
            <w:r>
              <w:rPr/>
              <w:t>)</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tcMar>
              <w:bottom w:w="28" w:type="dxa"/>
            </w:tcMar>
            <w:vAlign w:val="bottom"/>
          </w:tcPr>
          <w:p>
            <w:pPr>
              <w:pStyle w:val="TableContents"/>
              <w:bidi w:val="0"/>
              <w:spacing w:before="0" w:after="283"/>
              <w:jc w:val="right"/>
              <w:rPr/>
            </w:pPr>
            <w:r>
              <w:rPr/>
              <w:t>(11,977</w:t>
            </w:r>
          </w:p>
        </w:tc>
        <w:tc>
          <w:tcPr>
            <w:tcW w:w="95" w:type="dxa"/>
            <w:tcBorders/>
            <w:vAlign w:val="bottom"/>
          </w:tcPr>
          <w:p>
            <w:pPr>
              <w:pStyle w:val="TableContents"/>
              <w:bidi w:val="0"/>
              <w:spacing w:before="0" w:after="283"/>
              <w:jc w:val="left"/>
              <w:rPr/>
            </w:pPr>
            <w:r>
              <w:rPr/>
              <w:t>)</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tcMar>
              <w:bottom w:w="28" w:type="dxa"/>
            </w:tcMar>
            <w:vAlign w:val="bottom"/>
          </w:tcPr>
          <w:p>
            <w:pPr>
              <w:pStyle w:val="TableContents"/>
              <w:bidi w:val="0"/>
              <w:spacing w:before="0" w:after="283"/>
              <w:jc w:val="right"/>
              <w:rPr/>
            </w:pPr>
            <w:r>
              <w:rPr/>
              <w:t>(19,229</w:t>
            </w:r>
          </w:p>
        </w:tc>
        <w:tc>
          <w:tcPr>
            <w:tcW w:w="257" w:type="dxa"/>
            <w:tcBorders/>
            <w:vAlign w:val="bottom"/>
          </w:tcPr>
          <w:p>
            <w:pPr>
              <w:pStyle w:val="TableContents"/>
              <w:bidi w:val="0"/>
              <w:spacing w:before="0" w:after="283"/>
              <w:jc w:val="left"/>
              <w:rPr/>
            </w:pPr>
            <w:r>
              <w:rPr/>
              <w:t>)</w:t>
            </w:r>
          </w:p>
        </w:tc>
      </w:tr>
      <w:tr>
        <w:trPr/>
        <w:tc>
          <w:tcPr>
            <w:tcW w:w="4957" w:type="dxa"/>
            <w:tcBorders/>
            <w:shd w:fill="CCEEFF" w:val="clear"/>
            <w:vAlign w:val="bottom"/>
          </w:tcPr>
          <w:p>
            <w:pPr>
              <w:pStyle w:val="TableContents"/>
              <w:bidi w:val="0"/>
              <w:spacing w:before="0" w:after="0"/>
              <w:ind w:left="288" w:right="0" w:hanging="144"/>
              <w:jc w:val="left"/>
              <w:rPr>
                <w:rFonts w:ascii="Times New Roman" w:hAnsi="Times New Roman"/>
                <w:b/>
                <w:sz w:val="20"/>
              </w:rPr>
            </w:pPr>
            <w:r>
              <w:rPr>
                <w:rFonts w:ascii="Times New Roman" w:hAnsi="Times New Roman"/>
                <w:b/>
                <w:sz w:val="20"/>
              </w:rPr>
              <w:t>Total Income</w:t>
            </w:r>
          </w:p>
        </w:tc>
        <w:tc>
          <w:tcPr>
            <w:tcW w:w="60" w:type="dxa"/>
            <w:tcBorders/>
            <w:shd w:fill="CCEEFF" w:val="clear"/>
            <w:vAlign w:val="bottom"/>
          </w:tcPr>
          <w:p>
            <w:pPr>
              <w:pStyle w:val="TableContents"/>
              <w:bidi w:val="0"/>
              <w:spacing w:before="0" w:after="283"/>
              <w:jc w:val="right"/>
              <w:rPr/>
            </w:pPr>
            <w:r>
              <w:rPr/>
              <w:t> </w:t>
            </w:r>
          </w:p>
        </w:tc>
        <w:tc>
          <w:tcPr>
            <w:tcW w:w="149" w:type="dxa"/>
            <w:tcBorders/>
            <w:shd w:fill="CCEEFF" w:val="clear"/>
            <w:vAlign w:val="bottom"/>
          </w:tcPr>
          <w:p>
            <w:pPr>
              <w:pStyle w:val="TableContents"/>
              <w:bidi w:val="0"/>
              <w:spacing w:before="0" w:after="283"/>
              <w:jc w:val="left"/>
              <w:rPr/>
            </w:pPr>
            <w:r>
              <w:rPr/>
              <w:t> </w:t>
            </w:r>
          </w:p>
        </w:tc>
        <w:tc>
          <w:tcPr>
            <w:tcW w:w="1013"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7,878</w:t>
            </w:r>
          </w:p>
        </w:tc>
        <w:tc>
          <w:tcPr>
            <w:tcW w:w="101"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right"/>
              <w:rPr/>
            </w:pPr>
            <w:r>
              <w:rPr/>
              <w:t> </w:t>
            </w:r>
          </w:p>
        </w:tc>
        <w:tc>
          <w:tcPr>
            <w:tcW w:w="132" w:type="dxa"/>
            <w:tcBorders/>
            <w:shd w:fill="CCEEFF" w:val="clear"/>
            <w:vAlign w:val="bottom"/>
          </w:tcPr>
          <w:p>
            <w:pPr>
              <w:pStyle w:val="TableContents"/>
              <w:bidi w:val="0"/>
              <w:spacing w:before="0" w:after="283"/>
              <w:jc w:val="left"/>
              <w:rPr/>
            </w:pPr>
            <w:r>
              <w:rPr/>
              <w:t> </w:t>
            </w:r>
          </w:p>
        </w:tc>
        <w:tc>
          <w:tcPr>
            <w:tcW w:w="1013"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6,037</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12,518</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2,987</w:t>
            </w:r>
          </w:p>
        </w:tc>
        <w:tc>
          <w:tcPr>
            <w:tcW w:w="257" w:type="dxa"/>
            <w:tcBorders/>
            <w:shd w:fill="CCEEFF" w:val="clear"/>
            <w:vAlign w:val="bottom"/>
          </w:tcPr>
          <w:p>
            <w:pPr>
              <w:pStyle w:val="TableContents"/>
              <w:bidi w:val="0"/>
              <w:spacing w:before="0" w:after="283"/>
              <w:jc w:val="left"/>
              <w:rPr/>
            </w:pPr>
            <w:r>
              <w:rPr/>
              <w:t> </w:t>
            </w:r>
          </w:p>
        </w:tc>
      </w:tr>
      <w:tr>
        <w:trPr/>
        <w:tc>
          <w:tcPr>
            <w:tcW w:w="4957" w:type="dxa"/>
            <w:tcBorders/>
            <w:vAlign w:val="bottom"/>
          </w:tcPr>
          <w:p>
            <w:pPr>
              <w:pStyle w:val="TableContents"/>
              <w:bidi w:val="0"/>
              <w:spacing w:before="0" w:after="0"/>
              <w:ind w:left="144" w:right="0" w:hanging="144"/>
              <w:jc w:val="left"/>
              <w:rPr>
                <w:rFonts w:ascii="Times New Roman" w:hAnsi="Times New Roman"/>
                <w:b/>
                <w:sz w:val="20"/>
              </w:rPr>
            </w:pPr>
            <w:r>
              <w:rPr>
                <w:rFonts w:ascii="Times New Roman" w:hAnsi="Times New Roman"/>
                <w:b/>
                <w:sz w:val="20"/>
              </w:rPr>
              <w:t>Expenses</w:t>
            </w:r>
          </w:p>
        </w:tc>
        <w:tc>
          <w:tcPr>
            <w:tcW w:w="60" w:type="dxa"/>
            <w:tcBorders/>
            <w:vAlign w:val="bottom"/>
          </w:tcPr>
          <w:p>
            <w:pPr>
              <w:pStyle w:val="TableContents"/>
              <w:bidi w:val="0"/>
              <w:spacing w:before="0" w:after="283"/>
              <w:jc w:val="right"/>
              <w:rPr/>
            </w:pPr>
            <w:r>
              <w:rPr/>
              <w:t> </w:t>
            </w:r>
          </w:p>
        </w:tc>
        <w:tc>
          <w:tcPr>
            <w:tcW w:w="149" w:type="dxa"/>
            <w:tcBorders/>
            <w:vAlign w:val="bottom"/>
          </w:tcPr>
          <w:p>
            <w:pPr>
              <w:pStyle w:val="TableContents"/>
              <w:bidi w:val="0"/>
              <w:spacing w:before="0" w:after="283"/>
              <w:jc w:val="left"/>
              <w:rPr/>
            </w:pPr>
            <w:r>
              <w:rPr/>
              <w:t> </w:t>
            </w:r>
          </w:p>
        </w:tc>
        <w:tc>
          <w:tcPr>
            <w:tcW w:w="1013" w:type="dxa"/>
            <w:tcBorders/>
            <w:vAlign w:val="bottom"/>
          </w:tcPr>
          <w:p>
            <w:pPr>
              <w:pStyle w:val="TableContents"/>
              <w:bidi w:val="0"/>
              <w:spacing w:before="0" w:after="283"/>
              <w:jc w:val="right"/>
              <w:rPr/>
            </w:pPr>
            <w:r>
              <w:rPr/>
              <w:t> </w:t>
            </w:r>
          </w:p>
        </w:tc>
        <w:tc>
          <w:tcPr>
            <w:tcW w:w="101"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right"/>
              <w:rPr/>
            </w:pPr>
            <w:r>
              <w:rPr/>
              <w:t> </w:t>
            </w:r>
          </w:p>
        </w:tc>
        <w:tc>
          <w:tcPr>
            <w:tcW w:w="132" w:type="dxa"/>
            <w:tcBorders/>
            <w:vAlign w:val="bottom"/>
          </w:tcPr>
          <w:p>
            <w:pPr>
              <w:pStyle w:val="TableContents"/>
              <w:bidi w:val="0"/>
              <w:spacing w:before="0" w:after="283"/>
              <w:jc w:val="left"/>
              <w:rPr/>
            </w:pPr>
            <w:r>
              <w:rPr/>
              <w:t> </w:t>
            </w:r>
          </w:p>
        </w:tc>
        <w:tc>
          <w:tcPr>
            <w:tcW w:w="1013"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257" w:type="dxa"/>
            <w:tcBorders/>
            <w:vAlign w:val="bottom"/>
          </w:tcPr>
          <w:p>
            <w:pPr>
              <w:pStyle w:val="TableContents"/>
              <w:bidi w:val="0"/>
              <w:spacing w:before="0" w:after="283"/>
              <w:jc w:val="left"/>
              <w:rPr/>
            </w:pPr>
            <w:r>
              <w:rPr/>
              <w:t> </w:t>
            </w:r>
          </w:p>
        </w:tc>
      </w:tr>
      <w:tr>
        <w:trPr/>
        <w:tc>
          <w:tcPr>
            <w:tcW w:w="4957" w:type="dxa"/>
            <w:tcBorders/>
            <w:shd w:fill="CCEEFF" w:val="clear"/>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General and administrative expense</w:t>
            </w:r>
          </w:p>
        </w:tc>
        <w:tc>
          <w:tcPr>
            <w:tcW w:w="60" w:type="dxa"/>
            <w:tcBorders/>
            <w:shd w:fill="CCEEFF" w:val="clear"/>
            <w:vAlign w:val="bottom"/>
          </w:tcPr>
          <w:p>
            <w:pPr>
              <w:pStyle w:val="TableContents"/>
              <w:bidi w:val="0"/>
              <w:spacing w:before="0" w:after="283"/>
              <w:jc w:val="right"/>
              <w:rPr/>
            </w:pPr>
            <w:r>
              <w:rPr/>
              <w:t> </w:t>
            </w:r>
          </w:p>
        </w:tc>
        <w:tc>
          <w:tcPr>
            <w:tcW w:w="149" w:type="dxa"/>
            <w:tcBorders/>
            <w:shd w:fill="CCEEFF" w:val="clear"/>
            <w:vAlign w:val="bottom"/>
          </w:tcPr>
          <w:p>
            <w:pPr>
              <w:pStyle w:val="TableContents"/>
              <w:bidi w:val="0"/>
              <w:spacing w:before="0" w:after="283"/>
              <w:jc w:val="left"/>
              <w:rPr/>
            </w:pPr>
            <w:r>
              <w:rPr/>
              <w:t> </w:t>
            </w:r>
          </w:p>
        </w:tc>
        <w:tc>
          <w:tcPr>
            <w:tcW w:w="101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2,128</w:t>
            </w:r>
          </w:p>
        </w:tc>
        <w:tc>
          <w:tcPr>
            <w:tcW w:w="101"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right"/>
              <w:rPr/>
            </w:pPr>
            <w:r>
              <w:rPr/>
              <w:t> </w:t>
            </w:r>
          </w:p>
        </w:tc>
        <w:tc>
          <w:tcPr>
            <w:tcW w:w="132" w:type="dxa"/>
            <w:tcBorders/>
            <w:shd w:fill="CCEEFF" w:val="clear"/>
            <w:vAlign w:val="bottom"/>
          </w:tcPr>
          <w:p>
            <w:pPr>
              <w:pStyle w:val="TableContents"/>
              <w:bidi w:val="0"/>
              <w:spacing w:before="0" w:after="283"/>
              <w:jc w:val="left"/>
              <w:rPr/>
            </w:pPr>
            <w:r>
              <w:rPr/>
              <w:t> </w:t>
            </w:r>
          </w:p>
        </w:tc>
        <w:tc>
          <w:tcPr>
            <w:tcW w:w="101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1,947</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3,821</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4,006</w:t>
            </w:r>
          </w:p>
        </w:tc>
        <w:tc>
          <w:tcPr>
            <w:tcW w:w="257" w:type="dxa"/>
            <w:tcBorders/>
            <w:shd w:fill="CCEEFF" w:val="clear"/>
            <w:vAlign w:val="bottom"/>
          </w:tcPr>
          <w:p>
            <w:pPr>
              <w:pStyle w:val="TableContents"/>
              <w:bidi w:val="0"/>
              <w:spacing w:before="0" w:after="283"/>
              <w:jc w:val="left"/>
              <w:rPr/>
            </w:pPr>
            <w:r>
              <w:rPr/>
              <w:t> </w:t>
            </w:r>
          </w:p>
        </w:tc>
      </w:tr>
      <w:tr>
        <w:trPr/>
        <w:tc>
          <w:tcPr>
            <w:tcW w:w="4957" w:type="dxa"/>
            <w:tcBorders/>
            <w:vAlign w:val="bottom"/>
          </w:tcPr>
          <w:p>
            <w:pPr>
              <w:pStyle w:val="TableContents"/>
              <w:bidi w:val="0"/>
              <w:spacing w:before="0" w:after="0"/>
              <w:ind w:left="180" w:right="0" w:hanging="0"/>
              <w:jc w:val="left"/>
              <w:rPr/>
            </w:pPr>
            <w:r>
              <w:rPr/>
              <w:t>Compensation and benefits</w:t>
            </w:r>
          </w:p>
        </w:tc>
        <w:tc>
          <w:tcPr>
            <w:tcW w:w="60" w:type="dxa"/>
            <w:tcBorders/>
            <w:vAlign w:val="bottom"/>
          </w:tcPr>
          <w:p>
            <w:pPr>
              <w:pStyle w:val="TableContents"/>
              <w:bidi w:val="0"/>
              <w:spacing w:before="0" w:after="283"/>
              <w:jc w:val="right"/>
              <w:rPr/>
            </w:pPr>
            <w:r>
              <w:rPr/>
              <w:t> </w:t>
            </w:r>
          </w:p>
        </w:tc>
        <w:tc>
          <w:tcPr>
            <w:tcW w:w="149" w:type="dxa"/>
            <w:tcBorders>
              <w:bottom w:val="single" w:sz="12" w:space="0" w:color="000000"/>
            </w:tcBorders>
            <w:tcMar>
              <w:bottom w:w="28" w:type="dxa"/>
            </w:tcMar>
            <w:vAlign w:val="bottom"/>
          </w:tcPr>
          <w:p>
            <w:pPr>
              <w:pStyle w:val="TableContents"/>
              <w:bidi w:val="0"/>
              <w:spacing w:before="0" w:after="283"/>
              <w:jc w:val="left"/>
              <w:rPr/>
            </w:pPr>
            <w:r>
              <w:rPr/>
              <w:t> </w:t>
            </w:r>
          </w:p>
        </w:tc>
        <w:tc>
          <w:tcPr>
            <w:tcW w:w="1013" w:type="dxa"/>
            <w:tcBorders>
              <w:bottom w:val="single" w:sz="12" w:space="0" w:color="000000"/>
            </w:tcBorders>
            <w:tcMar>
              <w:bottom w:w="28" w:type="dxa"/>
            </w:tcMar>
            <w:vAlign w:val="bottom"/>
          </w:tcPr>
          <w:p>
            <w:pPr>
              <w:pStyle w:val="TableContents"/>
              <w:bidi w:val="0"/>
              <w:spacing w:before="0" w:after="283"/>
              <w:jc w:val="right"/>
              <w:rPr/>
            </w:pPr>
            <w:r>
              <w:rPr/>
              <w:t>1,889</w:t>
            </w:r>
          </w:p>
        </w:tc>
        <w:tc>
          <w:tcPr>
            <w:tcW w:w="101"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right"/>
              <w:rPr/>
            </w:pPr>
            <w:r>
              <w:rPr/>
              <w:t> </w:t>
            </w:r>
          </w:p>
        </w:tc>
        <w:tc>
          <w:tcPr>
            <w:tcW w:w="132" w:type="dxa"/>
            <w:tcBorders>
              <w:bottom w:val="single" w:sz="12" w:space="0" w:color="000000"/>
            </w:tcBorders>
            <w:tcMar>
              <w:bottom w:w="28" w:type="dxa"/>
            </w:tcMar>
            <w:vAlign w:val="bottom"/>
          </w:tcPr>
          <w:p>
            <w:pPr>
              <w:pStyle w:val="TableContents"/>
              <w:bidi w:val="0"/>
              <w:spacing w:before="0" w:after="283"/>
              <w:jc w:val="left"/>
              <w:rPr/>
            </w:pPr>
            <w:r>
              <w:rPr/>
              <w:t> </w:t>
            </w:r>
          </w:p>
        </w:tc>
        <w:tc>
          <w:tcPr>
            <w:tcW w:w="1013" w:type="dxa"/>
            <w:tcBorders>
              <w:bottom w:val="single" w:sz="12" w:space="0" w:color="000000"/>
            </w:tcBorders>
            <w:tcMar>
              <w:bottom w:w="28" w:type="dxa"/>
            </w:tcMar>
            <w:vAlign w:val="bottom"/>
          </w:tcPr>
          <w:p>
            <w:pPr>
              <w:pStyle w:val="TableContents"/>
              <w:bidi w:val="0"/>
              <w:spacing w:before="0" w:after="283"/>
              <w:jc w:val="right"/>
              <w:rPr/>
            </w:pPr>
            <w:r>
              <w:rPr/>
              <w:t>1,408</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tcMar>
              <w:bottom w:w="28" w:type="dxa"/>
            </w:tcMar>
            <w:vAlign w:val="bottom"/>
          </w:tcPr>
          <w:p>
            <w:pPr>
              <w:pStyle w:val="TableContents"/>
              <w:bidi w:val="0"/>
              <w:spacing w:before="0" w:after="283"/>
              <w:jc w:val="right"/>
              <w:rPr/>
            </w:pPr>
            <w:r>
              <w:rPr/>
              <w:t>3,468</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tcMar>
              <w:bottom w:w="28" w:type="dxa"/>
            </w:tcMar>
            <w:vAlign w:val="bottom"/>
          </w:tcPr>
          <w:p>
            <w:pPr>
              <w:pStyle w:val="TableContents"/>
              <w:bidi w:val="0"/>
              <w:spacing w:before="0" w:after="283"/>
              <w:jc w:val="right"/>
              <w:rPr/>
            </w:pPr>
            <w:r>
              <w:rPr/>
              <w:t>3,118</w:t>
            </w:r>
          </w:p>
        </w:tc>
        <w:tc>
          <w:tcPr>
            <w:tcW w:w="257" w:type="dxa"/>
            <w:tcBorders/>
            <w:vAlign w:val="bottom"/>
          </w:tcPr>
          <w:p>
            <w:pPr>
              <w:pStyle w:val="TableContents"/>
              <w:bidi w:val="0"/>
              <w:spacing w:before="0" w:after="283"/>
              <w:jc w:val="left"/>
              <w:rPr/>
            </w:pPr>
            <w:r>
              <w:rPr/>
              <w:t> </w:t>
            </w:r>
          </w:p>
        </w:tc>
      </w:tr>
      <w:tr>
        <w:trPr/>
        <w:tc>
          <w:tcPr>
            <w:tcW w:w="4957" w:type="dxa"/>
            <w:tcBorders/>
            <w:shd w:fill="CCEEFF" w:val="clear"/>
            <w:vAlign w:val="bottom"/>
          </w:tcPr>
          <w:p>
            <w:pPr>
              <w:pStyle w:val="TableContents"/>
              <w:bidi w:val="0"/>
              <w:spacing w:before="0" w:after="0"/>
              <w:ind w:left="288" w:right="0" w:hanging="144"/>
              <w:jc w:val="left"/>
              <w:rPr>
                <w:rFonts w:ascii="Times New Roman" w:hAnsi="Times New Roman"/>
                <w:b/>
                <w:sz w:val="20"/>
              </w:rPr>
            </w:pPr>
            <w:r>
              <w:rPr>
                <w:rFonts w:ascii="Times New Roman" w:hAnsi="Times New Roman"/>
                <w:b/>
                <w:sz w:val="20"/>
              </w:rPr>
              <w:t>Total Expenses</w:t>
            </w:r>
          </w:p>
        </w:tc>
        <w:tc>
          <w:tcPr>
            <w:tcW w:w="60" w:type="dxa"/>
            <w:tcBorders/>
            <w:shd w:fill="CCEEFF" w:val="clear"/>
            <w:vAlign w:val="bottom"/>
          </w:tcPr>
          <w:p>
            <w:pPr>
              <w:pStyle w:val="TableContents"/>
              <w:bidi w:val="0"/>
              <w:spacing w:before="0" w:after="283"/>
              <w:jc w:val="right"/>
              <w:rPr/>
            </w:pPr>
            <w:r>
              <w:rPr/>
              <w:t> </w:t>
            </w:r>
          </w:p>
        </w:tc>
        <w:tc>
          <w:tcPr>
            <w:tcW w:w="14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1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4,017</w:t>
            </w:r>
          </w:p>
        </w:tc>
        <w:tc>
          <w:tcPr>
            <w:tcW w:w="101"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right"/>
              <w:rPr/>
            </w:pPr>
            <w:r>
              <w:rPr/>
              <w:t> </w:t>
            </w:r>
          </w:p>
        </w:tc>
        <w:tc>
          <w:tcPr>
            <w:tcW w:w="13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1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3,355</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7,289</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7,124</w:t>
            </w:r>
          </w:p>
        </w:tc>
        <w:tc>
          <w:tcPr>
            <w:tcW w:w="257" w:type="dxa"/>
            <w:tcBorders/>
            <w:shd w:fill="CCEEFF" w:val="clear"/>
            <w:vAlign w:val="bottom"/>
          </w:tcPr>
          <w:p>
            <w:pPr>
              <w:pStyle w:val="TableContents"/>
              <w:bidi w:val="0"/>
              <w:spacing w:before="0" w:after="283"/>
              <w:jc w:val="left"/>
              <w:rPr/>
            </w:pPr>
            <w:r>
              <w:rPr/>
              <w:t> </w:t>
            </w:r>
          </w:p>
        </w:tc>
      </w:tr>
      <w:tr>
        <w:trPr/>
        <w:tc>
          <w:tcPr>
            <w:tcW w:w="4957" w:type="dxa"/>
            <w:tcBorders/>
            <w:vAlign w:val="bottom"/>
          </w:tcPr>
          <w:p>
            <w:pPr>
              <w:pStyle w:val="TableContents"/>
              <w:bidi w:val="0"/>
              <w:spacing w:before="0" w:after="0"/>
              <w:ind w:left="144" w:right="0" w:hanging="144"/>
              <w:jc w:val="left"/>
              <w:rPr>
                <w:rFonts w:ascii="Times New Roman" w:hAnsi="Times New Roman"/>
                <w:b/>
                <w:sz w:val="20"/>
              </w:rPr>
            </w:pPr>
            <w:r>
              <w:rPr>
                <w:rFonts w:ascii="Times New Roman" w:hAnsi="Times New Roman"/>
                <w:b/>
                <w:sz w:val="20"/>
              </w:rPr>
              <w:t>Income (Loss) Before Income Taxes</w:t>
            </w:r>
          </w:p>
        </w:tc>
        <w:tc>
          <w:tcPr>
            <w:tcW w:w="60" w:type="dxa"/>
            <w:tcBorders/>
            <w:vAlign w:val="bottom"/>
          </w:tcPr>
          <w:p>
            <w:pPr>
              <w:pStyle w:val="TableContents"/>
              <w:bidi w:val="0"/>
              <w:spacing w:before="0" w:after="283"/>
              <w:jc w:val="right"/>
              <w:rPr/>
            </w:pPr>
            <w:r>
              <w:rPr/>
              <w:t> </w:t>
            </w:r>
          </w:p>
        </w:tc>
        <w:tc>
          <w:tcPr>
            <w:tcW w:w="149" w:type="dxa"/>
            <w:tcBorders/>
            <w:vAlign w:val="bottom"/>
          </w:tcPr>
          <w:p>
            <w:pPr>
              <w:pStyle w:val="TableContents"/>
              <w:bidi w:val="0"/>
              <w:spacing w:before="0" w:after="283"/>
              <w:jc w:val="left"/>
              <w:rPr/>
            </w:pPr>
            <w:r>
              <w:rPr/>
              <w:t> </w:t>
            </w:r>
          </w:p>
        </w:tc>
        <w:tc>
          <w:tcPr>
            <w:tcW w:w="1013"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3,861</w:t>
            </w:r>
          </w:p>
        </w:tc>
        <w:tc>
          <w:tcPr>
            <w:tcW w:w="101"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right"/>
              <w:rPr/>
            </w:pPr>
            <w:r>
              <w:rPr/>
              <w:t> </w:t>
            </w:r>
          </w:p>
        </w:tc>
        <w:tc>
          <w:tcPr>
            <w:tcW w:w="132" w:type="dxa"/>
            <w:tcBorders/>
            <w:vAlign w:val="bottom"/>
          </w:tcPr>
          <w:p>
            <w:pPr>
              <w:pStyle w:val="TableContents"/>
              <w:bidi w:val="0"/>
              <w:spacing w:before="0" w:after="283"/>
              <w:jc w:val="left"/>
              <w:rPr/>
            </w:pPr>
            <w:r>
              <w:rPr/>
              <w:t> </w:t>
            </w:r>
          </w:p>
        </w:tc>
        <w:tc>
          <w:tcPr>
            <w:tcW w:w="1013"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2,682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5,229</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(4,137</w:t>
            </w:r>
          </w:p>
        </w:tc>
        <w:tc>
          <w:tcPr>
            <w:tcW w:w="257"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r>
      <w:tr>
        <w:trPr/>
        <w:tc>
          <w:tcPr>
            <w:tcW w:w="4957" w:type="dxa"/>
            <w:tcBorders/>
            <w:shd w:fill="CCEEFF" w:val="clear"/>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Provision for corporate business taxes</w:t>
            </w:r>
          </w:p>
        </w:tc>
        <w:tc>
          <w:tcPr>
            <w:tcW w:w="60" w:type="dxa"/>
            <w:tcBorders/>
            <w:shd w:fill="CCEEFF" w:val="clear"/>
            <w:vAlign w:val="bottom"/>
          </w:tcPr>
          <w:p>
            <w:pPr>
              <w:pStyle w:val="TableContents"/>
              <w:bidi w:val="0"/>
              <w:spacing w:before="0" w:after="283"/>
              <w:jc w:val="right"/>
              <w:rPr/>
            </w:pPr>
            <w:r>
              <w:rPr/>
              <w:t> </w:t>
            </w:r>
          </w:p>
        </w:tc>
        <w:tc>
          <w:tcPr>
            <w:tcW w:w="14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1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67</w:t>
            </w:r>
          </w:p>
        </w:tc>
        <w:tc>
          <w:tcPr>
            <w:tcW w:w="101"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right"/>
              <w:rPr/>
            </w:pPr>
            <w:r>
              <w:rPr/>
              <w:t> </w:t>
            </w:r>
          </w:p>
        </w:tc>
        <w:tc>
          <w:tcPr>
            <w:tcW w:w="13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1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1,121</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1,006</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1,294</w:t>
            </w:r>
          </w:p>
        </w:tc>
        <w:tc>
          <w:tcPr>
            <w:tcW w:w="257" w:type="dxa"/>
            <w:tcBorders/>
            <w:shd w:fill="CCEEFF" w:val="clear"/>
            <w:vAlign w:val="bottom"/>
          </w:tcPr>
          <w:p>
            <w:pPr>
              <w:pStyle w:val="TableContents"/>
              <w:bidi w:val="0"/>
              <w:spacing w:before="0" w:after="283"/>
              <w:jc w:val="left"/>
              <w:rPr/>
            </w:pPr>
            <w:r>
              <w:rPr/>
              <w:t> </w:t>
            </w:r>
          </w:p>
        </w:tc>
      </w:tr>
      <w:tr>
        <w:trPr/>
        <w:tc>
          <w:tcPr>
            <w:tcW w:w="4957" w:type="dxa"/>
            <w:tcBorders/>
            <w:vAlign w:val="bottom"/>
          </w:tcPr>
          <w:p>
            <w:pPr>
              <w:pStyle w:val="TableContents"/>
              <w:bidi w:val="0"/>
              <w:spacing w:before="0" w:after="0"/>
              <w:ind w:left="144" w:right="0" w:hanging="144"/>
              <w:jc w:val="left"/>
              <w:rPr>
                <w:rFonts w:ascii="Times New Roman" w:hAnsi="Times New Roman"/>
                <w:b/>
                <w:sz w:val="20"/>
              </w:rPr>
            </w:pPr>
            <w:r>
              <w:rPr>
                <w:rFonts w:ascii="Times New Roman" w:hAnsi="Times New Roman"/>
                <w:b/>
                <w:sz w:val="20"/>
              </w:rPr>
              <w:t>Net Income (Loss)</w:t>
            </w:r>
          </w:p>
        </w:tc>
        <w:tc>
          <w:tcPr>
            <w:tcW w:w="60" w:type="dxa"/>
            <w:tcBorders/>
            <w:vAlign w:val="bottom"/>
          </w:tcPr>
          <w:p>
            <w:pPr>
              <w:pStyle w:val="TableContents"/>
              <w:bidi w:val="0"/>
              <w:spacing w:before="0" w:after="283"/>
              <w:jc w:val="right"/>
              <w:rPr/>
            </w:pPr>
            <w:r>
              <w:rPr/>
              <w:t> </w:t>
            </w:r>
          </w:p>
        </w:tc>
        <w:tc>
          <w:tcPr>
            <w:tcW w:w="149" w:type="dxa"/>
            <w:tcBorders/>
            <w:vAlign w:val="bottom"/>
          </w:tcPr>
          <w:p>
            <w:pPr>
              <w:pStyle w:val="TableContents"/>
              <w:bidi w:val="0"/>
              <w:spacing w:before="0" w:after="283"/>
              <w:jc w:val="left"/>
              <w:rPr/>
            </w:pPr>
            <w:r>
              <w:rPr/>
              <w:t> </w:t>
            </w:r>
          </w:p>
        </w:tc>
        <w:tc>
          <w:tcPr>
            <w:tcW w:w="1013"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3,794</w:t>
            </w:r>
          </w:p>
        </w:tc>
        <w:tc>
          <w:tcPr>
            <w:tcW w:w="101"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right"/>
              <w:rPr/>
            </w:pPr>
            <w:r>
              <w:rPr/>
              <w:t> </w:t>
            </w:r>
          </w:p>
        </w:tc>
        <w:tc>
          <w:tcPr>
            <w:tcW w:w="132" w:type="dxa"/>
            <w:tcBorders/>
            <w:vAlign w:val="bottom"/>
          </w:tcPr>
          <w:p>
            <w:pPr>
              <w:pStyle w:val="TableContents"/>
              <w:bidi w:val="0"/>
              <w:spacing w:before="0" w:after="283"/>
              <w:jc w:val="left"/>
              <w:rPr/>
            </w:pPr>
            <w:r>
              <w:rPr/>
              <w:t> </w:t>
            </w:r>
          </w:p>
        </w:tc>
        <w:tc>
          <w:tcPr>
            <w:tcW w:w="1013"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1,561</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4,223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(5,431</w:t>
            </w:r>
          </w:p>
        </w:tc>
        <w:tc>
          <w:tcPr>
            <w:tcW w:w="257"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r>
      <w:tr>
        <w:trPr/>
        <w:tc>
          <w:tcPr>
            <w:tcW w:w="4957" w:type="dxa"/>
            <w:tcBorders/>
            <w:shd w:fill="CCEEFF" w:val="clear"/>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Net (income) loss allocated to noncontrolling interests in Operating Partnership</w:t>
            </w:r>
          </w:p>
        </w:tc>
        <w:tc>
          <w:tcPr>
            <w:tcW w:w="60" w:type="dxa"/>
            <w:tcBorders/>
            <w:shd w:fill="CCEEFF" w:val="clear"/>
            <w:vAlign w:val="bottom"/>
          </w:tcPr>
          <w:p>
            <w:pPr>
              <w:pStyle w:val="TableContents"/>
              <w:bidi w:val="0"/>
              <w:spacing w:before="0" w:after="283"/>
              <w:jc w:val="right"/>
              <w:rPr/>
            </w:pPr>
            <w:r>
              <w:rPr/>
              <w:t> </w:t>
            </w:r>
          </w:p>
        </w:tc>
        <w:tc>
          <w:tcPr>
            <w:tcW w:w="149" w:type="dxa"/>
            <w:tcBorders/>
            <w:shd w:fill="CCEEFF" w:val="clear"/>
            <w:vAlign w:val="bottom"/>
          </w:tcPr>
          <w:p>
            <w:pPr>
              <w:pStyle w:val="TableContents"/>
              <w:bidi w:val="0"/>
              <w:spacing w:before="0" w:after="283"/>
              <w:jc w:val="left"/>
              <w:rPr/>
            </w:pPr>
            <w:r>
              <w:rPr/>
              <w:t> </w:t>
            </w:r>
          </w:p>
        </w:tc>
        <w:tc>
          <w:tcPr>
            <w:tcW w:w="101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(55</w:t>
            </w:r>
          </w:p>
        </w:tc>
        <w:tc>
          <w:tcPr>
            <w:tcW w:w="10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3" w:type="dxa"/>
            <w:tcBorders/>
            <w:shd w:fill="CCEEFF" w:val="clear"/>
            <w:vAlign w:val="bottom"/>
          </w:tcPr>
          <w:p>
            <w:pPr>
              <w:pStyle w:val="TableContents"/>
              <w:bidi w:val="0"/>
              <w:spacing w:before="0" w:after="283"/>
              <w:jc w:val="right"/>
              <w:rPr/>
            </w:pPr>
            <w:r>
              <w:rPr/>
              <w:t> </w:t>
            </w:r>
          </w:p>
        </w:tc>
        <w:tc>
          <w:tcPr>
            <w:tcW w:w="132" w:type="dxa"/>
            <w:tcBorders/>
            <w:shd w:fill="CCEEFF" w:val="clear"/>
            <w:vAlign w:val="bottom"/>
          </w:tcPr>
          <w:p>
            <w:pPr>
              <w:pStyle w:val="TableContents"/>
              <w:bidi w:val="0"/>
              <w:spacing w:before="0" w:after="283"/>
              <w:jc w:val="left"/>
              <w:rPr/>
            </w:pPr>
            <w:r>
              <w:rPr/>
              <w:t> </w:t>
            </w:r>
          </w:p>
        </w:tc>
        <w:tc>
          <w:tcPr>
            <w:tcW w:w="101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(34</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(61</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99</w:t>
            </w:r>
          </w:p>
        </w:tc>
        <w:tc>
          <w:tcPr>
            <w:tcW w:w="257" w:type="dxa"/>
            <w:tcBorders/>
            <w:shd w:fill="CCEEFF" w:val="clear"/>
            <w:vAlign w:val="bottom"/>
          </w:tcPr>
          <w:p>
            <w:pPr>
              <w:pStyle w:val="TableContents"/>
              <w:bidi w:val="0"/>
              <w:spacing w:before="0" w:after="283"/>
              <w:jc w:val="left"/>
              <w:rPr/>
            </w:pPr>
            <w:r>
              <w:rPr/>
              <w:t> </w:t>
            </w:r>
          </w:p>
        </w:tc>
      </w:tr>
      <w:tr>
        <w:trPr/>
        <w:tc>
          <w:tcPr>
            <w:tcW w:w="4957" w:type="dxa"/>
            <w:tcBorders/>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Dividends on preferred stock</w:t>
            </w:r>
          </w:p>
        </w:tc>
        <w:tc>
          <w:tcPr>
            <w:tcW w:w="60" w:type="dxa"/>
            <w:tcBorders/>
            <w:vAlign w:val="bottom"/>
          </w:tcPr>
          <w:p>
            <w:pPr>
              <w:pStyle w:val="TableContents"/>
              <w:bidi w:val="0"/>
              <w:spacing w:before="0" w:after="283"/>
              <w:jc w:val="right"/>
              <w:rPr/>
            </w:pPr>
            <w:r>
              <w:rPr/>
              <w:t> </w:t>
            </w:r>
          </w:p>
        </w:tc>
        <w:tc>
          <w:tcPr>
            <w:tcW w:w="149" w:type="dxa"/>
            <w:tcBorders>
              <w:bottom w:val="single" w:sz="12" w:space="0" w:color="000000"/>
            </w:tcBorders>
            <w:tcMar>
              <w:bottom w:w="28" w:type="dxa"/>
            </w:tcMar>
            <w:vAlign w:val="bottom"/>
          </w:tcPr>
          <w:p>
            <w:pPr>
              <w:pStyle w:val="TableContents"/>
              <w:bidi w:val="0"/>
              <w:spacing w:before="0" w:after="283"/>
              <w:jc w:val="left"/>
              <w:rPr/>
            </w:pPr>
            <w:r>
              <w:rPr/>
              <w:t> </w:t>
            </w:r>
          </w:p>
        </w:tc>
        <w:tc>
          <w:tcPr>
            <w:tcW w:w="1013"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(2,403</w:t>
            </w:r>
          </w:p>
        </w:tc>
        <w:tc>
          <w:tcPr>
            <w:tcW w:w="10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3" w:type="dxa"/>
            <w:tcBorders/>
            <w:vAlign w:val="bottom"/>
          </w:tcPr>
          <w:p>
            <w:pPr>
              <w:pStyle w:val="TableContents"/>
              <w:bidi w:val="0"/>
              <w:spacing w:before="0" w:after="283"/>
              <w:jc w:val="right"/>
              <w:rPr/>
            </w:pPr>
            <w:r>
              <w:rPr/>
              <w:t> </w:t>
            </w:r>
          </w:p>
        </w:tc>
        <w:tc>
          <w:tcPr>
            <w:tcW w:w="132" w:type="dxa"/>
            <w:tcBorders>
              <w:bottom w:val="single" w:sz="12" w:space="0" w:color="000000"/>
            </w:tcBorders>
            <w:tcMar>
              <w:bottom w:w="28" w:type="dxa"/>
            </w:tcMar>
            <w:vAlign w:val="bottom"/>
          </w:tcPr>
          <w:p>
            <w:pPr>
              <w:pStyle w:val="TableContents"/>
              <w:bidi w:val="0"/>
              <w:spacing w:before="0" w:after="283"/>
              <w:jc w:val="left"/>
              <w:rPr/>
            </w:pPr>
            <w:r>
              <w:rPr/>
              <w:t> </w:t>
            </w:r>
          </w:p>
        </w:tc>
        <w:tc>
          <w:tcPr>
            <w:tcW w:w="1013"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(2,462</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(4,794</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(4,916</w:t>
            </w:r>
          </w:p>
        </w:tc>
        <w:tc>
          <w:tcPr>
            <w:tcW w:w="25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4957" w:type="dxa"/>
            <w:tcBorders/>
            <w:shd w:fill="CCEEFF" w:val="clear"/>
            <w:vAlign w:val="bottom"/>
          </w:tcPr>
          <w:p>
            <w:pPr>
              <w:pStyle w:val="TableContents"/>
              <w:bidi w:val="0"/>
              <w:spacing w:before="0" w:after="0"/>
              <w:ind w:left="144" w:right="0" w:hanging="144"/>
              <w:jc w:val="left"/>
              <w:rPr>
                <w:rFonts w:ascii="Times New Roman" w:hAnsi="Times New Roman"/>
                <w:b/>
                <w:sz w:val="20"/>
              </w:rPr>
            </w:pPr>
            <w:r>
              <w:rPr>
                <w:rFonts w:ascii="Times New Roman" w:hAnsi="Times New Roman"/>
                <w:b/>
                <w:sz w:val="20"/>
              </w:rPr>
              <w:t>Net Income (Loss) Applicable to Common Stockholders</w:t>
            </w:r>
          </w:p>
        </w:tc>
        <w:tc>
          <w:tcPr>
            <w:tcW w:w="60" w:type="dxa"/>
            <w:tcBorders/>
            <w:shd w:fill="CCEEFF" w:val="clear"/>
            <w:vAlign w:val="bottom"/>
          </w:tcPr>
          <w:p>
            <w:pPr>
              <w:pStyle w:val="TableContents"/>
              <w:bidi w:val="0"/>
              <w:spacing w:before="0" w:after="283"/>
              <w:jc w:val="right"/>
              <w:rPr/>
            </w:pPr>
            <w:r>
              <w:rPr/>
              <w:t> </w:t>
            </w:r>
          </w:p>
        </w:tc>
        <w:tc>
          <w:tcPr>
            <w:tcW w:w="149"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1013"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1,336</w:t>
            </w:r>
          </w:p>
        </w:tc>
        <w:tc>
          <w:tcPr>
            <w:tcW w:w="101"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right"/>
              <w:rPr/>
            </w:pPr>
            <w:r>
              <w:rPr/>
              <w:t> </w:t>
            </w:r>
          </w:p>
        </w:tc>
        <w:tc>
          <w:tcPr>
            <w:tcW w:w="132"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1013"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(935</w:t>
            </w:r>
          </w:p>
        </w:tc>
        <w:tc>
          <w:tcPr>
            <w:tcW w:w="9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950"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(632</w:t>
            </w:r>
          </w:p>
        </w:tc>
        <w:tc>
          <w:tcPr>
            <w:tcW w:w="9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950"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(10,248</w:t>
            </w:r>
          </w:p>
        </w:tc>
        <w:tc>
          <w:tcPr>
            <w:tcW w:w="257"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r>
      <w:tr>
        <w:trPr/>
        <w:tc>
          <w:tcPr>
            <w:tcW w:w="4957" w:type="dxa"/>
            <w:tcBorders/>
            <w:vAlign w:val="bottom"/>
          </w:tcPr>
          <w:p>
            <w:pPr>
              <w:pStyle w:val="TableContents"/>
              <w:bidi w:val="0"/>
              <w:spacing w:before="0" w:after="0"/>
              <w:ind w:left="144" w:right="0" w:hanging="144"/>
              <w:jc w:val="left"/>
              <w:rPr>
                <w:rFonts w:ascii="Times New Roman" w:hAnsi="Times New Roman"/>
                <w:b/>
                <w:sz w:val="20"/>
              </w:rPr>
            </w:pPr>
            <w:r>
              <w:rPr>
                <w:rFonts w:ascii="Times New Roman" w:hAnsi="Times New Roman"/>
                <w:b/>
                <w:sz w:val="20"/>
              </w:rPr>
              <w:t>Net Income (Loss) Per Share of Common Stock</w:t>
            </w:r>
          </w:p>
        </w:tc>
        <w:tc>
          <w:tcPr>
            <w:tcW w:w="60" w:type="dxa"/>
            <w:tcBorders/>
            <w:vAlign w:val="bottom"/>
          </w:tcPr>
          <w:p>
            <w:pPr>
              <w:pStyle w:val="TableContents"/>
              <w:bidi w:val="0"/>
              <w:spacing w:before="0" w:after="283"/>
              <w:jc w:val="right"/>
              <w:rPr/>
            </w:pPr>
            <w:r>
              <w:rPr/>
              <w:t> </w:t>
            </w:r>
          </w:p>
        </w:tc>
        <w:tc>
          <w:tcPr>
            <w:tcW w:w="149" w:type="dxa"/>
            <w:tcBorders/>
            <w:vAlign w:val="bottom"/>
          </w:tcPr>
          <w:p>
            <w:pPr>
              <w:pStyle w:val="TableContents"/>
              <w:bidi w:val="0"/>
              <w:spacing w:before="0" w:after="283"/>
              <w:jc w:val="left"/>
              <w:rPr/>
            </w:pPr>
            <w:r>
              <w:rPr/>
              <w:t> </w:t>
            </w:r>
          </w:p>
        </w:tc>
        <w:tc>
          <w:tcPr>
            <w:tcW w:w="1013" w:type="dxa"/>
            <w:tcBorders/>
            <w:vAlign w:val="bottom"/>
          </w:tcPr>
          <w:p>
            <w:pPr>
              <w:pStyle w:val="TableContents"/>
              <w:bidi w:val="0"/>
              <w:spacing w:before="0" w:after="283"/>
              <w:jc w:val="right"/>
              <w:rPr/>
            </w:pPr>
            <w:r>
              <w:rPr/>
              <w:t> </w:t>
            </w:r>
          </w:p>
        </w:tc>
        <w:tc>
          <w:tcPr>
            <w:tcW w:w="101"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right"/>
              <w:rPr/>
            </w:pPr>
            <w:r>
              <w:rPr/>
              <w:t> </w:t>
            </w:r>
          </w:p>
        </w:tc>
        <w:tc>
          <w:tcPr>
            <w:tcW w:w="132" w:type="dxa"/>
            <w:tcBorders/>
            <w:vAlign w:val="bottom"/>
          </w:tcPr>
          <w:p>
            <w:pPr>
              <w:pStyle w:val="TableContents"/>
              <w:bidi w:val="0"/>
              <w:spacing w:before="0" w:after="283"/>
              <w:jc w:val="left"/>
              <w:rPr/>
            </w:pPr>
            <w:r>
              <w:rPr/>
              <w:t> </w:t>
            </w:r>
          </w:p>
        </w:tc>
        <w:tc>
          <w:tcPr>
            <w:tcW w:w="1013"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257" w:type="dxa"/>
            <w:tcBorders/>
            <w:vAlign w:val="bottom"/>
          </w:tcPr>
          <w:p>
            <w:pPr>
              <w:pStyle w:val="TableContents"/>
              <w:bidi w:val="0"/>
              <w:spacing w:before="0" w:after="283"/>
              <w:jc w:val="left"/>
              <w:rPr/>
            </w:pPr>
            <w:r>
              <w:rPr/>
              <w:t> </w:t>
            </w:r>
          </w:p>
        </w:tc>
      </w:tr>
      <w:tr>
        <w:trPr/>
        <w:tc>
          <w:tcPr>
            <w:tcW w:w="4957" w:type="dxa"/>
            <w:tcBorders/>
            <w:shd w:fill="CCEEFF" w:val="clear"/>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Basic</w:t>
            </w:r>
          </w:p>
        </w:tc>
        <w:tc>
          <w:tcPr>
            <w:tcW w:w="60" w:type="dxa"/>
            <w:tcBorders/>
            <w:shd w:fill="CCEEFF" w:val="clear"/>
            <w:vAlign w:val="bottom"/>
          </w:tcPr>
          <w:p>
            <w:pPr>
              <w:pStyle w:val="TableContents"/>
              <w:bidi w:val="0"/>
              <w:spacing w:before="0" w:after="283"/>
              <w:jc w:val="right"/>
              <w:rPr/>
            </w:pPr>
            <w:r>
              <w:rPr/>
              <w:t> </w:t>
            </w:r>
          </w:p>
        </w:tc>
        <w:tc>
          <w:tcPr>
            <w:tcW w:w="149" w:type="dxa"/>
            <w:tcBorders/>
            <w:shd w:fill="CCEEFF" w:val="clear"/>
            <w:vAlign w:val="bottom"/>
          </w:tcPr>
          <w:p>
            <w:pPr>
              <w:pStyle w:val="TableContents"/>
              <w:bidi w:val="0"/>
              <w:spacing w:before="0" w:after="283"/>
              <w:jc w:val="left"/>
              <w:rPr/>
            </w:pPr>
            <w:r>
              <w:rPr/>
              <w:t>$</w:t>
            </w:r>
          </w:p>
        </w:tc>
        <w:tc>
          <w:tcPr>
            <w:tcW w:w="1013" w:type="dxa"/>
            <w:tcBorders/>
            <w:shd w:fill="CCEEFF" w:val="clear"/>
            <w:vAlign w:val="bottom"/>
          </w:tcPr>
          <w:p>
            <w:pPr>
              <w:pStyle w:val="TableContents"/>
              <w:bidi w:val="0"/>
              <w:spacing w:before="0" w:after="283"/>
              <w:jc w:val="right"/>
              <w:rPr/>
            </w:pPr>
            <w:r>
              <w:rPr/>
              <w:t>0.04</w:t>
            </w:r>
          </w:p>
        </w:tc>
        <w:tc>
          <w:tcPr>
            <w:tcW w:w="101"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right"/>
              <w:rPr/>
            </w:pPr>
            <w:r>
              <w:rPr/>
              <w:t> </w:t>
            </w:r>
          </w:p>
        </w:tc>
        <w:tc>
          <w:tcPr>
            <w:tcW w:w="13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1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(0.03</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(0.02</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(0.32</w:t>
            </w:r>
          </w:p>
        </w:tc>
        <w:tc>
          <w:tcPr>
            <w:tcW w:w="25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4957" w:type="dxa"/>
            <w:tcBorders/>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Diluted</w:t>
            </w:r>
          </w:p>
        </w:tc>
        <w:tc>
          <w:tcPr>
            <w:tcW w:w="60" w:type="dxa"/>
            <w:tcBorders/>
            <w:vAlign w:val="bottom"/>
          </w:tcPr>
          <w:p>
            <w:pPr>
              <w:pStyle w:val="TableContents"/>
              <w:bidi w:val="0"/>
              <w:spacing w:before="0" w:after="283"/>
              <w:jc w:val="right"/>
              <w:rPr/>
            </w:pPr>
            <w:r>
              <w:rPr/>
              <w:t> </w:t>
            </w:r>
          </w:p>
        </w:tc>
        <w:tc>
          <w:tcPr>
            <w:tcW w:w="149" w:type="dxa"/>
            <w:tcBorders/>
            <w:vAlign w:val="bottom"/>
          </w:tcPr>
          <w:p>
            <w:pPr>
              <w:pStyle w:val="TableContents"/>
              <w:bidi w:val="0"/>
              <w:spacing w:before="0" w:after="283"/>
              <w:jc w:val="left"/>
              <w:rPr/>
            </w:pPr>
            <w:r>
              <w:rPr/>
              <w:t>$</w:t>
            </w:r>
          </w:p>
        </w:tc>
        <w:tc>
          <w:tcPr>
            <w:tcW w:w="1013" w:type="dxa"/>
            <w:tcBorders/>
            <w:vAlign w:val="bottom"/>
          </w:tcPr>
          <w:p>
            <w:pPr>
              <w:pStyle w:val="TableContents"/>
              <w:bidi w:val="0"/>
              <w:spacing w:before="0" w:after="283"/>
              <w:jc w:val="right"/>
              <w:rPr/>
            </w:pPr>
            <w:r>
              <w:rPr/>
              <w:t>0.04</w:t>
            </w:r>
          </w:p>
        </w:tc>
        <w:tc>
          <w:tcPr>
            <w:tcW w:w="101"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right"/>
              <w:rPr/>
            </w:pPr>
            <w:r>
              <w:rPr/>
              <w:t> </w:t>
            </w:r>
          </w:p>
        </w:tc>
        <w:tc>
          <w:tcPr>
            <w:tcW w:w="13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1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(0.03</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(0.02</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(0.32</w:t>
            </w:r>
          </w:p>
        </w:tc>
        <w:tc>
          <w:tcPr>
            <w:tcW w:w="25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4957" w:type="dxa"/>
            <w:tcBorders/>
            <w:shd w:fill="CCEEFF" w:val="clear"/>
            <w:vAlign w:val="bottom"/>
          </w:tcPr>
          <w:p>
            <w:pPr>
              <w:pStyle w:val="TableContents"/>
              <w:bidi w:val="0"/>
              <w:spacing w:before="0" w:after="0"/>
              <w:ind w:left="144" w:right="0" w:hanging="144"/>
              <w:jc w:val="left"/>
              <w:rPr>
                <w:rFonts w:ascii="Times New Roman" w:hAnsi="Times New Roman"/>
                <w:b/>
                <w:sz w:val="20"/>
              </w:rPr>
            </w:pPr>
            <w:r>
              <w:rPr>
                <w:rFonts w:ascii="Times New Roman" w:hAnsi="Times New Roman"/>
                <w:b/>
                <w:sz w:val="20"/>
              </w:rPr>
              <w:t>Weighted Average Number of Shares of Common Stock Outstanding</w:t>
            </w:r>
          </w:p>
        </w:tc>
        <w:tc>
          <w:tcPr>
            <w:tcW w:w="60" w:type="dxa"/>
            <w:tcBorders/>
            <w:shd w:fill="CCEEFF" w:val="clear"/>
            <w:vAlign w:val="bottom"/>
          </w:tcPr>
          <w:p>
            <w:pPr>
              <w:pStyle w:val="TableContents"/>
              <w:bidi w:val="0"/>
              <w:spacing w:before="0" w:after="283"/>
              <w:jc w:val="right"/>
              <w:rPr/>
            </w:pPr>
            <w:r>
              <w:rPr/>
              <w:t> </w:t>
            </w:r>
          </w:p>
        </w:tc>
        <w:tc>
          <w:tcPr>
            <w:tcW w:w="149" w:type="dxa"/>
            <w:tcBorders/>
            <w:shd w:fill="CCEEFF" w:val="clear"/>
            <w:vAlign w:val="bottom"/>
          </w:tcPr>
          <w:p>
            <w:pPr>
              <w:pStyle w:val="TableContents"/>
              <w:bidi w:val="0"/>
              <w:spacing w:before="0" w:after="283"/>
              <w:jc w:val="left"/>
              <w:rPr/>
            </w:pPr>
            <w:r>
              <w:rPr/>
              <w:t> </w:t>
            </w:r>
          </w:p>
        </w:tc>
        <w:tc>
          <w:tcPr>
            <w:tcW w:w="1013" w:type="dxa"/>
            <w:tcBorders/>
            <w:shd w:fill="CCEEFF" w:val="clear"/>
            <w:vAlign w:val="bottom"/>
          </w:tcPr>
          <w:p>
            <w:pPr>
              <w:pStyle w:val="TableContents"/>
              <w:bidi w:val="0"/>
              <w:spacing w:before="0" w:after="283"/>
              <w:jc w:val="right"/>
              <w:rPr/>
            </w:pPr>
            <w:r>
              <w:rPr/>
              <w:t> </w:t>
            </w:r>
          </w:p>
        </w:tc>
        <w:tc>
          <w:tcPr>
            <w:tcW w:w="101"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right"/>
              <w:rPr/>
            </w:pPr>
            <w:r>
              <w:rPr/>
              <w:t> </w:t>
            </w:r>
          </w:p>
        </w:tc>
        <w:tc>
          <w:tcPr>
            <w:tcW w:w="132" w:type="dxa"/>
            <w:tcBorders/>
            <w:shd w:fill="CCEEFF" w:val="clear"/>
            <w:vAlign w:val="bottom"/>
          </w:tcPr>
          <w:p>
            <w:pPr>
              <w:pStyle w:val="TableContents"/>
              <w:bidi w:val="0"/>
              <w:spacing w:before="0" w:after="283"/>
              <w:jc w:val="left"/>
              <w:rPr/>
            </w:pPr>
            <w:r>
              <w:rPr/>
              <w:t> </w:t>
            </w:r>
          </w:p>
        </w:tc>
        <w:tc>
          <w:tcPr>
            <w:tcW w:w="1013"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 </w:t>
            </w:r>
          </w:p>
        </w:tc>
        <w:tc>
          <w:tcPr>
            <w:tcW w:w="257" w:type="dxa"/>
            <w:tcBorders/>
            <w:shd w:fill="CCEEFF" w:val="clear"/>
            <w:vAlign w:val="bottom"/>
          </w:tcPr>
          <w:p>
            <w:pPr>
              <w:pStyle w:val="TableContents"/>
              <w:bidi w:val="0"/>
              <w:spacing w:before="0" w:after="283"/>
              <w:jc w:val="left"/>
              <w:rPr/>
            </w:pPr>
            <w:r>
              <w:rPr/>
              <w:t> </w:t>
            </w:r>
          </w:p>
        </w:tc>
      </w:tr>
      <w:tr>
        <w:trPr/>
        <w:tc>
          <w:tcPr>
            <w:tcW w:w="4957" w:type="dxa"/>
            <w:tcBorders/>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Basic</w:t>
            </w:r>
          </w:p>
        </w:tc>
        <w:tc>
          <w:tcPr>
            <w:tcW w:w="60" w:type="dxa"/>
            <w:tcBorders/>
            <w:vAlign w:val="bottom"/>
          </w:tcPr>
          <w:p>
            <w:pPr>
              <w:pStyle w:val="TableContents"/>
              <w:bidi w:val="0"/>
              <w:spacing w:before="0" w:after="283"/>
              <w:jc w:val="right"/>
              <w:rPr/>
            </w:pPr>
            <w:r>
              <w:rPr/>
              <w:t> </w:t>
            </w:r>
          </w:p>
        </w:tc>
        <w:tc>
          <w:tcPr>
            <w:tcW w:w="149" w:type="dxa"/>
            <w:tcBorders/>
            <w:vAlign w:val="bottom"/>
          </w:tcPr>
          <w:p>
            <w:pPr>
              <w:pStyle w:val="TableContents"/>
              <w:bidi w:val="0"/>
              <w:spacing w:before="0" w:after="283"/>
              <w:jc w:val="left"/>
              <w:rPr/>
            </w:pPr>
            <w:r>
              <w:rPr/>
              <w:t> </w:t>
            </w:r>
          </w:p>
        </w:tc>
        <w:tc>
          <w:tcPr>
            <w:tcW w:w="101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36,605,698</w:t>
            </w:r>
          </w:p>
        </w:tc>
        <w:tc>
          <w:tcPr>
            <w:tcW w:w="101"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right"/>
              <w:rPr/>
            </w:pPr>
            <w:r>
              <w:rPr/>
              <w:t> </w:t>
            </w:r>
          </w:p>
        </w:tc>
        <w:tc>
          <w:tcPr>
            <w:tcW w:w="132" w:type="dxa"/>
            <w:tcBorders/>
            <w:vAlign w:val="bottom"/>
          </w:tcPr>
          <w:p>
            <w:pPr>
              <w:pStyle w:val="TableContents"/>
              <w:bidi w:val="0"/>
              <w:spacing w:before="0" w:after="283"/>
              <w:jc w:val="left"/>
              <w:rPr/>
            </w:pPr>
            <w:r>
              <w:rPr/>
              <w:t> </w:t>
            </w:r>
          </w:p>
        </w:tc>
        <w:tc>
          <w:tcPr>
            <w:tcW w:w="101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33,199,712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36,599,393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32,449,353</w:t>
            </w:r>
          </w:p>
        </w:tc>
        <w:tc>
          <w:tcPr>
            <w:tcW w:w="257" w:type="dxa"/>
            <w:tcBorders/>
            <w:vAlign w:val="bottom"/>
          </w:tcPr>
          <w:p>
            <w:pPr>
              <w:pStyle w:val="TableContents"/>
              <w:bidi w:val="0"/>
              <w:spacing w:before="0" w:after="283"/>
              <w:jc w:val="left"/>
              <w:rPr/>
            </w:pPr>
            <w:r>
              <w:rPr/>
              <w:t> </w:t>
            </w:r>
          </w:p>
        </w:tc>
      </w:tr>
      <w:tr>
        <w:trPr/>
        <w:tc>
          <w:tcPr>
            <w:tcW w:w="4957" w:type="dxa"/>
            <w:tcBorders/>
            <w:shd w:fill="CCEEFF" w:val="clear"/>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Diluted</w:t>
            </w:r>
          </w:p>
        </w:tc>
        <w:tc>
          <w:tcPr>
            <w:tcW w:w="60" w:type="dxa"/>
            <w:tcBorders/>
            <w:shd w:fill="CCEEFF" w:val="clear"/>
            <w:vAlign w:val="bottom"/>
          </w:tcPr>
          <w:p>
            <w:pPr>
              <w:pStyle w:val="TableContents"/>
              <w:bidi w:val="0"/>
              <w:spacing w:before="0" w:after="283"/>
              <w:jc w:val="right"/>
              <w:rPr/>
            </w:pPr>
            <w:r>
              <w:rPr/>
              <w:t> </w:t>
            </w:r>
          </w:p>
        </w:tc>
        <w:tc>
          <w:tcPr>
            <w:tcW w:w="149" w:type="dxa"/>
            <w:tcBorders/>
            <w:shd w:fill="CCEEFF" w:val="clear"/>
            <w:vAlign w:val="bottom"/>
          </w:tcPr>
          <w:p>
            <w:pPr>
              <w:pStyle w:val="TableContents"/>
              <w:bidi w:val="0"/>
              <w:spacing w:before="0" w:after="283"/>
              <w:jc w:val="left"/>
              <w:rPr/>
            </w:pPr>
            <w:r>
              <w:rPr/>
              <w:t> </w:t>
            </w:r>
          </w:p>
        </w:tc>
        <w:tc>
          <w:tcPr>
            <w:tcW w:w="101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36,739,399</w:t>
            </w:r>
          </w:p>
        </w:tc>
        <w:tc>
          <w:tcPr>
            <w:tcW w:w="101"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right"/>
              <w:rPr/>
            </w:pPr>
            <w:r>
              <w:rPr/>
              <w:t> </w:t>
            </w:r>
          </w:p>
        </w:tc>
        <w:tc>
          <w:tcPr>
            <w:tcW w:w="132" w:type="dxa"/>
            <w:tcBorders/>
            <w:shd w:fill="CCEEFF" w:val="clear"/>
            <w:vAlign w:val="bottom"/>
          </w:tcPr>
          <w:p>
            <w:pPr>
              <w:pStyle w:val="TableContents"/>
              <w:bidi w:val="0"/>
              <w:spacing w:before="0" w:after="283"/>
              <w:jc w:val="left"/>
              <w:rPr/>
            </w:pPr>
            <w:r>
              <w:rPr/>
              <w:t> </w:t>
            </w:r>
          </w:p>
        </w:tc>
        <w:tc>
          <w:tcPr>
            <w:tcW w:w="101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33,199,712</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36,599,393</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32,449,353</w:t>
            </w:r>
          </w:p>
        </w:tc>
        <w:tc>
          <w:tcPr>
            <w:tcW w:w="257"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See accompanying notes to consolidated financial statements.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6</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Cherry Hill Mortgage Investment Corporation and Subsidiaries</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 xml:space="preserve">Consolidated Statements of </w:t>
      </w:r>
      <w:bookmarkStart w:id="10" w:name="ComprehensiveIncomeLoss"/>
      <w:bookmarkEnd w:id="10"/>
      <w:r>
        <w:rPr>
          <w:rFonts w:ascii="Times New Roman" w:hAnsi="Times New Roman"/>
          <w:b/>
          <w:color w:val="000000"/>
          <w:sz w:val="20"/>
          <w:shd w:fill="FFFFFF" w:val="clear"/>
        </w:rPr>
        <w:t xml:space="preserve">Comprehensive </w:t>
      </w:r>
      <w:bookmarkStart w:id="11" w:name="IncomeL"/>
      <w:bookmarkEnd w:id="11"/>
      <w:r>
        <w:rPr>
          <w:rFonts w:ascii="Times New Roman" w:hAnsi="Times New Roman"/>
          <w:b/>
          <w:color w:val="000000"/>
          <w:sz w:val="20"/>
          <w:shd w:fill="FFFFFF" w:val="clear"/>
        </w:rPr>
        <w:t>Income (Loss)</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(Unaudited)</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(in thousands)</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5577"/>
        <w:gridCol w:w="60"/>
        <w:gridCol w:w="190"/>
        <w:gridCol w:w="830"/>
        <w:gridCol w:w="121"/>
        <w:gridCol w:w="90"/>
        <w:gridCol w:w="190"/>
        <w:gridCol w:w="830"/>
        <w:gridCol w:w="80"/>
        <w:gridCol w:w="60"/>
        <w:gridCol w:w="175"/>
        <w:gridCol w:w="765"/>
        <w:gridCol w:w="112"/>
        <w:gridCol w:w="84"/>
        <w:gridCol w:w="175"/>
        <w:gridCol w:w="765"/>
        <w:gridCol w:w="101"/>
      </w:tblGrid>
      <w:tr>
        <w:trPr/>
        <w:tc>
          <w:tcPr>
            <w:tcW w:w="5577" w:type="dxa"/>
            <w:tcBorders/>
            <w:vAlign w:val="bottom"/>
          </w:tcPr>
          <w:p>
            <w:pPr>
              <w:pStyle w:val="TableContents"/>
              <w:bidi w:val="0"/>
              <w:spacing w:before="0" w:after="0"/>
              <w:ind w:left="144" w:right="0" w:hanging="144"/>
              <w:jc w:val="left"/>
              <w:rPr/>
            </w:pPr>
            <w:r>
              <w:rPr/>
              <w:t> </w:t>
            </w:r>
          </w:p>
        </w:tc>
        <w:tc>
          <w:tcPr>
            <w:tcW w:w="60" w:type="dxa"/>
            <w:tcBorders/>
            <w:vAlign w:val="bottom"/>
          </w:tcPr>
          <w:p>
            <w:pPr>
              <w:pStyle w:val="TableContents"/>
              <w:bidi w:val="0"/>
              <w:spacing w:before="0" w:after="283"/>
              <w:jc w:val="left"/>
              <w:rPr/>
            </w:pPr>
            <w:r>
              <w:rPr/>
              <w:t> </w:t>
            </w:r>
          </w:p>
        </w:tc>
        <w:tc>
          <w:tcPr>
            <w:tcW w:w="2251"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Three Months Ended June 30,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76"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Six Months Ended June 30,</w:t>
            </w:r>
          </w:p>
        </w:tc>
        <w:tc>
          <w:tcPr>
            <w:tcW w:w="101" w:type="dxa"/>
            <w:tcBorders/>
            <w:vAlign w:val="bottom"/>
          </w:tcPr>
          <w:p>
            <w:pPr>
              <w:pStyle w:val="TableContents"/>
              <w:bidi w:val="0"/>
              <w:spacing w:before="0" w:after="283"/>
              <w:jc w:val="left"/>
              <w:rPr/>
            </w:pPr>
            <w:r>
              <w:rPr/>
              <w:t> </w:t>
            </w:r>
          </w:p>
        </w:tc>
      </w:tr>
      <w:tr>
        <w:trPr/>
        <w:tc>
          <w:tcPr>
            <w:tcW w:w="5577" w:type="dxa"/>
            <w:tcBorders/>
            <w:vAlign w:val="bottom"/>
          </w:tcPr>
          <w:p>
            <w:pPr>
              <w:pStyle w:val="TableContents"/>
              <w:bidi w:val="0"/>
              <w:spacing w:before="0" w:after="0"/>
              <w:ind w:left="144" w:right="0" w:hanging="144"/>
              <w:jc w:val="left"/>
              <w:rPr/>
            </w:pPr>
            <w:r>
              <w:rPr/>
              <w:t> </w:t>
            </w:r>
          </w:p>
        </w:tc>
        <w:tc>
          <w:tcPr>
            <w:tcW w:w="60" w:type="dxa"/>
            <w:tcBorders/>
            <w:vAlign w:val="bottom"/>
          </w:tcPr>
          <w:p>
            <w:pPr>
              <w:pStyle w:val="TableContents"/>
              <w:bidi w:val="0"/>
              <w:spacing w:before="0" w:after="283"/>
              <w:jc w:val="left"/>
              <w:rPr/>
            </w:pPr>
            <w:r>
              <w:rPr/>
              <w:t> </w:t>
            </w:r>
          </w:p>
        </w:tc>
        <w:tc>
          <w:tcPr>
            <w:tcW w:w="10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2026</w:t>
            </w:r>
          </w:p>
        </w:tc>
        <w:tc>
          <w:tcPr>
            <w:tcW w:w="12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0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2026</w:t>
            </w:r>
          </w:p>
        </w:tc>
        <w:tc>
          <w:tcPr>
            <w:tcW w:w="112"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2025</w:t>
            </w:r>
          </w:p>
        </w:tc>
        <w:tc>
          <w:tcPr>
            <w:tcW w:w="101" w:type="dxa"/>
            <w:tcBorders/>
            <w:vAlign w:val="bottom"/>
          </w:tcPr>
          <w:p>
            <w:pPr>
              <w:pStyle w:val="TableContents"/>
              <w:bidi w:val="0"/>
              <w:spacing w:before="0" w:after="283"/>
              <w:jc w:val="left"/>
              <w:rPr/>
            </w:pPr>
            <w:r>
              <w:rPr/>
              <w:t> </w:t>
            </w:r>
          </w:p>
        </w:tc>
      </w:tr>
      <w:tr>
        <w:trPr/>
        <w:tc>
          <w:tcPr>
            <w:tcW w:w="5577" w:type="dxa"/>
            <w:tcBorders/>
            <w:shd w:fill="CCEEFF" w:val="clear"/>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Net income (loss)</w:t>
            </w:r>
          </w:p>
        </w:tc>
        <w:tc>
          <w:tcPr>
            <w:tcW w:w="60" w:type="dxa"/>
            <w:tcBorders/>
            <w:shd w:fill="CCEEFF" w:val="clear"/>
            <w:vAlign w:val="bottom"/>
          </w:tcPr>
          <w:p>
            <w:pPr>
              <w:pStyle w:val="TableContents"/>
              <w:bidi w:val="0"/>
              <w:spacing w:before="0" w:after="283"/>
              <w:jc w:val="right"/>
              <w:rPr/>
            </w:pPr>
            <w:r>
              <w:rPr/>
              <w:t> </w:t>
            </w:r>
          </w:p>
        </w:tc>
        <w:tc>
          <w:tcPr>
            <w:tcW w:w="19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3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3,794</w:t>
            </w:r>
          </w:p>
        </w:tc>
        <w:tc>
          <w:tcPr>
            <w:tcW w:w="121"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9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3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1,561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6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4,223</w:t>
            </w:r>
          </w:p>
        </w:tc>
        <w:tc>
          <w:tcPr>
            <w:tcW w:w="112"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right"/>
              <w:rPr/>
            </w:pPr>
            <w:r>
              <w:rPr/>
              <w:t> </w:t>
            </w:r>
          </w:p>
        </w:tc>
        <w:tc>
          <w:tcPr>
            <w:tcW w:w="17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6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(5,431</w:t>
            </w:r>
          </w:p>
        </w:tc>
        <w:tc>
          <w:tcPr>
            <w:tcW w:w="10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5577" w:type="dxa"/>
            <w:tcBorders/>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Other comprehensive income (loss):</w:t>
            </w:r>
          </w:p>
        </w:tc>
        <w:tc>
          <w:tcPr>
            <w:tcW w:w="60" w:type="dxa"/>
            <w:tcBorders/>
            <w:vAlign w:val="bottom"/>
          </w:tcPr>
          <w:p>
            <w:pPr>
              <w:pStyle w:val="TableContents"/>
              <w:bidi w:val="0"/>
              <w:spacing w:before="0" w:after="283"/>
              <w:jc w:val="right"/>
              <w:rPr/>
            </w:pPr>
            <w:r>
              <w:rPr/>
              <w:t> </w:t>
            </w:r>
          </w:p>
        </w:tc>
        <w:tc>
          <w:tcPr>
            <w:tcW w:w="19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12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9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5" w:type="dxa"/>
            <w:tcBorders/>
            <w:vAlign w:val="bottom"/>
          </w:tcPr>
          <w:p>
            <w:pPr>
              <w:pStyle w:val="TableContents"/>
              <w:bidi w:val="0"/>
              <w:spacing w:before="0" w:after="283"/>
              <w:jc w:val="left"/>
              <w:rPr/>
            </w:pPr>
            <w:r>
              <w:rPr/>
              <w:t> </w:t>
            </w:r>
          </w:p>
        </w:tc>
        <w:tc>
          <w:tcPr>
            <w:tcW w:w="765" w:type="dxa"/>
            <w:tcBorders/>
            <w:vAlign w:val="bottom"/>
          </w:tcPr>
          <w:p>
            <w:pPr>
              <w:pStyle w:val="TableContents"/>
              <w:bidi w:val="0"/>
              <w:spacing w:before="0" w:after="283"/>
              <w:jc w:val="right"/>
              <w:rPr/>
            </w:pPr>
            <w:r>
              <w:rPr/>
              <w:t> </w:t>
            </w:r>
          </w:p>
        </w:tc>
        <w:tc>
          <w:tcPr>
            <w:tcW w:w="112"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right"/>
              <w:rPr/>
            </w:pPr>
            <w:r>
              <w:rPr/>
              <w:t> </w:t>
            </w:r>
          </w:p>
        </w:tc>
        <w:tc>
          <w:tcPr>
            <w:tcW w:w="175" w:type="dxa"/>
            <w:tcBorders/>
            <w:vAlign w:val="bottom"/>
          </w:tcPr>
          <w:p>
            <w:pPr>
              <w:pStyle w:val="TableContents"/>
              <w:bidi w:val="0"/>
              <w:spacing w:before="0" w:after="283"/>
              <w:jc w:val="left"/>
              <w:rPr/>
            </w:pPr>
            <w:r>
              <w:rPr/>
              <w:t> </w:t>
            </w:r>
          </w:p>
        </w:tc>
        <w:tc>
          <w:tcPr>
            <w:tcW w:w="765" w:type="dxa"/>
            <w:tcBorders/>
            <w:vAlign w:val="bottom"/>
          </w:tcPr>
          <w:p>
            <w:pPr>
              <w:pStyle w:val="TableContents"/>
              <w:bidi w:val="0"/>
              <w:spacing w:before="0" w:after="283"/>
              <w:jc w:val="right"/>
              <w:rPr/>
            </w:pPr>
            <w:r>
              <w:rPr/>
              <w:t> </w:t>
            </w:r>
          </w:p>
        </w:tc>
        <w:tc>
          <w:tcPr>
            <w:tcW w:w="101" w:type="dxa"/>
            <w:tcBorders/>
            <w:vAlign w:val="bottom"/>
          </w:tcPr>
          <w:p>
            <w:pPr>
              <w:pStyle w:val="TableContents"/>
              <w:bidi w:val="0"/>
              <w:spacing w:before="0" w:after="283"/>
              <w:jc w:val="left"/>
              <w:rPr/>
            </w:pPr>
            <w:r>
              <w:rPr/>
              <w:t> </w:t>
            </w:r>
          </w:p>
        </w:tc>
      </w:tr>
      <w:tr>
        <w:trPr/>
        <w:tc>
          <w:tcPr>
            <w:tcW w:w="5577" w:type="dxa"/>
            <w:tcBorders/>
            <w:shd w:fill="CCEEFF" w:val="clear"/>
            <w:vAlign w:val="bottom"/>
          </w:tcPr>
          <w:p>
            <w:pPr>
              <w:pStyle w:val="TableContents"/>
              <w:bidi w:val="0"/>
              <w:spacing w:before="0" w:after="0"/>
              <w:ind w:left="288" w:right="0" w:hanging="144"/>
              <w:jc w:val="left"/>
              <w:rPr>
                <w:rFonts w:ascii="Times New Roman" w:hAnsi="Times New Roman"/>
                <w:color w:val="000000"/>
                <w:sz w:val="20"/>
              </w:rPr>
            </w:pPr>
            <w:r>
              <w:rPr>
                <w:rFonts w:ascii="Times New Roman" w:hAnsi="Times New Roman"/>
                <w:color w:val="000000"/>
                <w:sz w:val="20"/>
              </w:rPr>
              <w:t>Unrealized gain (loss) on RMBS, available-for-sale, net</w:t>
            </w:r>
          </w:p>
        </w:tc>
        <w:tc>
          <w:tcPr>
            <w:tcW w:w="60" w:type="dxa"/>
            <w:tcBorders/>
            <w:shd w:fill="CCEEFF" w:val="clear"/>
            <w:vAlign w:val="bottom"/>
          </w:tcPr>
          <w:p>
            <w:pPr>
              <w:pStyle w:val="TableContents"/>
              <w:bidi w:val="0"/>
              <w:spacing w:before="0" w:after="283"/>
              <w:jc w:val="right"/>
              <w:rPr/>
            </w:pPr>
            <w:r>
              <w:rPr/>
              <w:t> </w:t>
            </w:r>
          </w:p>
        </w:tc>
        <w:tc>
          <w:tcPr>
            <w:tcW w:w="19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502</w:t>
            </w:r>
          </w:p>
        </w:tc>
        <w:tc>
          <w:tcPr>
            <w:tcW w:w="121"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9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320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6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(1,940</w:t>
            </w:r>
          </w:p>
        </w:tc>
        <w:tc>
          <w:tcPr>
            <w:tcW w:w="11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 w:type="dxa"/>
            <w:tcBorders/>
            <w:shd w:fill="CCEEFF" w:val="clear"/>
            <w:vAlign w:val="bottom"/>
          </w:tcPr>
          <w:p>
            <w:pPr>
              <w:pStyle w:val="TableContents"/>
              <w:bidi w:val="0"/>
              <w:spacing w:before="0" w:after="283"/>
              <w:jc w:val="right"/>
              <w:rPr/>
            </w:pPr>
            <w:r>
              <w:rPr/>
              <w:t> </w:t>
            </w:r>
          </w:p>
        </w:tc>
        <w:tc>
          <w:tcPr>
            <w:tcW w:w="17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6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7,170</w:t>
            </w:r>
          </w:p>
        </w:tc>
        <w:tc>
          <w:tcPr>
            <w:tcW w:w="101" w:type="dxa"/>
            <w:tcBorders/>
            <w:shd w:fill="CCEEFF" w:val="clear"/>
            <w:vAlign w:val="bottom"/>
          </w:tcPr>
          <w:p>
            <w:pPr>
              <w:pStyle w:val="TableContents"/>
              <w:bidi w:val="0"/>
              <w:spacing w:before="0" w:after="283"/>
              <w:jc w:val="left"/>
              <w:rPr/>
            </w:pPr>
            <w:r>
              <w:rPr/>
              <w:t> </w:t>
            </w:r>
          </w:p>
        </w:tc>
      </w:tr>
      <w:tr>
        <w:trPr/>
        <w:tc>
          <w:tcPr>
            <w:tcW w:w="5577"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Net other comprehensive income (loss)</w:t>
            </w:r>
          </w:p>
        </w:tc>
        <w:tc>
          <w:tcPr>
            <w:tcW w:w="60" w:type="dxa"/>
            <w:tcBorders/>
            <w:vAlign w:val="bottom"/>
          </w:tcPr>
          <w:p>
            <w:pPr>
              <w:pStyle w:val="TableContents"/>
              <w:bidi w:val="0"/>
              <w:spacing w:before="0" w:after="283"/>
              <w:jc w:val="right"/>
              <w:rPr/>
            </w:pPr>
            <w:r>
              <w:rPr/>
              <w:t> </w:t>
            </w:r>
          </w:p>
        </w:tc>
        <w:tc>
          <w:tcPr>
            <w:tcW w:w="19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502</w:t>
            </w:r>
          </w:p>
        </w:tc>
        <w:tc>
          <w:tcPr>
            <w:tcW w:w="12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90" w:type="dxa"/>
            <w:tcBorders>
              <w:bottom w:val="single" w:sz="12" w:space="0" w:color="000000"/>
            </w:tcBorders>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320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5" w:type="dxa"/>
            <w:tcBorders>
              <w:bottom w:val="single" w:sz="12" w:space="0" w:color="000000"/>
            </w:tcBorders>
            <w:tcMar>
              <w:bottom w:w="28" w:type="dxa"/>
            </w:tcMar>
            <w:vAlign w:val="bottom"/>
          </w:tcPr>
          <w:p>
            <w:pPr>
              <w:pStyle w:val="TableContents"/>
              <w:bidi w:val="0"/>
              <w:spacing w:before="0" w:after="283"/>
              <w:jc w:val="left"/>
              <w:rPr/>
            </w:pPr>
            <w:r>
              <w:rPr/>
              <w:t> </w:t>
            </w:r>
          </w:p>
        </w:tc>
        <w:tc>
          <w:tcPr>
            <w:tcW w:w="76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(1,940</w:t>
            </w:r>
          </w:p>
        </w:tc>
        <w:tc>
          <w:tcPr>
            <w:tcW w:w="11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 w:type="dxa"/>
            <w:tcBorders/>
            <w:vAlign w:val="bottom"/>
          </w:tcPr>
          <w:p>
            <w:pPr>
              <w:pStyle w:val="TableContents"/>
              <w:bidi w:val="0"/>
              <w:spacing w:before="0" w:after="283"/>
              <w:jc w:val="right"/>
              <w:rPr/>
            </w:pPr>
            <w:r>
              <w:rPr/>
              <w:t> </w:t>
            </w:r>
          </w:p>
        </w:tc>
        <w:tc>
          <w:tcPr>
            <w:tcW w:w="175" w:type="dxa"/>
            <w:tcBorders>
              <w:bottom w:val="single" w:sz="12" w:space="0" w:color="000000"/>
            </w:tcBorders>
            <w:tcMar>
              <w:bottom w:w="28" w:type="dxa"/>
            </w:tcMar>
            <w:vAlign w:val="bottom"/>
          </w:tcPr>
          <w:p>
            <w:pPr>
              <w:pStyle w:val="TableContents"/>
              <w:bidi w:val="0"/>
              <w:spacing w:before="0" w:after="283"/>
              <w:jc w:val="left"/>
              <w:rPr/>
            </w:pPr>
            <w:r>
              <w:rPr/>
              <w:t> </w:t>
            </w:r>
          </w:p>
        </w:tc>
        <w:tc>
          <w:tcPr>
            <w:tcW w:w="76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7,170</w:t>
            </w:r>
          </w:p>
        </w:tc>
        <w:tc>
          <w:tcPr>
            <w:tcW w:w="101" w:type="dxa"/>
            <w:tcBorders/>
            <w:vAlign w:val="bottom"/>
          </w:tcPr>
          <w:p>
            <w:pPr>
              <w:pStyle w:val="TableContents"/>
              <w:bidi w:val="0"/>
              <w:spacing w:before="0" w:after="283"/>
              <w:jc w:val="left"/>
              <w:rPr/>
            </w:pPr>
            <w:r>
              <w:rPr/>
              <w:t> </w:t>
            </w:r>
          </w:p>
        </w:tc>
      </w:tr>
      <w:tr>
        <w:trPr/>
        <w:tc>
          <w:tcPr>
            <w:tcW w:w="5577" w:type="dxa"/>
            <w:tcBorders/>
            <w:shd w:fill="CCEEFF" w:val="clear"/>
            <w:vAlign w:val="bottom"/>
          </w:tcPr>
          <w:p>
            <w:pPr>
              <w:pStyle w:val="TableContents"/>
              <w:bidi w:val="0"/>
              <w:spacing w:before="0" w:after="0"/>
              <w:ind w:left="144" w:right="0" w:hanging="144"/>
              <w:jc w:val="left"/>
              <w:rPr>
                <w:rFonts w:ascii="Times New Roman" w:hAnsi="Times New Roman"/>
                <w:b/>
                <w:sz w:val="20"/>
              </w:rPr>
            </w:pPr>
            <w:r>
              <w:rPr>
                <w:rFonts w:ascii="Times New Roman" w:hAnsi="Times New Roman"/>
                <w:b/>
                <w:sz w:val="20"/>
              </w:rPr>
              <w:t>Comprehensive income</w:t>
            </w:r>
          </w:p>
        </w:tc>
        <w:tc>
          <w:tcPr>
            <w:tcW w:w="60" w:type="dxa"/>
            <w:tcBorders/>
            <w:shd w:fill="CCEEFF" w:val="clear"/>
            <w:vAlign w:val="bottom"/>
          </w:tcPr>
          <w:p>
            <w:pPr>
              <w:pStyle w:val="TableContents"/>
              <w:bidi w:val="0"/>
              <w:spacing w:before="0" w:after="283"/>
              <w:jc w:val="right"/>
              <w:rPr/>
            </w:pPr>
            <w:r>
              <w:rPr/>
              <w:t> </w:t>
            </w:r>
          </w:p>
        </w:tc>
        <w:tc>
          <w:tcPr>
            <w:tcW w:w="19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830"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4,296</w:t>
            </w:r>
          </w:p>
        </w:tc>
        <w:tc>
          <w:tcPr>
            <w:tcW w:w="121"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9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830"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1,881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765"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2,283</w:t>
            </w:r>
          </w:p>
        </w:tc>
        <w:tc>
          <w:tcPr>
            <w:tcW w:w="112"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right"/>
              <w:rPr/>
            </w:pPr>
            <w:r>
              <w:rPr/>
              <w:t> </w:t>
            </w:r>
          </w:p>
        </w:tc>
        <w:tc>
          <w:tcPr>
            <w:tcW w:w="17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765"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1,739</w:t>
            </w:r>
          </w:p>
        </w:tc>
        <w:tc>
          <w:tcPr>
            <w:tcW w:w="101" w:type="dxa"/>
            <w:tcBorders/>
            <w:shd w:fill="CCEEFF" w:val="clear"/>
            <w:vAlign w:val="bottom"/>
          </w:tcPr>
          <w:p>
            <w:pPr>
              <w:pStyle w:val="TableContents"/>
              <w:bidi w:val="0"/>
              <w:spacing w:before="0" w:after="283"/>
              <w:jc w:val="left"/>
              <w:rPr/>
            </w:pPr>
            <w:r>
              <w:rPr/>
              <w:t> </w:t>
            </w:r>
          </w:p>
        </w:tc>
      </w:tr>
      <w:tr>
        <w:trPr/>
        <w:tc>
          <w:tcPr>
            <w:tcW w:w="5577"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Comprehensive income attributable to noncontrolling interests in Operating Partnership</w:t>
            </w:r>
          </w:p>
        </w:tc>
        <w:tc>
          <w:tcPr>
            <w:tcW w:w="60" w:type="dxa"/>
            <w:tcBorders/>
            <w:vAlign w:val="bottom"/>
          </w:tcPr>
          <w:p>
            <w:pPr>
              <w:pStyle w:val="TableContents"/>
              <w:bidi w:val="0"/>
              <w:spacing w:before="0" w:after="283"/>
              <w:jc w:val="right"/>
              <w:rPr/>
            </w:pPr>
            <w:r>
              <w:rPr/>
              <w:t> </w:t>
            </w:r>
          </w:p>
        </w:tc>
        <w:tc>
          <w:tcPr>
            <w:tcW w:w="19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(62</w:t>
            </w:r>
          </w:p>
        </w:tc>
        <w:tc>
          <w:tcPr>
            <w:tcW w:w="12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0" w:type="dxa"/>
            <w:tcBorders/>
            <w:vAlign w:val="bottom"/>
          </w:tcPr>
          <w:p>
            <w:pPr>
              <w:pStyle w:val="TableContents"/>
              <w:bidi w:val="0"/>
              <w:spacing w:before="0" w:after="283"/>
              <w:jc w:val="right"/>
              <w:rPr/>
            </w:pPr>
            <w:r>
              <w:rPr/>
              <w:t> </w:t>
            </w:r>
          </w:p>
        </w:tc>
        <w:tc>
          <w:tcPr>
            <w:tcW w:w="190" w:type="dxa"/>
            <w:tcBorders/>
            <w:vAlign w:val="bottom"/>
          </w:tcPr>
          <w:p>
            <w:pPr>
              <w:pStyle w:val="TableContents"/>
              <w:bidi w:val="0"/>
              <w:spacing w:before="0" w:after="283"/>
              <w:jc w:val="left"/>
              <w:rPr/>
            </w:pPr>
            <w:r>
              <w:rPr/>
              <w:t> </w:t>
            </w:r>
          </w:p>
        </w:tc>
        <w:tc>
          <w:tcPr>
            <w:tcW w:w="83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(35</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75" w:type="dxa"/>
            <w:tcBorders/>
            <w:vAlign w:val="bottom"/>
          </w:tcPr>
          <w:p>
            <w:pPr>
              <w:pStyle w:val="TableContents"/>
              <w:bidi w:val="0"/>
              <w:spacing w:before="0" w:after="283"/>
              <w:jc w:val="left"/>
              <w:rPr/>
            </w:pPr>
            <w:r>
              <w:rPr/>
              <w:t> </w:t>
            </w:r>
          </w:p>
        </w:tc>
        <w:tc>
          <w:tcPr>
            <w:tcW w:w="76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(33</w:t>
            </w:r>
          </w:p>
        </w:tc>
        <w:tc>
          <w:tcPr>
            <w:tcW w:w="11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 w:type="dxa"/>
            <w:tcBorders/>
            <w:vAlign w:val="bottom"/>
          </w:tcPr>
          <w:p>
            <w:pPr>
              <w:pStyle w:val="TableContents"/>
              <w:bidi w:val="0"/>
              <w:spacing w:before="0" w:after="283"/>
              <w:jc w:val="right"/>
              <w:rPr/>
            </w:pPr>
            <w:r>
              <w:rPr/>
              <w:t> </w:t>
            </w:r>
          </w:p>
        </w:tc>
        <w:tc>
          <w:tcPr>
            <w:tcW w:w="175" w:type="dxa"/>
            <w:tcBorders/>
            <w:vAlign w:val="bottom"/>
          </w:tcPr>
          <w:p>
            <w:pPr>
              <w:pStyle w:val="TableContents"/>
              <w:bidi w:val="0"/>
              <w:spacing w:before="0" w:after="283"/>
              <w:jc w:val="left"/>
              <w:rPr/>
            </w:pPr>
            <w:r>
              <w:rPr/>
              <w:t> </w:t>
            </w:r>
          </w:p>
        </w:tc>
        <w:tc>
          <w:tcPr>
            <w:tcW w:w="76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(32</w:t>
            </w:r>
          </w:p>
        </w:tc>
        <w:tc>
          <w:tcPr>
            <w:tcW w:w="10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5577" w:type="dxa"/>
            <w:tcBorders/>
            <w:shd w:fill="CCEEFF" w:val="clear"/>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Dividends on preferred stock</w:t>
            </w:r>
          </w:p>
        </w:tc>
        <w:tc>
          <w:tcPr>
            <w:tcW w:w="60" w:type="dxa"/>
            <w:tcBorders/>
            <w:shd w:fill="CCEEFF" w:val="clear"/>
            <w:vAlign w:val="bottom"/>
          </w:tcPr>
          <w:p>
            <w:pPr>
              <w:pStyle w:val="TableContents"/>
              <w:bidi w:val="0"/>
              <w:spacing w:before="0" w:after="283"/>
              <w:jc w:val="right"/>
              <w:rPr/>
            </w:pPr>
            <w:r>
              <w:rPr/>
              <w:t> </w:t>
            </w:r>
          </w:p>
        </w:tc>
        <w:tc>
          <w:tcPr>
            <w:tcW w:w="19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(2,403</w:t>
            </w:r>
          </w:p>
        </w:tc>
        <w:tc>
          <w:tcPr>
            <w:tcW w:w="12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0" w:type="dxa"/>
            <w:tcBorders/>
            <w:shd w:fill="CCEEFF" w:val="clear"/>
            <w:vAlign w:val="bottom"/>
          </w:tcPr>
          <w:p>
            <w:pPr>
              <w:pStyle w:val="TableContents"/>
              <w:bidi w:val="0"/>
              <w:spacing w:before="0" w:after="283"/>
              <w:jc w:val="right"/>
              <w:rPr/>
            </w:pPr>
            <w:r>
              <w:rPr/>
              <w:t> </w:t>
            </w:r>
          </w:p>
        </w:tc>
        <w:tc>
          <w:tcPr>
            <w:tcW w:w="19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(2,462</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7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6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(4,794</w:t>
            </w:r>
          </w:p>
        </w:tc>
        <w:tc>
          <w:tcPr>
            <w:tcW w:w="11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 w:type="dxa"/>
            <w:tcBorders/>
            <w:shd w:fill="CCEEFF" w:val="clear"/>
            <w:vAlign w:val="bottom"/>
          </w:tcPr>
          <w:p>
            <w:pPr>
              <w:pStyle w:val="TableContents"/>
              <w:bidi w:val="0"/>
              <w:spacing w:before="0" w:after="283"/>
              <w:jc w:val="right"/>
              <w:rPr/>
            </w:pPr>
            <w:r>
              <w:rPr/>
              <w:t> </w:t>
            </w:r>
          </w:p>
        </w:tc>
        <w:tc>
          <w:tcPr>
            <w:tcW w:w="17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6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(4,916</w:t>
            </w:r>
          </w:p>
        </w:tc>
        <w:tc>
          <w:tcPr>
            <w:tcW w:w="10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5577" w:type="dxa"/>
            <w:tcBorders/>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Comprehensive income (loss) attributable to common stockholders</w:t>
            </w:r>
          </w:p>
        </w:tc>
        <w:tc>
          <w:tcPr>
            <w:tcW w:w="60" w:type="dxa"/>
            <w:tcBorders/>
            <w:vAlign w:val="bottom"/>
          </w:tcPr>
          <w:p>
            <w:pPr>
              <w:pStyle w:val="TableContents"/>
              <w:bidi w:val="0"/>
              <w:spacing w:before="0" w:after="283"/>
              <w:jc w:val="right"/>
              <w:rPr/>
            </w:pPr>
            <w:r>
              <w:rPr/>
              <w:t> </w:t>
            </w:r>
          </w:p>
        </w:tc>
        <w:tc>
          <w:tcPr>
            <w:tcW w:w="19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3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1,831</w:t>
            </w:r>
          </w:p>
        </w:tc>
        <w:tc>
          <w:tcPr>
            <w:tcW w:w="121"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right"/>
              <w:rPr/>
            </w:pPr>
            <w:r>
              <w:rPr/>
              <w:t> </w:t>
            </w:r>
          </w:p>
        </w:tc>
        <w:tc>
          <w:tcPr>
            <w:tcW w:w="19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3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(616</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7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6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(2,544</w:t>
            </w:r>
          </w:p>
        </w:tc>
        <w:tc>
          <w:tcPr>
            <w:tcW w:w="11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 w:type="dxa"/>
            <w:tcBorders/>
            <w:vAlign w:val="bottom"/>
          </w:tcPr>
          <w:p>
            <w:pPr>
              <w:pStyle w:val="TableContents"/>
              <w:bidi w:val="0"/>
              <w:spacing w:before="0" w:after="283"/>
              <w:jc w:val="right"/>
              <w:rPr/>
            </w:pPr>
            <w:r>
              <w:rPr/>
              <w:t> </w:t>
            </w:r>
          </w:p>
        </w:tc>
        <w:tc>
          <w:tcPr>
            <w:tcW w:w="17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6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(3,209</w:t>
            </w:r>
          </w:p>
        </w:tc>
        <w:tc>
          <w:tcPr>
            <w:tcW w:w="10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bl>
    <w:p>
      <w:pPr>
        <w:pStyle w:val="TextBody"/>
        <w:bidi w:val="0"/>
        <w:spacing w:before="0" w:after="0"/>
        <w:jc w:val="left"/>
        <w:rPr/>
      </w:pPr>
      <w:r>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See accompanying notes to consolidated financial statements.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7</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Cherry Hill Mortgage Investment Corporation and Subsidiaries</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 xml:space="preserve">Consolidated Statements of Changes in </w:t>
      </w:r>
      <w:bookmarkStart w:id="12" w:name="StockholdersEquity"/>
      <w:bookmarkEnd w:id="12"/>
      <w:r>
        <w:rPr>
          <w:rFonts w:ascii="Times New Roman" w:hAnsi="Times New Roman"/>
          <w:b/>
          <w:color w:val="000000"/>
          <w:sz w:val="20"/>
          <w:shd w:fill="FFFFFF" w:val="clear"/>
        </w:rPr>
        <w:t>Stockholders’ Equity</w:t>
      </w:r>
      <w:bookmarkStart w:id="13" w:name="Equity"/>
      <w:bookmarkEnd w:id="13"/>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(Unaudited)</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(in thousands — except share and per share data)</w:t>
      </w:r>
    </w:p>
    <w:p>
      <w:pPr>
        <w:pStyle w:val="TextBody"/>
        <w:bidi w:val="0"/>
        <w:spacing w:before="0" w:after="0"/>
        <w:jc w:val="left"/>
        <w:rPr/>
      </w:pPr>
      <w:r>
        <w:rPr/>
      </w:r>
    </w:p>
    <w:tbl>
      <w:tblPr>
        <w:tblW w:w="11790" w:type="dxa"/>
        <w:jc w:val="left"/>
        <w:tblInd w:w="0" w:type="dxa"/>
        <w:tblLayout w:type="fixed"/>
        <w:tblCellMar>
          <w:top w:w="0" w:type="dxa"/>
          <w:left w:w="0" w:type="dxa"/>
          <w:bottom w:w="0" w:type="dxa"/>
          <w:right w:w="0" w:type="dxa"/>
        </w:tblCellMar>
      </w:tblPr>
      <w:tblGrid>
        <w:gridCol w:w="1340"/>
        <w:gridCol w:w="60"/>
        <w:gridCol w:w="60"/>
        <w:gridCol w:w="950"/>
        <w:gridCol w:w="60"/>
        <w:gridCol w:w="60"/>
        <w:gridCol w:w="217"/>
        <w:gridCol w:w="583"/>
        <w:gridCol w:w="60"/>
        <w:gridCol w:w="60"/>
        <w:gridCol w:w="60"/>
        <w:gridCol w:w="845"/>
        <w:gridCol w:w="60"/>
        <w:gridCol w:w="60"/>
        <w:gridCol w:w="128"/>
        <w:gridCol w:w="717"/>
        <w:gridCol w:w="60"/>
        <w:gridCol w:w="60"/>
        <w:gridCol w:w="140"/>
        <w:gridCol w:w="780"/>
        <w:gridCol w:w="60"/>
        <w:gridCol w:w="60"/>
        <w:gridCol w:w="250"/>
        <w:gridCol w:w="1090"/>
        <w:gridCol w:w="80"/>
        <w:gridCol w:w="60"/>
        <w:gridCol w:w="125"/>
        <w:gridCol w:w="755"/>
        <w:gridCol w:w="95"/>
        <w:gridCol w:w="60"/>
        <w:gridCol w:w="289"/>
        <w:gridCol w:w="1126"/>
        <w:gridCol w:w="95"/>
        <w:gridCol w:w="60"/>
        <w:gridCol w:w="169"/>
        <w:gridCol w:w="946"/>
        <w:gridCol w:w="110"/>
      </w:tblGrid>
      <w:tr>
        <w:trPr/>
        <w:tc>
          <w:tcPr>
            <w:tcW w:w="1340" w:type="dxa"/>
            <w:tcBorders/>
            <w:vAlign w:val="bottom"/>
          </w:tcPr>
          <w:p>
            <w:pPr>
              <w:pStyle w:val="TableContents"/>
              <w:bidi w:val="0"/>
              <w:spacing w:before="0" w:after="0"/>
              <w:ind w:left="144" w:right="0" w:hanging="144"/>
              <w:jc w:val="left"/>
              <w:rPr/>
            </w:pPr>
            <w:r>
              <w:rPr/>
              <w:t> </w:t>
            </w:r>
          </w:p>
        </w:tc>
        <w:tc>
          <w:tcPr>
            <w:tcW w:w="60" w:type="dxa"/>
            <w:tcBorders/>
            <w:vAlign w:val="bottom"/>
          </w:tcPr>
          <w:p>
            <w:pPr>
              <w:pStyle w:val="TableContents"/>
              <w:bidi w:val="0"/>
              <w:spacing w:before="0" w:after="283"/>
              <w:jc w:val="left"/>
              <w:rPr/>
            </w:pPr>
            <w:r>
              <w:rPr/>
              <w:t> </w:t>
            </w:r>
          </w:p>
        </w:tc>
        <w:tc>
          <w:tcPr>
            <w:tcW w:w="101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Common</w:t>
            </w:r>
          </w:p>
          <w:p>
            <w:pPr>
              <w:pStyle w:val="TableContents"/>
              <w:bidi w:val="0"/>
              <w:spacing w:before="0" w:after="0"/>
              <w:jc w:val="center"/>
              <w:rPr>
                <w:rFonts w:ascii="Times New Roman" w:hAnsi="Times New Roman"/>
                <w:b/>
                <w:sz w:val="20"/>
              </w:rPr>
            </w:pPr>
            <w:r>
              <w:rPr>
                <w:rFonts w:ascii="Times New Roman" w:hAnsi="Times New Roman"/>
                <w:b/>
                <w:sz w:val="20"/>
              </w:rPr>
              <w:t>Stock</w:t>
            </w:r>
          </w:p>
          <w:p>
            <w:pPr>
              <w:pStyle w:val="TableContents"/>
              <w:bidi w:val="0"/>
              <w:spacing w:before="0" w:after="0"/>
              <w:jc w:val="center"/>
              <w:rPr>
                <w:rFonts w:ascii="Times New Roman" w:hAnsi="Times New Roman"/>
                <w:b/>
                <w:sz w:val="20"/>
              </w:rPr>
            </w:pPr>
            <w:r>
              <w:rPr>
                <w:rFonts w:ascii="Times New Roman" w:hAnsi="Times New Roman"/>
                <w:b/>
                <w:sz w:val="20"/>
              </w:rPr>
              <w:t>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Common</w:t>
            </w:r>
          </w:p>
          <w:p>
            <w:pPr>
              <w:pStyle w:val="TableContents"/>
              <w:bidi w:val="0"/>
              <w:spacing w:before="0" w:after="0"/>
              <w:jc w:val="center"/>
              <w:rPr>
                <w:rFonts w:ascii="Times New Roman" w:hAnsi="Times New Roman"/>
                <w:b/>
                <w:sz w:val="20"/>
              </w:rPr>
            </w:pPr>
            <w:r>
              <w:rPr>
                <w:rFonts w:ascii="Times New Roman" w:hAnsi="Times New Roman"/>
                <w:b/>
                <w:sz w:val="20"/>
              </w:rPr>
              <w:t>Stock</w:t>
            </w:r>
          </w:p>
          <w:p>
            <w:pPr>
              <w:pStyle w:val="TableContents"/>
              <w:bidi w:val="0"/>
              <w:spacing w:before="0" w:after="0"/>
              <w:jc w:val="center"/>
              <w:rPr>
                <w:rFonts w:ascii="Times New Roman" w:hAnsi="Times New Roman"/>
                <w:b/>
                <w:sz w:val="20"/>
              </w:rPr>
            </w:pPr>
            <w:r>
              <w:rPr>
                <w:rFonts w:ascii="Times New Roman" w:hAnsi="Times New Roman"/>
                <w:b/>
                <w:sz w:val="20"/>
              </w:rPr>
              <w:t>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Preferred</w:t>
            </w:r>
          </w:p>
          <w:p>
            <w:pPr>
              <w:pStyle w:val="TableContents"/>
              <w:bidi w:val="0"/>
              <w:spacing w:before="0" w:after="0"/>
              <w:jc w:val="center"/>
              <w:rPr>
                <w:rFonts w:ascii="Times New Roman" w:hAnsi="Times New Roman"/>
                <w:b/>
                <w:sz w:val="20"/>
              </w:rPr>
            </w:pPr>
            <w:r>
              <w:rPr>
                <w:rFonts w:ascii="Times New Roman" w:hAnsi="Times New Roman"/>
                <w:b/>
                <w:sz w:val="20"/>
              </w:rPr>
              <w:t>Stock</w:t>
            </w:r>
          </w:p>
          <w:p>
            <w:pPr>
              <w:pStyle w:val="TableContents"/>
              <w:bidi w:val="0"/>
              <w:spacing w:before="0" w:after="0"/>
              <w:jc w:val="center"/>
              <w:rPr>
                <w:rFonts w:ascii="Times New Roman" w:hAnsi="Times New Roman"/>
                <w:b/>
                <w:sz w:val="20"/>
              </w:rPr>
            </w:pPr>
            <w:r>
              <w:rPr>
                <w:rFonts w:ascii="Times New Roman" w:hAnsi="Times New Roman"/>
                <w:b/>
                <w:sz w:val="20"/>
              </w:rPr>
              <w:t>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Preferred</w:t>
            </w:r>
          </w:p>
          <w:p>
            <w:pPr>
              <w:pStyle w:val="TableContents"/>
              <w:bidi w:val="0"/>
              <w:spacing w:before="0" w:after="0"/>
              <w:jc w:val="center"/>
              <w:rPr>
                <w:rFonts w:ascii="Times New Roman" w:hAnsi="Times New Roman"/>
                <w:b/>
                <w:sz w:val="20"/>
              </w:rPr>
            </w:pPr>
            <w:r>
              <w:rPr>
                <w:rFonts w:ascii="Times New Roman" w:hAnsi="Times New Roman"/>
                <w:b/>
                <w:sz w:val="20"/>
              </w:rPr>
              <w:t>Stock</w:t>
            </w:r>
          </w:p>
          <w:p>
            <w:pPr>
              <w:pStyle w:val="TableContents"/>
              <w:bidi w:val="0"/>
              <w:spacing w:before="0" w:after="0"/>
              <w:jc w:val="center"/>
              <w:rPr>
                <w:rFonts w:ascii="Times New Roman" w:hAnsi="Times New Roman"/>
                <w:b/>
                <w:sz w:val="20"/>
              </w:rPr>
            </w:pPr>
            <w:r>
              <w:rPr>
                <w:rFonts w:ascii="Times New Roman" w:hAnsi="Times New Roman"/>
                <w:b/>
                <w:sz w:val="20"/>
              </w:rPr>
              <w:t>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Additional</w:t>
            </w:r>
          </w:p>
          <w:p>
            <w:pPr>
              <w:pStyle w:val="TableContents"/>
              <w:bidi w:val="0"/>
              <w:spacing w:before="0" w:after="0"/>
              <w:jc w:val="center"/>
              <w:rPr>
                <w:rFonts w:ascii="Times New Roman" w:hAnsi="Times New Roman"/>
                <w:b/>
                <w:sz w:val="20"/>
              </w:rPr>
            </w:pPr>
            <w:r>
              <w:rPr>
                <w:rFonts w:ascii="Times New Roman" w:hAnsi="Times New Roman"/>
                <w:b/>
                <w:sz w:val="20"/>
              </w:rPr>
              <w:t>Paid-in</w:t>
            </w:r>
          </w:p>
          <w:p>
            <w:pPr>
              <w:pStyle w:val="TableContents"/>
              <w:bidi w:val="0"/>
              <w:spacing w:before="0" w:after="0"/>
              <w:jc w:val="center"/>
              <w:rPr>
                <w:rFonts w:ascii="Times New Roman" w:hAnsi="Times New Roman"/>
                <w:b/>
                <w:sz w:val="20"/>
              </w:rPr>
            </w:pPr>
            <w:r>
              <w:rPr>
                <w:rFonts w:ascii="Times New Roman" w:hAnsi="Times New Roman"/>
                <w:b/>
                <w:sz w:val="20"/>
              </w:rPr>
              <w:t>Capital</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4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Accumulated</w:t>
            </w:r>
          </w:p>
          <w:p>
            <w:pPr>
              <w:pStyle w:val="TableContents"/>
              <w:bidi w:val="0"/>
              <w:spacing w:before="0" w:after="0"/>
              <w:jc w:val="center"/>
              <w:rPr>
                <w:rFonts w:ascii="Times New Roman" w:hAnsi="Times New Roman"/>
                <w:b/>
                <w:sz w:val="20"/>
              </w:rPr>
            </w:pPr>
            <w:r>
              <w:rPr>
                <w:rFonts w:ascii="Times New Roman" w:hAnsi="Times New Roman"/>
                <w:b/>
                <w:sz w:val="20"/>
              </w:rPr>
              <w:t>Other</w:t>
            </w:r>
          </w:p>
          <w:p>
            <w:pPr>
              <w:pStyle w:val="TableContents"/>
              <w:bidi w:val="0"/>
              <w:spacing w:before="0" w:after="0"/>
              <w:jc w:val="center"/>
              <w:rPr>
                <w:rFonts w:ascii="Times New Roman" w:hAnsi="Times New Roman"/>
                <w:b/>
                <w:sz w:val="20"/>
              </w:rPr>
            </w:pPr>
            <w:r>
              <w:rPr>
                <w:rFonts w:ascii="Times New Roman" w:hAnsi="Times New Roman"/>
                <w:b/>
                <w:sz w:val="20"/>
              </w:rPr>
              <w:t>Comprehensive</w:t>
            </w:r>
          </w:p>
          <w:p>
            <w:pPr>
              <w:pStyle w:val="TableContents"/>
              <w:bidi w:val="0"/>
              <w:spacing w:before="0" w:after="0"/>
              <w:jc w:val="center"/>
              <w:rPr>
                <w:rFonts w:ascii="Times New Roman" w:hAnsi="Times New Roman"/>
                <w:b/>
                <w:sz w:val="20"/>
              </w:rPr>
            </w:pPr>
            <w:r>
              <w:rPr>
                <w:rFonts w:ascii="Times New Roman" w:hAnsi="Times New Roman"/>
                <w:b/>
                <w:sz w:val="20"/>
              </w:rPr>
              <w:t>Income (Loss)</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Retained</w:t>
            </w:r>
          </w:p>
          <w:p>
            <w:pPr>
              <w:pStyle w:val="TableContents"/>
              <w:bidi w:val="0"/>
              <w:spacing w:before="0" w:after="0"/>
              <w:jc w:val="center"/>
              <w:rPr>
                <w:rFonts w:ascii="Times New Roman" w:hAnsi="Times New Roman"/>
                <w:b/>
                <w:sz w:val="20"/>
              </w:rPr>
            </w:pPr>
            <w:r>
              <w:rPr>
                <w:rFonts w:ascii="Times New Roman" w:hAnsi="Times New Roman"/>
                <w:b/>
                <w:sz w:val="20"/>
              </w:rPr>
              <w:t>Earnings</w:t>
            </w:r>
          </w:p>
          <w:p>
            <w:pPr>
              <w:pStyle w:val="TableContents"/>
              <w:bidi w:val="0"/>
              <w:spacing w:before="0" w:after="0"/>
              <w:jc w:val="center"/>
              <w:rPr>
                <w:rFonts w:ascii="Times New Roman" w:hAnsi="Times New Roman"/>
                <w:b/>
                <w:sz w:val="20"/>
              </w:rPr>
            </w:pPr>
            <w:r>
              <w:rPr>
                <w:rFonts w:ascii="Times New Roman" w:hAnsi="Times New Roman"/>
                <w:b/>
                <w:sz w:val="20"/>
              </w:rPr>
              <w:t>(Deficit)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Non-Controlling</w:t>
            </w:r>
          </w:p>
          <w:p>
            <w:pPr>
              <w:pStyle w:val="TableContents"/>
              <w:bidi w:val="0"/>
              <w:spacing w:before="0" w:after="0"/>
              <w:jc w:val="center"/>
              <w:rPr>
                <w:rFonts w:ascii="Times New Roman" w:hAnsi="Times New Roman"/>
                <w:b/>
                <w:sz w:val="20"/>
              </w:rPr>
            </w:pPr>
            <w:r>
              <w:rPr>
                <w:rFonts w:ascii="Times New Roman" w:hAnsi="Times New Roman"/>
                <w:b/>
                <w:sz w:val="20"/>
              </w:rPr>
              <w:t>Interest in</w:t>
            </w:r>
          </w:p>
          <w:p>
            <w:pPr>
              <w:pStyle w:val="TableContents"/>
              <w:bidi w:val="0"/>
              <w:spacing w:before="0" w:after="0"/>
              <w:jc w:val="center"/>
              <w:rPr>
                <w:rFonts w:ascii="Times New Roman" w:hAnsi="Times New Roman"/>
                <w:b/>
                <w:sz w:val="20"/>
              </w:rPr>
            </w:pPr>
            <w:r>
              <w:rPr>
                <w:rFonts w:ascii="Times New Roman" w:hAnsi="Times New Roman"/>
                <w:b/>
                <w:sz w:val="20"/>
              </w:rPr>
              <w:t>Operating</w:t>
            </w:r>
          </w:p>
          <w:p>
            <w:pPr>
              <w:pStyle w:val="TableContents"/>
              <w:bidi w:val="0"/>
              <w:spacing w:before="0" w:after="0"/>
              <w:jc w:val="center"/>
              <w:rPr>
                <w:rFonts w:ascii="Times New Roman" w:hAnsi="Times New Roman"/>
                <w:b/>
                <w:sz w:val="20"/>
              </w:rPr>
            </w:pPr>
            <w:r>
              <w:rPr>
                <w:rFonts w:ascii="Times New Roman" w:hAnsi="Times New Roman"/>
                <w:b/>
                <w:sz w:val="20"/>
              </w:rPr>
              <w:t>Partnership</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Total</w:t>
            </w:r>
          </w:p>
          <w:p>
            <w:pPr>
              <w:pStyle w:val="TableContents"/>
              <w:bidi w:val="0"/>
              <w:spacing w:before="0" w:after="0"/>
              <w:jc w:val="center"/>
              <w:rPr>
                <w:rFonts w:ascii="Times New Roman" w:hAnsi="Times New Roman"/>
                <w:b/>
                <w:sz w:val="20"/>
              </w:rPr>
            </w:pPr>
            <w:r>
              <w:rPr>
                <w:rFonts w:ascii="Times New Roman" w:hAnsi="Times New Roman"/>
                <w:b/>
                <w:sz w:val="20"/>
              </w:rPr>
              <w:t>Stockholders’</w:t>
            </w:r>
          </w:p>
          <w:p>
            <w:pPr>
              <w:pStyle w:val="TableContents"/>
              <w:bidi w:val="0"/>
              <w:spacing w:before="0" w:after="0"/>
              <w:jc w:val="center"/>
              <w:rPr>
                <w:rFonts w:ascii="Times New Roman" w:hAnsi="Times New Roman"/>
                <w:b/>
                <w:sz w:val="20"/>
              </w:rPr>
            </w:pPr>
            <w:r>
              <w:rPr>
                <w:rFonts w:ascii="Times New Roman" w:hAnsi="Times New Roman"/>
                <w:b/>
                <w:sz w:val="20"/>
              </w:rPr>
              <w:t>Equity</w:t>
            </w:r>
          </w:p>
        </w:tc>
        <w:tc>
          <w:tcPr>
            <w:tcW w:w="110" w:type="dxa"/>
            <w:tcBorders/>
            <w:vAlign w:val="bottom"/>
          </w:tcPr>
          <w:p>
            <w:pPr>
              <w:pStyle w:val="TableContents"/>
              <w:bidi w:val="0"/>
              <w:spacing w:before="0" w:after="283"/>
              <w:jc w:val="left"/>
              <w:rPr/>
            </w:pPr>
            <w:r>
              <w:rPr/>
              <w:t> </w:t>
            </w:r>
          </w:p>
        </w:tc>
      </w:tr>
      <w:tr>
        <w:trPr/>
        <w:tc>
          <w:tcPr>
            <w:tcW w:w="1340" w:type="dxa"/>
            <w:tcBorders/>
            <w:shd w:fill="CCEEFF" w:val="clear"/>
            <w:vAlign w:val="bottom"/>
          </w:tcPr>
          <w:p>
            <w:pPr>
              <w:pStyle w:val="TableContents"/>
              <w:bidi w:val="0"/>
              <w:spacing w:before="0" w:after="0"/>
              <w:ind w:left="144" w:right="0" w:hanging="0"/>
              <w:jc w:val="left"/>
              <w:rPr>
                <w:rFonts w:ascii="Times New Roman" w:hAnsi="Times New Roman"/>
                <w:b/>
                <w:sz w:val="20"/>
              </w:rPr>
            </w:pPr>
            <w:r>
              <w:rPr>
                <w:rFonts w:ascii="Times New Roman" w:hAnsi="Times New Roman"/>
                <w:b/>
                <w:sz w:val="20"/>
              </w:rPr>
              <w:t>Balance, December 31, 2024</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31,625,073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7"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583"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322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4,385,738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8"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717"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105,864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780"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381,069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5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1090"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(7,270</w:t>
            </w:r>
          </w:p>
        </w:tc>
        <w:tc>
          <w:tcPr>
            <w:tcW w:w="8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755"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(249,643</w:t>
            </w:r>
          </w:p>
        </w:tc>
        <w:tc>
          <w:tcPr>
            <w:tcW w:w="9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shd w:fill="CCEEFF" w:val="clear"/>
            <w:vAlign w:val="bottom"/>
          </w:tcPr>
          <w:p>
            <w:pPr>
              <w:pStyle w:val="TableContents"/>
              <w:bidi w:val="0"/>
              <w:spacing w:before="0" w:after="283"/>
              <w:jc w:val="right"/>
              <w:rPr/>
            </w:pPr>
            <w:r>
              <w:rPr/>
              <w:t> </w:t>
            </w:r>
          </w:p>
        </w:tc>
        <w:tc>
          <w:tcPr>
            <w:tcW w:w="289"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1126"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3,280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9"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946"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233,622</w:t>
            </w:r>
          </w:p>
        </w:tc>
        <w:tc>
          <w:tcPr>
            <w:tcW w:w="110" w:type="dxa"/>
            <w:tcBorders/>
            <w:shd w:fill="CCEEFF" w:val="clear"/>
            <w:vAlign w:val="bottom"/>
          </w:tcPr>
          <w:p>
            <w:pPr>
              <w:pStyle w:val="TableContents"/>
              <w:bidi w:val="0"/>
              <w:spacing w:before="0" w:after="283"/>
              <w:jc w:val="left"/>
              <w:rPr/>
            </w:pPr>
            <w:r>
              <w:rPr/>
              <w:t> </w:t>
            </w:r>
          </w:p>
        </w:tc>
      </w:tr>
      <w:tr>
        <w:trPr/>
        <w:tc>
          <w:tcPr>
            <w:tcW w:w="1340" w:type="dxa"/>
            <w:tcBorders/>
            <w:vAlign w:val="bottom"/>
          </w:tcPr>
          <w:p>
            <w:pPr>
              <w:pStyle w:val="TableContents"/>
              <w:bidi w:val="0"/>
              <w:spacing w:before="0" w:after="0"/>
              <w:ind w:left="504" w:right="0" w:hanging="324"/>
              <w:jc w:val="left"/>
              <w:rPr>
                <w:rFonts w:ascii="Times New Roman" w:hAnsi="Times New Roman"/>
                <w:sz w:val="20"/>
              </w:rPr>
            </w:pPr>
            <w:r>
              <w:rPr>
                <w:rFonts w:ascii="Times New Roman" w:hAnsi="Times New Roman"/>
                <w:sz w:val="20"/>
              </w:rPr>
              <w:t>Issuance of common stock</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1,005,846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7" w:type="dxa"/>
            <w:tcBorders/>
            <w:vAlign w:val="bottom"/>
          </w:tcPr>
          <w:p>
            <w:pPr>
              <w:pStyle w:val="TableContents"/>
              <w:bidi w:val="0"/>
              <w:spacing w:before="0" w:after="283"/>
              <w:jc w:val="left"/>
              <w:rPr/>
            </w:pPr>
            <w:r>
              <w:rPr/>
              <w:t> </w:t>
            </w:r>
          </w:p>
        </w:tc>
        <w:tc>
          <w:tcPr>
            <w:tcW w:w="58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8" w:type="dxa"/>
            <w:tcBorders/>
            <w:vAlign w:val="bottom"/>
          </w:tcPr>
          <w:p>
            <w:pPr>
              <w:pStyle w:val="TableContents"/>
              <w:bidi w:val="0"/>
              <w:spacing w:before="0" w:after="283"/>
              <w:jc w:val="left"/>
              <w:rPr/>
            </w:pPr>
            <w:r>
              <w:rPr/>
              <w:t> </w:t>
            </w:r>
          </w:p>
        </w:tc>
        <w:tc>
          <w:tcPr>
            <w:tcW w:w="71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3,606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50" w:type="dxa"/>
            <w:tcBorders/>
            <w:vAlign w:val="bottom"/>
          </w:tcPr>
          <w:p>
            <w:pPr>
              <w:pStyle w:val="TableContents"/>
              <w:bidi w:val="0"/>
              <w:spacing w:before="0" w:after="283"/>
              <w:jc w:val="left"/>
              <w:rPr/>
            </w:pPr>
            <w:r>
              <w:rPr/>
              <w:t> </w:t>
            </w:r>
          </w:p>
        </w:tc>
        <w:tc>
          <w:tcPr>
            <w:tcW w:w="109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89"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9"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3,616</w:t>
            </w:r>
          </w:p>
        </w:tc>
        <w:tc>
          <w:tcPr>
            <w:tcW w:w="110" w:type="dxa"/>
            <w:tcBorders/>
            <w:vAlign w:val="bottom"/>
          </w:tcPr>
          <w:p>
            <w:pPr>
              <w:pStyle w:val="TableContents"/>
              <w:bidi w:val="0"/>
              <w:spacing w:before="0" w:after="283"/>
              <w:jc w:val="left"/>
              <w:rPr/>
            </w:pPr>
            <w:r>
              <w:rPr/>
              <w:t> </w:t>
            </w:r>
          </w:p>
        </w:tc>
      </w:tr>
      <w:tr>
        <w:trPr/>
        <w:tc>
          <w:tcPr>
            <w:tcW w:w="1340" w:type="dxa"/>
            <w:tcBorders/>
            <w:shd w:fill="CCEEFF" w:val="clear"/>
            <w:vAlign w:val="bottom"/>
          </w:tcPr>
          <w:p>
            <w:pPr>
              <w:pStyle w:val="TableContents"/>
              <w:bidi w:val="0"/>
              <w:spacing w:before="0" w:after="0"/>
              <w:ind w:left="504" w:right="0" w:hanging="324"/>
              <w:jc w:val="left"/>
              <w:rPr>
                <w:rFonts w:ascii="Times New Roman" w:hAnsi="Times New Roman"/>
                <w:color w:val="000000"/>
                <w:sz w:val="20"/>
              </w:rPr>
            </w:pPr>
            <w:r>
              <w:rPr>
                <w:rFonts w:ascii="Times New Roman" w:hAnsi="Times New Roman"/>
                <w:color w:val="000000"/>
                <w:sz w:val="20"/>
              </w:rPr>
              <w:t>Net Loss</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7" w:type="dxa"/>
            <w:tcBorders/>
            <w:shd w:fill="CCEEFF" w:val="clear"/>
            <w:vAlign w:val="bottom"/>
          </w:tcPr>
          <w:p>
            <w:pPr>
              <w:pStyle w:val="TableContents"/>
              <w:bidi w:val="0"/>
              <w:spacing w:before="0" w:after="283"/>
              <w:jc w:val="left"/>
              <w:rPr/>
            </w:pPr>
            <w:r>
              <w:rPr/>
              <w:t> </w:t>
            </w:r>
          </w:p>
        </w:tc>
        <w:tc>
          <w:tcPr>
            <w:tcW w:w="58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8" w:type="dxa"/>
            <w:tcBorders/>
            <w:shd w:fill="CCEEFF" w:val="clear"/>
            <w:vAlign w:val="bottom"/>
          </w:tcPr>
          <w:p>
            <w:pPr>
              <w:pStyle w:val="TableContents"/>
              <w:bidi w:val="0"/>
              <w:spacing w:before="0" w:after="283"/>
              <w:jc w:val="left"/>
              <w:rPr/>
            </w:pPr>
            <w:r>
              <w:rPr/>
              <w:t> </w:t>
            </w:r>
          </w:p>
        </w:tc>
        <w:tc>
          <w:tcPr>
            <w:tcW w:w="71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50" w:type="dxa"/>
            <w:tcBorders/>
            <w:shd w:fill="CCEEFF" w:val="clear"/>
            <w:vAlign w:val="bottom"/>
          </w:tcPr>
          <w:p>
            <w:pPr>
              <w:pStyle w:val="TableContents"/>
              <w:bidi w:val="0"/>
              <w:spacing w:before="0" w:after="283"/>
              <w:jc w:val="left"/>
              <w:rPr/>
            </w:pPr>
            <w:r>
              <w:rPr/>
              <w:t> </w:t>
            </w:r>
          </w:p>
        </w:tc>
        <w:tc>
          <w:tcPr>
            <w:tcW w:w="10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(6,859</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289"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(133</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69"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(6,992</w:t>
            </w:r>
          </w:p>
        </w:tc>
        <w:tc>
          <w:tcPr>
            <w:tcW w:w="11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1340" w:type="dxa"/>
            <w:tcBorders/>
            <w:vAlign w:val="bottom"/>
          </w:tcPr>
          <w:p>
            <w:pPr>
              <w:pStyle w:val="TableContents"/>
              <w:bidi w:val="0"/>
              <w:spacing w:before="0" w:after="0"/>
              <w:ind w:left="504" w:right="0" w:hanging="324"/>
              <w:jc w:val="left"/>
              <w:rPr>
                <w:rFonts w:ascii="Times New Roman" w:hAnsi="Times New Roman"/>
                <w:sz w:val="20"/>
              </w:rPr>
            </w:pPr>
            <w:r>
              <w:rPr>
                <w:rFonts w:ascii="Times New Roman" w:hAnsi="Times New Roman"/>
                <w:sz w:val="20"/>
              </w:rPr>
              <w:t>Other Comprehensive Income (Loss)</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7" w:type="dxa"/>
            <w:tcBorders/>
            <w:vAlign w:val="bottom"/>
          </w:tcPr>
          <w:p>
            <w:pPr>
              <w:pStyle w:val="TableContents"/>
              <w:bidi w:val="0"/>
              <w:spacing w:before="0" w:after="283"/>
              <w:jc w:val="left"/>
              <w:rPr/>
            </w:pPr>
            <w:r>
              <w:rPr/>
              <w:t> </w:t>
            </w:r>
          </w:p>
        </w:tc>
        <w:tc>
          <w:tcPr>
            <w:tcW w:w="58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8" w:type="dxa"/>
            <w:tcBorders/>
            <w:vAlign w:val="bottom"/>
          </w:tcPr>
          <w:p>
            <w:pPr>
              <w:pStyle w:val="TableContents"/>
              <w:bidi w:val="0"/>
              <w:spacing w:before="0" w:after="283"/>
              <w:jc w:val="left"/>
              <w:rPr/>
            </w:pPr>
            <w:r>
              <w:rPr/>
              <w:t> </w:t>
            </w:r>
          </w:p>
        </w:tc>
        <w:tc>
          <w:tcPr>
            <w:tcW w:w="71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50" w:type="dxa"/>
            <w:tcBorders/>
            <w:vAlign w:val="bottom"/>
          </w:tcPr>
          <w:p>
            <w:pPr>
              <w:pStyle w:val="TableContents"/>
              <w:bidi w:val="0"/>
              <w:spacing w:before="0" w:after="283"/>
              <w:jc w:val="left"/>
              <w:rPr/>
            </w:pPr>
            <w:r>
              <w:rPr/>
              <w:t> </w:t>
            </w:r>
          </w:p>
        </w:tc>
        <w:tc>
          <w:tcPr>
            <w:tcW w:w="109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6,850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89"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(85</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69"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6,765</w:t>
            </w:r>
          </w:p>
        </w:tc>
        <w:tc>
          <w:tcPr>
            <w:tcW w:w="110" w:type="dxa"/>
            <w:tcBorders/>
            <w:vAlign w:val="bottom"/>
          </w:tcPr>
          <w:p>
            <w:pPr>
              <w:pStyle w:val="TableContents"/>
              <w:bidi w:val="0"/>
              <w:spacing w:before="0" w:after="283"/>
              <w:jc w:val="left"/>
              <w:rPr/>
            </w:pPr>
            <w:r>
              <w:rPr/>
              <w:t> </w:t>
            </w:r>
          </w:p>
        </w:tc>
      </w:tr>
      <w:tr>
        <w:trPr/>
        <w:tc>
          <w:tcPr>
            <w:tcW w:w="1340" w:type="dxa"/>
            <w:tcBorders/>
            <w:shd w:fill="CCEEFF" w:val="clear"/>
            <w:vAlign w:val="bottom"/>
          </w:tcPr>
          <w:p>
            <w:pPr>
              <w:pStyle w:val="TableContents"/>
              <w:bidi w:val="0"/>
              <w:spacing w:before="0" w:after="0"/>
              <w:ind w:left="504" w:right="0" w:hanging="324"/>
              <w:jc w:val="left"/>
              <w:rPr>
                <w:rFonts w:ascii="Times New Roman" w:hAnsi="Times New Roman"/>
                <w:sz w:val="20"/>
              </w:rPr>
            </w:pPr>
            <w:r>
              <w:rPr>
                <w:rFonts w:ascii="Times New Roman" w:hAnsi="Times New Roman"/>
                <w:sz w:val="20"/>
              </w:rPr>
              <w:t>LTIP-OP Unit awards</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7" w:type="dxa"/>
            <w:tcBorders/>
            <w:shd w:fill="CCEEFF" w:val="clear"/>
            <w:vAlign w:val="bottom"/>
          </w:tcPr>
          <w:p>
            <w:pPr>
              <w:pStyle w:val="TableContents"/>
              <w:bidi w:val="0"/>
              <w:spacing w:before="0" w:after="283"/>
              <w:jc w:val="left"/>
              <w:rPr/>
            </w:pPr>
            <w:r>
              <w:rPr/>
              <w:t> </w:t>
            </w:r>
          </w:p>
        </w:tc>
        <w:tc>
          <w:tcPr>
            <w:tcW w:w="58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8" w:type="dxa"/>
            <w:tcBorders/>
            <w:shd w:fill="CCEEFF" w:val="clear"/>
            <w:vAlign w:val="bottom"/>
          </w:tcPr>
          <w:p>
            <w:pPr>
              <w:pStyle w:val="TableContents"/>
              <w:bidi w:val="0"/>
              <w:spacing w:before="0" w:after="283"/>
              <w:jc w:val="left"/>
              <w:rPr/>
            </w:pPr>
            <w:r>
              <w:rPr/>
              <w:t> </w:t>
            </w:r>
          </w:p>
        </w:tc>
        <w:tc>
          <w:tcPr>
            <w:tcW w:w="71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50" w:type="dxa"/>
            <w:tcBorders/>
            <w:shd w:fill="CCEEFF" w:val="clear"/>
            <w:vAlign w:val="bottom"/>
          </w:tcPr>
          <w:p>
            <w:pPr>
              <w:pStyle w:val="TableContents"/>
              <w:bidi w:val="0"/>
              <w:spacing w:before="0" w:after="283"/>
              <w:jc w:val="left"/>
              <w:rPr/>
            </w:pPr>
            <w:r>
              <w:rPr/>
              <w:t> </w:t>
            </w:r>
          </w:p>
        </w:tc>
        <w:tc>
          <w:tcPr>
            <w:tcW w:w="10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89"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84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9"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84</w:t>
            </w:r>
          </w:p>
        </w:tc>
        <w:tc>
          <w:tcPr>
            <w:tcW w:w="110" w:type="dxa"/>
            <w:tcBorders/>
            <w:shd w:fill="CCEEFF" w:val="clear"/>
            <w:vAlign w:val="bottom"/>
          </w:tcPr>
          <w:p>
            <w:pPr>
              <w:pStyle w:val="TableContents"/>
              <w:bidi w:val="0"/>
              <w:spacing w:before="0" w:after="283"/>
              <w:jc w:val="left"/>
              <w:rPr/>
            </w:pPr>
            <w:r>
              <w:rPr/>
              <w:t> </w:t>
            </w:r>
          </w:p>
        </w:tc>
      </w:tr>
      <w:tr>
        <w:trPr/>
        <w:tc>
          <w:tcPr>
            <w:tcW w:w="1340" w:type="dxa"/>
            <w:tcBorders/>
            <w:vAlign w:val="bottom"/>
          </w:tcPr>
          <w:p>
            <w:pPr>
              <w:pStyle w:val="TableContents"/>
              <w:bidi w:val="0"/>
              <w:spacing w:before="0" w:after="0"/>
              <w:ind w:left="504" w:right="0" w:hanging="324"/>
              <w:jc w:val="left"/>
              <w:rPr>
                <w:rFonts w:ascii="Times New Roman" w:hAnsi="Times New Roman"/>
                <w:sz w:val="20"/>
              </w:rPr>
            </w:pPr>
            <w:r>
              <w:rPr>
                <w:rFonts w:ascii="Times New Roman" w:hAnsi="Times New Roman"/>
                <w:sz w:val="20"/>
              </w:rPr>
              <w:t>Distribution paid on LTIP-OP Units</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7" w:type="dxa"/>
            <w:tcBorders/>
            <w:vAlign w:val="bottom"/>
          </w:tcPr>
          <w:p>
            <w:pPr>
              <w:pStyle w:val="TableContents"/>
              <w:bidi w:val="0"/>
              <w:spacing w:before="0" w:after="283"/>
              <w:jc w:val="left"/>
              <w:rPr/>
            </w:pPr>
            <w:r>
              <w:rPr/>
              <w:t> </w:t>
            </w:r>
          </w:p>
        </w:tc>
        <w:tc>
          <w:tcPr>
            <w:tcW w:w="58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8" w:type="dxa"/>
            <w:tcBorders/>
            <w:vAlign w:val="bottom"/>
          </w:tcPr>
          <w:p>
            <w:pPr>
              <w:pStyle w:val="TableContents"/>
              <w:bidi w:val="0"/>
              <w:spacing w:before="0" w:after="283"/>
              <w:jc w:val="left"/>
              <w:rPr/>
            </w:pPr>
            <w:r>
              <w:rPr/>
              <w:t> </w:t>
            </w:r>
          </w:p>
        </w:tc>
        <w:tc>
          <w:tcPr>
            <w:tcW w:w="71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50" w:type="dxa"/>
            <w:tcBorders/>
            <w:vAlign w:val="bottom"/>
          </w:tcPr>
          <w:p>
            <w:pPr>
              <w:pStyle w:val="TableContents"/>
              <w:bidi w:val="0"/>
              <w:spacing w:before="0" w:after="283"/>
              <w:jc w:val="left"/>
              <w:rPr/>
            </w:pPr>
            <w:r>
              <w:rPr/>
              <w:t> </w:t>
            </w:r>
          </w:p>
        </w:tc>
        <w:tc>
          <w:tcPr>
            <w:tcW w:w="109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89"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(90</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69"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(90</w:t>
            </w:r>
          </w:p>
        </w:tc>
        <w:tc>
          <w:tcPr>
            <w:tcW w:w="11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1340" w:type="dxa"/>
            <w:tcBorders/>
            <w:shd w:fill="CCEEFF" w:val="clear"/>
            <w:vAlign w:val="bottom"/>
          </w:tcPr>
          <w:p>
            <w:pPr>
              <w:pStyle w:val="TableContents"/>
              <w:bidi w:val="0"/>
              <w:spacing w:before="0" w:after="0"/>
              <w:ind w:left="504" w:right="0" w:hanging="0"/>
              <w:jc w:val="left"/>
              <w:rPr>
                <w:rFonts w:ascii="Times New Roman" w:hAnsi="Times New Roman"/>
                <w:sz w:val="20"/>
              </w:rPr>
            </w:pPr>
            <w:r>
              <w:rPr>
                <w:rFonts w:ascii="Times New Roman" w:hAnsi="Times New Roman"/>
                <w:sz w:val="20"/>
              </w:rPr>
              <w:t>Common dividends declared, $0.15 per share</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7" w:type="dxa"/>
            <w:tcBorders/>
            <w:shd w:fill="CCEEFF" w:val="clear"/>
            <w:vAlign w:val="bottom"/>
          </w:tcPr>
          <w:p>
            <w:pPr>
              <w:pStyle w:val="TableContents"/>
              <w:bidi w:val="0"/>
              <w:spacing w:before="0" w:after="283"/>
              <w:jc w:val="left"/>
              <w:rPr/>
            </w:pPr>
            <w:r>
              <w:rPr/>
              <w:t> </w:t>
            </w:r>
          </w:p>
        </w:tc>
        <w:tc>
          <w:tcPr>
            <w:tcW w:w="58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8" w:type="dxa"/>
            <w:tcBorders/>
            <w:shd w:fill="CCEEFF" w:val="clear"/>
            <w:vAlign w:val="bottom"/>
          </w:tcPr>
          <w:p>
            <w:pPr>
              <w:pStyle w:val="TableContents"/>
              <w:bidi w:val="0"/>
              <w:spacing w:before="0" w:after="283"/>
              <w:jc w:val="left"/>
              <w:rPr/>
            </w:pPr>
            <w:r>
              <w:rPr/>
              <w:t> </w:t>
            </w:r>
          </w:p>
        </w:tc>
        <w:tc>
          <w:tcPr>
            <w:tcW w:w="71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50" w:type="dxa"/>
            <w:tcBorders/>
            <w:shd w:fill="CCEEFF" w:val="clear"/>
            <w:vAlign w:val="bottom"/>
          </w:tcPr>
          <w:p>
            <w:pPr>
              <w:pStyle w:val="TableContents"/>
              <w:bidi w:val="0"/>
              <w:spacing w:before="0" w:after="283"/>
              <w:jc w:val="left"/>
              <w:rPr/>
            </w:pPr>
            <w:r>
              <w:rPr/>
              <w:t> </w:t>
            </w:r>
          </w:p>
        </w:tc>
        <w:tc>
          <w:tcPr>
            <w:tcW w:w="10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(4,919</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289"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9"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(4,919</w:t>
            </w:r>
          </w:p>
        </w:tc>
        <w:tc>
          <w:tcPr>
            <w:tcW w:w="11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1340" w:type="dxa"/>
            <w:tcBorders/>
            <w:vAlign w:val="bottom"/>
          </w:tcPr>
          <w:p>
            <w:pPr>
              <w:pStyle w:val="TableContents"/>
              <w:bidi w:val="0"/>
              <w:spacing w:before="0" w:after="0"/>
              <w:ind w:left="504" w:right="0" w:hanging="0"/>
              <w:jc w:val="left"/>
              <w:rPr>
                <w:rFonts w:ascii="Times New Roman" w:hAnsi="Times New Roman"/>
                <w:sz w:val="20"/>
              </w:rPr>
            </w:pPr>
            <w:r>
              <w:rPr>
                <w:rFonts w:ascii="Times New Roman" w:hAnsi="Times New Roman"/>
                <w:sz w:val="20"/>
              </w:rPr>
              <w:t>Preferred Series A dividends declared, $0.5125 per share</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7" w:type="dxa"/>
            <w:tcBorders/>
            <w:vAlign w:val="bottom"/>
          </w:tcPr>
          <w:p>
            <w:pPr>
              <w:pStyle w:val="TableContents"/>
              <w:bidi w:val="0"/>
              <w:spacing w:before="0" w:after="283"/>
              <w:jc w:val="left"/>
              <w:rPr/>
            </w:pPr>
            <w:r>
              <w:rPr/>
              <w:t> </w:t>
            </w:r>
          </w:p>
        </w:tc>
        <w:tc>
          <w:tcPr>
            <w:tcW w:w="58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8" w:type="dxa"/>
            <w:tcBorders/>
            <w:vAlign w:val="bottom"/>
          </w:tcPr>
          <w:p>
            <w:pPr>
              <w:pStyle w:val="TableContents"/>
              <w:bidi w:val="0"/>
              <w:spacing w:before="0" w:after="283"/>
              <w:jc w:val="left"/>
              <w:rPr/>
            </w:pPr>
            <w:r>
              <w:rPr/>
              <w:t> </w:t>
            </w:r>
          </w:p>
        </w:tc>
        <w:tc>
          <w:tcPr>
            <w:tcW w:w="71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50" w:type="dxa"/>
            <w:tcBorders/>
            <w:vAlign w:val="bottom"/>
          </w:tcPr>
          <w:p>
            <w:pPr>
              <w:pStyle w:val="TableContents"/>
              <w:bidi w:val="0"/>
              <w:spacing w:before="0" w:after="283"/>
              <w:jc w:val="left"/>
              <w:rPr/>
            </w:pPr>
            <w:r>
              <w:rPr/>
              <w:t> </w:t>
            </w:r>
          </w:p>
        </w:tc>
        <w:tc>
          <w:tcPr>
            <w:tcW w:w="109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(1,432</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289"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9"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(1,432</w:t>
            </w:r>
          </w:p>
        </w:tc>
        <w:tc>
          <w:tcPr>
            <w:tcW w:w="11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1340" w:type="dxa"/>
            <w:tcBorders/>
            <w:shd w:fill="CCEEFF" w:val="clear"/>
            <w:vAlign w:val="bottom"/>
          </w:tcPr>
          <w:p>
            <w:pPr>
              <w:pStyle w:val="TableContents"/>
              <w:bidi w:val="0"/>
              <w:spacing w:before="0" w:after="0"/>
              <w:ind w:left="180" w:right="0" w:hanging="0"/>
              <w:jc w:val="left"/>
              <w:rPr/>
            </w:pPr>
            <w:r>
              <w:rPr/>
              <w:t>Preferred Series B dividends declared, $0.6372 per share</w:t>
            </w:r>
          </w:p>
        </w:tc>
        <w:tc>
          <w:tcPr>
            <w:tcW w:w="60" w:type="dxa"/>
            <w:tcBorders/>
            <w:shd w:fill="CCEEFF" w:val="clear"/>
            <w:vAlign w:val="bottom"/>
          </w:tcPr>
          <w:p>
            <w:pPr>
              <w:pStyle w:val="TableContents"/>
              <w:bidi w:val="0"/>
              <w:spacing w:before="0" w:after="283"/>
              <w:jc w:val="righ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83" w:type="dxa"/>
            <w:tcBorders>
              <w:bottom w:val="single" w:sz="12" w:space="0" w:color="000000"/>
            </w:tcBorders>
            <w:shd w:fill="CCEEFF" w:val="clear"/>
            <w:tcMar>
              <w:bottom w:w="28" w:type="dxa"/>
            </w:tcM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17" w:type="dxa"/>
            <w:tcBorders>
              <w:bottom w:val="single" w:sz="12" w:space="0" w:color="000000"/>
            </w:tcBorders>
            <w:shd w:fill="CCEEFF" w:val="clear"/>
            <w:tcMar>
              <w:bottom w:w="28" w:type="dxa"/>
            </w:tcM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80" w:type="dxa"/>
            <w:tcBorders>
              <w:bottom w:val="single" w:sz="12" w:space="0" w:color="000000"/>
            </w:tcBorders>
            <w:shd w:fill="CCEEFF" w:val="clear"/>
            <w:tcMar>
              <w:bottom w:w="28" w:type="dxa"/>
            </w:tcM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5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90" w:type="dxa"/>
            <w:tcBorders>
              <w:bottom w:val="single" w:sz="12" w:space="0" w:color="000000"/>
            </w:tcBorders>
            <w:shd w:fill="CCEEFF" w:val="clear"/>
            <w:tcMar>
              <w:bottom w:w="28" w:type="dxa"/>
            </w:tcMar>
            <w:vAlign w:val="bottom"/>
          </w:tcPr>
          <w:p>
            <w:pPr>
              <w:pStyle w:val="TableContents"/>
              <w:bidi w:val="0"/>
              <w:spacing w:before="0" w:after="283"/>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bottom"/>
          </w:tcPr>
          <w:p>
            <w:pPr>
              <w:pStyle w:val="TableContents"/>
              <w:bidi w:val="0"/>
              <w:spacing w:before="0" w:after="283"/>
              <w:jc w:val="right"/>
              <w:rPr/>
            </w:pPr>
            <w:r>
              <w:rPr/>
              <w:t>(1,022</w:t>
            </w:r>
          </w:p>
        </w:tc>
        <w:tc>
          <w:tcPr>
            <w:tcW w:w="95" w:type="dxa"/>
            <w:tcBorders/>
            <w:shd w:fill="CCEEFF" w:val="clear"/>
            <w:vAlign w:val="bottom"/>
          </w:tcPr>
          <w:p>
            <w:pPr>
              <w:pStyle w:val="TableContents"/>
              <w:bidi w:val="0"/>
              <w:spacing w:before="0" w:after="283"/>
              <w:jc w:val="left"/>
              <w:rPr/>
            </w:pPr>
            <w:r>
              <w:rPr/>
              <w:t>)</w:t>
            </w:r>
          </w:p>
        </w:tc>
        <w:tc>
          <w:tcPr>
            <w:tcW w:w="60" w:type="dxa"/>
            <w:tcBorders/>
            <w:shd w:fill="CCEEFF" w:val="clear"/>
            <w:vAlign w:val="bottom"/>
          </w:tcPr>
          <w:p>
            <w:pPr>
              <w:pStyle w:val="TableContents"/>
              <w:bidi w:val="0"/>
              <w:spacing w:before="0" w:after="283"/>
              <w:jc w:val="right"/>
              <w:rPr/>
            </w:pPr>
            <w:r>
              <w:rPr/>
              <w:t> </w:t>
            </w:r>
          </w:p>
        </w:tc>
        <w:tc>
          <w:tcPr>
            <w:tcW w:w="28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26" w:type="dxa"/>
            <w:tcBorders>
              <w:bottom w:val="single" w:sz="12" w:space="0" w:color="000000"/>
            </w:tcBorders>
            <w:shd w:fill="CCEEFF" w:val="clear"/>
            <w:tcMar>
              <w:bottom w:w="28" w:type="dxa"/>
            </w:tcMar>
            <w:vAlign w:val="bottom"/>
          </w:tcPr>
          <w:p>
            <w:pPr>
              <w:pStyle w:val="TableContents"/>
              <w:bidi w:val="0"/>
              <w:spacing w:before="0" w:after="283"/>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46" w:type="dxa"/>
            <w:tcBorders>
              <w:bottom w:val="single" w:sz="12" w:space="0" w:color="000000"/>
            </w:tcBorders>
            <w:shd w:fill="CCEEFF" w:val="clear"/>
            <w:tcMar>
              <w:bottom w:w="28" w:type="dxa"/>
            </w:tcMar>
            <w:vAlign w:val="bottom"/>
          </w:tcPr>
          <w:p>
            <w:pPr>
              <w:pStyle w:val="TableContents"/>
              <w:bidi w:val="0"/>
              <w:spacing w:before="0" w:after="283"/>
              <w:jc w:val="right"/>
              <w:rPr/>
            </w:pPr>
            <w:r>
              <w:rPr/>
              <w:t>(1,022</w:t>
            </w:r>
          </w:p>
        </w:tc>
        <w:tc>
          <w:tcPr>
            <w:tcW w:w="110" w:type="dxa"/>
            <w:tcBorders/>
            <w:shd w:fill="CCEEFF" w:val="clear"/>
            <w:vAlign w:val="bottom"/>
          </w:tcPr>
          <w:p>
            <w:pPr>
              <w:pStyle w:val="TableContents"/>
              <w:bidi w:val="0"/>
              <w:spacing w:before="0" w:after="283"/>
              <w:jc w:val="left"/>
              <w:rPr/>
            </w:pPr>
            <w:r>
              <w:rPr/>
              <w:t>)</w:t>
            </w:r>
          </w:p>
        </w:tc>
      </w:tr>
      <w:tr>
        <w:trPr/>
        <w:tc>
          <w:tcPr>
            <w:tcW w:w="1340" w:type="dxa"/>
            <w:tcBorders/>
            <w:vAlign w:val="bottom"/>
          </w:tcPr>
          <w:p>
            <w:pPr>
              <w:pStyle w:val="TableContents"/>
              <w:bidi w:val="0"/>
              <w:spacing w:before="0" w:after="0"/>
              <w:ind w:left="144" w:right="0" w:hanging="0"/>
              <w:jc w:val="left"/>
              <w:rPr>
                <w:rFonts w:ascii="Times New Roman" w:hAnsi="Times New Roman"/>
                <w:b/>
                <w:sz w:val="20"/>
              </w:rPr>
            </w:pPr>
            <w:r>
              <w:rPr>
                <w:rFonts w:ascii="Times New Roman" w:hAnsi="Times New Roman"/>
                <w:b/>
                <w:sz w:val="20"/>
              </w:rPr>
              <w:t>Balance, March 31, 2025</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32,630,919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7"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583"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332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4,385,738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8"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717"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105,864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780"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384,675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5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1090"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(420</w:t>
            </w:r>
          </w:p>
        </w:tc>
        <w:tc>
          <w:tcPr>
            <w:tcW w:w="8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755"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(263,875</w:t>
            </w:r>
          </w:p>
        </w:tc>
        <w:tc>
          <w:tcPr>
            <w:tcW w:w="9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vAlign w:val="bottom"/>
          </w:tcPr>
          <w:p>
            <w:pPr>
              <w:pStyle w:val="TableContents"/>
              <w:bidi w:val="0"/>
              <w:spacing w:before="0" w:after="283"/>
              <w:jc w:val="right"/>
              <w:rPr/>
            </w:pPr>
            <w:r>
              <w:rPr/>
              <w:t> </w:t>
            </w:r>
          </w:p>
        </w:tc>
        <w:tc>
          <w:tcPr>
            <w:tcW w:w="289"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1126"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3,056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9"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946"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229,632</w:t>
            </w:r>
          </w:p>
        </w:tc>
        <w:tc>
          <w:tcPr>
            <w:tcW w:w="110" w:type="dxa"/>
            <w:tcBorders/>
            <w:vAlign w:val="bottom"/>
          </w:tcPr>
          <w:p>
            <w:pPr>
              <w:pStyle w:val="TableContents"/>
              <w:bidi w:val="0"/>
              <w:spacing w:before="0" w:after="283"/>
              <w:jc w:val="left"/>
              <w:rPr/>
            </w:pPr>
            <w:r>
              <w:rPr/>
              <w:t> </w:t>
            </w:r>
          </w:p>
        </w:tc>
      </w:tr>
      <w:tr>
        <w:trPr/>
        <w:tc>
          <w:tcPr>
            <w:tcW w:w="1340" w:type="dxa"/>
            <w:tcBorders/>
            <w:shd w:fill="CCEEFF" w:val="clear"/>
            <w:vAlign w:val="bottom"/>
          </w:tcPr>
          <w:p>
            <w:pPr>
              <w:pStyle w:val="TableContents"/>
              <w:bidi w:val="0"/>
              <w:spacing w:before="0" w:after="0"/>
              <w:ind w:left="324" w:right="0" w:hanging="144"/>
              <w:jc w:val="left"/>
              <w:rPr>
                <w:rFonts w:ascii="Times New Roman" w:hAnsi="Times New Roman"/>
                <w:sz w:val="20"/>
              </w:rPr>
            </w:pPr>
            <w:r>
              <w:rPr>
                <w:rFonts w:ascii="Times New Roman" w:hAnsi="Times New Roman"/>
                <w:sz w:val="20"/>
              </w:rPr>
              <w:t>Issuance of common stock</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3,414,173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7" w:type="dxa"/>
            <w:tcBorders/>
            <w:shd w:fill="CCEEFF" w:val="clear"/>
            <w:vAlign w:val="bottom"/>
          </w:tcPr>
          <w:p>
            <w:pPr>
              <w:pStyle w:val="TableContents"/>
              <w:bidi w:val="0"/>
              <w:spacing w:before="0" w:after="283"/>
              <w:jc w:val="left"/>
              <w:rPr/>
            </w:pPr>
            <w:r>
              <w:rPr/>
              <w:t> </w:t>
            </w:r>
          </w:p>
        </w:tc>
        <w:tc>
          <w:tcPr>
            <w:tcW w:w="58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8" w:type="dxa"/>
            <w:tcBorders/>
            <w:shd w:fill="CCEEFF" w:val="clear"/>
            <w:vAlign w:val="bottom"/>
          </w:tcPr>
          <w:p>
            <w:pPr>
              <w:pStyle w:val="TableContents"/>
              <w:bidi w:val="0"/>
              <w:spacing w:before="0" w:after="283"/>
              <w:jc w:val="left"/>
              <w:rPr/>
            </w:pPr>
            <w:r>
              <w:rPr/>
              <w:t> </w:t>
            </w:r>
          </w:p>
        </w:tc>
        <w:tc>
          <w:tcPr>
            <w:tcW w:w="71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8,892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50" w:type="dxa"/>
            <w:tcBorders/>
            <w:shd w:fill="CCEEFF" w:val="clear"/>
            <w:vAlign w:val="bottom"/>
          </w:tcPr>
          <w:p>
            <w:pPr>
              <w:pStyle w:val="TableContents"/>
              <w:bidi w:val="0"/>
              <w:spacing w:before="0" w:after="283"/>
              <w:jc w:val="left"/>
              <w:rPr/>
            </w:pPr>
            <w:r>
              <w:rPr/>
              <w:t> </w:t>
            </w:r>
          </w:p>
        </w:tc>
        <w:tc>
          <w:tcPr>
            <w:tcW w:w="10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89"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9"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8,925</w:t>
            </w:r>
          </w:p>
        </w:tc>
        <w:tc>
          <w:tcPr>
            <w:tcW w:w="110" w:type="dxa"/>
            <w:tcBorders/>
            <w:shd w:fill="CCEEFF" w:val="clear"/>
            <w:vAlign w:val="bottom"/>
          </w:tcPr>
          <w:p>
            <w:pPr>
              <w:pStyle w:val="TableContents"/>
              <w:bidi w:val="0"/>
              <w:spacing w:before="0" w:after="283"/>
              <w:jc w:val="left"/>
              <w:rPr/>
            </w:pPr>
            <w:r>
              <w:rPr/>
              <w:t> </w:t>
            </w:r>
          </w:p>
        </w:tc>
      </w:tr>
      <w:tr>
        <w:trPr/>
        <w:tc>
          <w:tcPr>
            <w:tcW w:w="1340" w:type="dxa"/>
            <w:tcBorders/>
            <w:vAlign w:val="bottom"/>
          </w:tcPr>
          <w:p>
            <w:pPr>
              <w:pStyle w:val="TableContents"/>
              <w:bidi w:val="0"/>
              <w:spacing w:before="0" w:after="0"/>
              <w:ind w:left="360" w:right="0" w:hanging="180"/>
              <w:jc w:val="left"/>
              <w:rPr/>
            </w:pPr>
            <w:r>
              <w:rPr/>
              <w:t>Redemption of OP units</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7" w:type="dxa"/>
            <w:tcBorders/>
            <w:vAlign w:val="bottom"/>
          </w:tcPr>
          <w:p>
            <w:pPr>
              <w:pStyle w:val="TableContents"/>
              <w:bidi w:val="0"/>
              <w:spacing w:before="0" w:after="283"/>
              <w:jc w:val="left"/>
              <w:rPr/>
            </w:pPr>
            <w:r>
              <w:rPr/>
              <w:t> </w:t>
            </w:r>
          </w:p>
        </w:tc>
        <w:tc>
          <w:tcPr>
            <w:tcW w:w="583"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8" w:type="dxa"/>
            <w:tcBorders/>
            <w:vAlign w:val="bottom"/>
          </w:tcPr>
          <w:p>
            <w:pPr>
              <w:pStyle w:val="TableContents"/>
              <w:bidi w:val="0"/>
              <w:spacing w:before="0" w:after="283"/>
              <w:jc w:val="left"/>
              <w:rPr/>
            </w:pPr>
            <w:r>
              <w:rPr/>
              <w:t> </w:t>
            </w:r>
          </w:p>
        </w:tc>
        <w:tc>
          <w:tcPr>
            <w:tcW w:w="717"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283"/>
              <w:jc w:val="right"/>
              <w:rPr/>
            </w:pPr>
            <w:r>
              <w:rPr/>
              <w:t>437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50" w:type="dxa"/>
            <w:tcBorders/>
            <w:vAlign w:val="bottom"/>
          </w:tcPr>
          <w:p>
            <w:pPr>
              <w:pStyle w:val="TableContents"/>
              <w:bidi w:val="0"/>
              <w:spacing w:before="0" w:after="283"/>
              <w:jc w:val="left"/>
              <w:rPr/>
            </w:pPr>
            <w:r>
              <w:rPr/>
              <w:t> </w:t>
            </w:r>
          </w:p>
        </w:tc>
        <w:tc>
          <w:tcPr>
            <w:tcW w:w="1090" w:type="dxa"/>
            <w:tcBorders/>
            <w:vAlign w:val="bottom"/>
          </w:tcPr>
          <w:p>
            <w:pPr>
              <w:pStyle w:val="TableContents"/>
              <w:bidi w:val="0"/>
              <w:spacing w:before="0" w:after="283"/>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89"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right"/>
              <w:rPr/>
            </w:pPr>
            <w:r>
              <w:rPr/>
              <w:t>(539</w:t>
            </w:r>
          </w:p>
        </w:tc>
        <w:tc>
          <w:tcPr>
            <w:tcW w:w="95" w:type="dxa"/>
            <w:tcBorders/>
            <w:vAlign w:val="bottom"/>
          </w:tcPr>
          <w:p>
            <w:pPr>
              <w:pStyle w:val="TableContents"/>
              <w:bidi w:val="0"/>
              <w:spacing w:before="0" w:after="283"/>
              <w:jc w:val="left"/>
              <w:rPr/>
            </w:pPr>
            <w:r>
              <w:rPr/>
              <w:t>)</w:t>
            </w:r>
          </w:p>
        </w:tc>
        <w:tc>
          <w:tcPr>
            <w:tcW w:w="60" w:type="dxa"/>
            <w:tcBorders/>
            <w:vAlign w:val="bottom"/>
          </w:tcPr>
          <w:p>
            <w:pPr>
              <w:pStyle w:val="TableContents"/>
              <w:bidi w:val="0"/>
              <w:spacing w:before="0" w:after="283"/>
              <w:jc w:val="right"/>
              <w:rPr/>
            </w:pPr>
            <w:r>
              <w:rPr/>
              <w:t> </w:t>
            </w:r>
          </w:p>
        </w:tc>
        <w:tc>
          <w:tcPr>
            <w:tcW w:w="169"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right"/>
              <w:rPr/>
            </w:pPr>
            <w:r>
              <w:rPr/>
              <w:t>(102</w:t>
            </w:r>
          </w:p>
        </w:tc>
        <w:tc>
          <w:tcPr>
            <w:tcW w:w="110" w:type="dxa"/>
            <w:tcBorders/>
            <w:vAlign w:val="bottom"/>
          </w:tcPr>
          <w:p>
            <w:pPr>
              <w:pStyle w:val="TableContents"/>
              <w:bidi w:val="0"/>
              <w:spacing w:before="0" w:after="283"/>
              <w:jc w:val="left"/>
              <w:rPr/>
            </w:pPr>
            <w:r>
              <w:rPr/>
              <w:t>)</w:t>
            </w:r>
          </w:p>
        </w:tc>
      </w:tr>
      <w:tr>
        <w:trPr/>
        <w:tc>
          <w:tcPr>
            <w:tcW w:w="1340" w:type="dxa"/>
            <w:tcBorders/>
            <w:shd w:fill="CCEEFF" w:val="clear"/>
            <w:vAlign w:val="bottom"/>
          </w:tcPr>
          <w:p>
            <w:pPr>
              <w:pStyle w:val="TableContents"/>
              <w:bidi w:val="0"/>
              <w:spacing w:before="0" w:after="0"/>
              <w:ind w:left="324" w:right="0" w:hanging="144"/>
              <w:jc w:val="left"/>
              <w:rPr>
                <w:rFonts w:ascii="Times New Roman" w:hAnsi="Times New Roman"/>
                <w:sz w:val="20"/>
              </w:rPr>
            </w:pPr>
            <w:r>
              <w:rPr>
                <w:rFonts w:ascii="Times New Roman" w:hAnsi="Times New Roman"/>
                <w:sz w:val="20"/>
              </w:rPr>
              <w:t>Net Income</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7" w:type="dxa"/>
            <w:tcBorders/>
            <w:shd w:fill="CCEEFF" w:val="clear"/>
            <w:vAlign w:val="bottom"/>
          </w:tcPr>
          <w:p>
            <w:pPr>
              <w:pStyle w:val="TableContents"/>
              <w:bidi w:val="0"/>
              <w:spacing w:before="0" w:after="283"/>
              <w:jc w:val="left"/>
              <w:rPr/>
            </w:pPr>
            <w:r>
              <w:rPr/>
              <w:t> </w:t>
            </w:r>
          </w:p>
        </w:tc>
        <w:tc>
          <w:tcPr>
            <w:tcW w:w="58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8" w:type="dxa"/>
            <w:tcBorders/>
            <w:shd w:fill="CCEEFF" w:val="clear"/>
            <w:vAlign w:val="bottom"/>
          </w:tcPr>
          <w:p>
            <w:pPr>
              <w:pStyle w:val="TableContents"/>
              <w:bidi w:val="0"/>
              <w:spacing w:before="0" w:after="283"/>
              <w:jc w:val="left"/>
              <w:rPr/>
            </w:pPr>
            <w:r>
              <w:rPr/>
              <w:t> </w:t>
            </w:r>
          </w:p>
        </w:tc>
        <w:tc>
          <w:tcPr>
            <w:tcW w:w="71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50" w:type="dxa"/>
            <w:tcBorders/>
            <w:shd w:fill="CCEEFF" w:val="clear"/>
            <w:vAlign w:val="bottom"/>
          </w:tcPr>
          <w:p>
            <w:pPr>
              <w:pStyle w:val="TableContents"/>
              <w:bidi w:val="0"/>
              <w:spacing w:before="0" w:after="283"/>
              <w:jc w:val="left"/>
              <w:rPr/>
            </w:pPr>
            <w:r>
              <w:rPr/>
              <w:t> </w:t>
            </w:r>
          </w:p>
        </w:tc>
        <w:tc>
          <w:tcPr>
            <w:tcW w:w="10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1,527</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89"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9"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1,561</w:t>
            </w:r>
          </w:p>
        </w:tc>
        <w:tc>
          <w:tcPr>
            <w:tcW w:w="110" w:type="dxa"/>
            <w:tcBorders/>
            <w:shd w:fill="CCEEFF" w:val="clear"/>
            <w:vAlign w:val="bottom"/>
          </w:tcPr>
          <w:p>
            <w:pPr>
              <w:pStyle w:val="TableContents"/>
              <w:bidi w:val="0"/>
              <w:spacing w:before="0" w:after="283"/>
              <w:jc w:val="left"/>
              <w:rPr/>
            </w:pPr>
            <w:r>
              <w:rPr/>
              <w:t> </w:t>
            </w:r>
          </w:p>
        </w:tc>
      </w:tr>
      <w:tr>
        <w:trPr/>
        <w:tc>
          <w:tcPr>
            <w:tcW w:w="1340" w:type="dxa"/>
            <w:tcBorders/>
            <w:vAlign w:val="bottom"/>
          </w:tcPr>
          <w:p>
            <w:pPr>
              <w:pStyle w:val="TableContents"/>
              <w:bidi w:val="0"/>
              <w:spacing w:before="0" w:after="0"/>
              <w:ind w:left="324" w:right="0" w:hanging="144"/>
              <w:jc w:val="left"/>
              <w:rPr>
                <w:rFonts w:ascii="Times New Roman" w:hAnsi="Times New Roman"/>
                <w:sz w:val="20"/>
              </w:rPr>
            </w:pPr>
            <w:r>
              <w:rPr>
                <w:rFonts w:ascii="Times New Roman" w:hAnsi="Times New Roman"/>
                <w:sz w:val="20"/>
              </w:rPr>
              <w:t>Other Comprehensive Income</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7" w:type="dxa"/>
            <w:tcBorders/>
            <w:vAlign w:val="bottom"/>
          </w:tcPr>
          <w:p>
            <w:pPr>
              <w:pStyle w:val="TableContents"/>
              <w:bidi w:val="0"/>
              <w:spacing w:before="0" w:after="283"/>
              <w:jc w:val="left"/>
              <w:rPr/>
            </w:pPr>
            <w:r>
              <w:rPr/>
              <w:t> </w:t>
            </w:r>
          </w:p>
        </w:tc>
        <w:tc>
          <w:tcPr>
            <w:tcW w:w="58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8" w:type="dxa"/>
            <w:tcBorders/>
            <w:vAlign w:val="bottom"/>
          </w:tcPr>
          <w:p>
            <w:pPr>
              <w:pStyle w:val="TableContents"/>
              <w:bidi w:val="0"/>
              <w:spacing w:before="0" w:after="283"/>
              <w:jc w:val="left"/>
              <w:rPr/>
            </w:pPr>
            <w:r>
              <w:rPr/>
              <w:t> </w:t>
            </w:r>
          </w:p>
        </w:tc>
        <w:tc>
          <w:tcPr>
            <w:tcW w:w="71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50" w:type="dxa"/>
            <w:tcBorders/>
            <w:vAlign w:val="bottom"/>
          </w:tcPr>
          <w:p>
            <w:pPr>
              <w:pStyle w:val="TableContents"/>
              <w:bidi w:val="0"/>
              <w:spacing w:before="0" w:after="283"/>
              <w:jc w:val="left"/>
              <w:rPr/>
            </w:pPr>
            <w:r>
              <w:rPr/>
              <w:t> </w:t>
            </w:r>
          </w:p>
        </w:tc>
        <w:tc>
          <w:tcPr>
            <w:tcW w:w="109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320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89"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9"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320</w:t>
            </w:r>
          </w:p>
        </w:tc>
        <w:tc>
          <w:tcPr>
            <w:tcW w:w="110" w:type="dxa"/>
            <w:tcBorders/>
            <w:vAlign w:val="bottom"/>
          </w:tcPr>
          <w:p>
            <w:pPr>
              <w:pStyle w:val="TableContents"/>
              <w:bidi w:val="0"/>
              <w:spacing w:before="0" w:after="283"/>
              <w:jc w:val="left"/>
              <w:rPr/>
            </w:pPr>
            <w:r>
              <w:rPr/>
              <w:t> </w:t>
            </w:r>
          </w:p>
        </w:tc>
      </w:tr>
      <w:tr>
        <w:trPr/>
        <w:tc>
          <w:tcPr>
            <w:tcW w:w="1340" w:type="dxa"/>
            <w:tcBorders/>
            <w:shd w:fill="CCEEFF" w:val="clear"/>
            <w:vAlign w:val="bottom"/>
          </w:tcPr>
          <w:p>
            <w:pPr>
              <w:pStyle w:val="TableContents"/>
              <w:bidi w:val="0"/>
              <w:spacing w:before="0" w:after="0"/>
              <w:ind w:left="324" w:right="0" w:hanging="144"/>
              <w:jc w:val="left"/>
              <w:rPr>
                <w:rFonts w:ascii="Times New Roman" w:hAnsi="Times New Roman"/>
                <w:sz w:val="20"/>
              </w:rPr>
            </w:pPr>
            <w:r>
              <w:rPr>
                <w:rFonts w:ascii="Times New Roman" w:hAnsi="Times New Roman"/>
                <w:sz w:val="20"/>
              </w:rPr>
              <w:t>LTIP-OP Unit awards</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7" w:type="dxa"/>
            <w:tcBorders/>
            <w:shd w:fill="CCEEFF" w:val="clear"/>
            <w:vAlign w:val="bottom"/>
          </w:tcPr>
          <w:p>
            <w:pPr>
              <w:pStyle w:val="TableContents"/>
              <w:bidi w:val="0"/>
              <w:spacing w:before="0" w:after="283"/>
              <w:jc w:val="left"/>
              <w:rPr/>
            </w:pPr>
            <w:r>
              <w:rPr/>
              <w:t> </w:t>
            </w:r>
          </w:p>
        </w:tc>
        <w:tc>
          <w:tcPr>
            <w:tcW w:w="58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8" w:type="dxa"/>
            <w:tcBorders/>
            <w:shd w:fill="CCEEFF" w:val="clear"/>
            <w:vAlign w:val="bottom"/>
          </w:tcPr>
          <w:p>
            <w:pPr>
              <w:pStyle w:val="TableContents"/>
              <w:bidi w:val="0"/>
              <w:spacing w:before="0" w:after="283"/>
              <w:jc w:val="left"/>
              <w:rPr/>
            </w:pPr>
            <w:r>
              <w:rPr/>
              <w:t> </w:t>
            </w:r>
          </w:p>
        </w:tc>
        <w:tc>
          <w:tcPr>
            <w:tcW w:w="71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50" w:type="dxa"/>
            <w:tcBorders/>
            <w:shd w:fill="CCEEFF" w:val="clear"/>
            <w:vAlign w:val="bottom"/>
          </w:tcPr>
          <w:p>
            <w:pPr>
              <w:pStyle w:val="TableContents"/>
              <w:bidi w:val="0"/>
              <w:spacing w:before="0" w:after="283"/>
              <w:jc w:val="left"/>
              <w:rPr/>
            </w:pPr>
            <w:r>
              <w:rPr/>
              <w:t> </w:t>
            </w:r>
          </w:p>
        </w:tc>
        <w:tc>
          <w:tcPr>
            <w:tcW w:w="10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89"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9"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60</w:t>
            </w:r>
          </w:p>
        </w:tc>
        <w:tc>
          <w:tcPr>
            <w:tcW w:w="110" w:type="dxa"/>
            <w:tcBorders/>
            <w:shd w:fill="CCEEFF" w:val="clear"/>
            <w:vAlign w:val="bottom"/>
          </w:tcPr>
          <w:p>
            <w:pPr>
              <w:pStyle w:val="TableContents"/>
              <w:bidi w:val="0"/>
              <w:spacing w:before="0" w:after="283"/>
              <w:jc w:val="left"/>
              <w:rPr/>
            </w:pPr>
            <w:r>
              <w:rPr/>
              <w:t> </w:t>
            </w:r>
          </w:p>
        </w:tc>
      </w:tr>
      <w:tr>
        <w:trPr/>
        <w:tc>
          <w:tcPr>
            <w:tcW w:w="1340" w:type="dxa"/>
            <w:tcBorders/>
            <w:vAlign w:val="bottom"/>
          </w:tcPr>
          <w:p>
            <w:pPr>
              <w:pStyle w:val="TableContents"/>
              <w:bidi w:val="0"/>
              <w:spacing w:before="0" w:after="0"/>
              <w:ind w:left="324" w:right="0" w:hanging="144"/>
              <w:jc w:val="left"/>
              <w:rPr>
                <w:rFonts w:ascii="Times New Roman" w:hAnsi="Times New Roman"/>
                <w:sz w:val="20"/>
              </w:rPr>
            </w:pPr>
            <w:r>
              <w:rPr>
                <w:rFonts w:ascii="Times New Roman" w:hAnsi="Times New Roman"/>
                <w:sz w:val="20"/>
              </w:rPr>
              <w:t>Distribution paid on LTIP-OP Units</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7" w:type="dxa"/>
            <w:tcBorders/>
            <w:vAlign w:val="bottom"/>
          </w:tcPr>
          <w:p>
            <w:pPr>
              <w:pStyle w:val="TableContents"/>
              <w:bidi w:val="0"/>
              <w:spacing w:before="0" w:after="283"/>
              <w:jc w:val="left"/>
              <w:rPr/>
            </w:pPr>
            <w:r>
              <w:rPr/>
              <w:t> </w:t>
            </w:r>
          </w:p>
        </w:tc>
        <w:tc>
          <w:tcPr>
            <w:tcW w:w="58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8" w:type="dxa"/>
            <w:tcBorders/>
            <w:vAlign w:val="bottom"/>
          </w:tcPr>
          <w:p>
            <w:pPr>
              <w:pStyle w:val="TableContents"/>
              <w:bidi w:val="0"/>
              <w:spacing w:before="0" w:after="283"/>
              <w:jc w:val="left"/>
              <w:rPr/>
            </w:pPr>
            <w:r>
              <w:rPr/>
              <w:t> </w:t>
            </w:r>
          </w:p>
        </w:tc>
        <w:tc>
          <w:tcPr>
            <w:tcW w:w="71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50" w:type="dxa"/>
            <w:tcBorders/>
            <w:vAlign w:val="bottom"/>
          </w:tcPr>
          <w:p>
            <w:pPr>
              <w:pStyle w:val="TableContents"/>
              <w:bidi w:val="0"/>
              <w:spacing w:before="0" w:after="283"/>
              <w:jc w:val="left"/>
              <w:rPr/>
            </w:pPr>
            <w:r>
              <w:rPr/>
              <w:t> </w:t>
            </w:r>
          </w:p>
        </w:tc>
        <w:tc>
          <w:tcPr>
            <w:tcW w:w="109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89"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(90</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69"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(90</w:t>
            </w:r>
          </w:p>
        </w:tc>
        <w:tc>
          <w:tcPr>
            <w:tcW w:w="11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1340" w:type="dxa"/>
            <w:tcBorders/>
            <w:shd w:fill="CCEEFF" w:val="clear"/>
            <w:vAlign w:val="bottom"/>
          </w:tcPr>
          <w:p>
            <w:pPr>
              <w:pStyle w:val="TableContents"/>
              <w:bidi w:val="0"/>
              <w:spacing w:before="0" w:after="0"/>
              <w:ind w:left="324" w:right="0" w:hanging="0"/>
              <w:jc w:val="left"/>
              <w:rPr>
                <w:rFonts w:ascii="Times New Roman" w:hAnsi="Times New Roman"/>
                <w:sz w:val="20"/>
              </w:rPr>
            </w:pPr>
            <w:r>
              <w:rPr>
                <w:rFonts w:ascii="Times New Roman" w:hAnsi="Times New Roman"/>
                <w:sz w:val="20"/>
              </w:rPr>
              <w:t>Common dividends declared, $0.15 per share</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7" w:type="dxa"/>
            <w:tcBorders/>
            <w:shd w:fill="CCEEFF" w:val="clear"/>
            <w:vAlign w:val="bottom"/>
          </w:tcPr>
          <w:p>
            <w:pPr>
              <w:pStyle w:val="TableContents"/>
              <w:bidi w:val="0"/>
              <w:spacing w:before="0" w:after="283"/>
              <w:jc w:val="left"/>
              <w:rPr/>
            </w:pPr>
            <w:r>
              <w:rPr/>
              <w:t> </w:t>
            </w:r>
          </w:p>
        </w:tc>
        <w:tc>
          <w:tcPr>
            <w:tcW w:w="58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8" w:type="dxa"/>
            <w:tcBorders/>
            <w:shd w:fill="CCEEFF" w:val="clear"/>
            <w:vAlign w:val="bottom"/>
          </w:tcPr>
          <w:p>
            <w:pPr>
              <w:pStyle w:val="TableContents"/>
              <w:bidi w:val="0"/>
              <w:spacing w:before="0" w:after="283"/>
              <w:jc w:val="left"/>
              <w:rPr/>
            </w:pPr>
            <w:r>
              <w:rPr/>
              <w:t> </w:t>
            </w:r>
          </w:p>
        </w:tc>
        <w:tc>
          <w:tcPr>
            <w:tcW w:w="71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50" w:type="dxa"/>
            <w:tcBorders/>
            <w:shd w:fill="CCEEFF" w:val="clear"/>
            <w:vAlign w:val="bottom"/>
          </w:tcPr>
          <w:p>
            <w:pPr>
              <w:pStyle w:val="TableContents"/>
              <w:bidi w:val="0"/>
              <w:spacing w:before="0" w:after="283"/>
              <w:jc w:val="left"/>
              <w:rPr/>
            </w:pPr>
            <w:r>
              <w:rPr/>
              <w:t> </w:t>
            </w:r>
          </w:p>
        </w:tc>
        <w:tc>
          <w:tcPr>
            <w:tcW w:w="10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(5,431</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289"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9"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(5,431</w:t>
            </w:r>
          </w:p>
        </w:tc>
        <w:tc>
          <w:tcPr>
            <w:tcW w:w="11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1340" w:type="dxa"/>
            <w:tcBorders/>
            <w:vAlign w:val="bottom"/>
          </w:tcPr>
          <w:p>
            <w:pPr>
              <w:pStyle w:val="TableContents"/>
              <w:bidi w:val="0"/>
              <w:spacing w:before="0" w:after="0"/>
              <w:ind w:left="180" w:right="0" w:hanging="0"/>
              <w:jc w:val="left"/>
              <w:rPr/>
            </w:pPr>
            <w:r>
              <w:rPr/>
              <w:t>Preferred Series A dividends declared, $0.5125 per share</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7" w:type="dxa"/>
            <w:tcBorders/>
            <w:vAlign w:val="bottom"/>
          </w:tcPr>
          <w:p>
            <w:pPr>
              <w:pStyle w:val="TableContents"/>
              <w:bidi w:val="0"/>
              <w:spacing w:before="0" w:after="283"/>
              <w:jc w:val="left"/>
              <w:rPr/>
            </w:pPr>
            <w:r>
              <w:rPr/>
              <w:t> </w:t>
            </w:r>
          </w:p>
        </w:tc>
        <w:tc>
          <w:tcPr>
            <w:tcW w:w="583"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8" w:type="dxa"/>
            <w:tcBorders/>
            <w:vAlign w:val="bottom"/>
          </w:tcPr>
          <w:p>
            <w:pPr>
              <w:pStyle w:val="TableContents"/>
              <w:bidi w:val="0"/>
              <w:spacing w:before="0" w:after="283"/>
              <w:jc w:val="left"/>
              <w:rPr/>
            </w:pPr>
            <w:r>
              <w:rPr/>
              <w:t> </w:t>
            </w:r>
          </w:p>
        </w:tc>
        <w:tc>
          <w:tcPr>
            <w:tcW w:w="717"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50" w:type="dxa"/>
            <w:tcBorders/>
            <w:vAlign w:val="bottom"/>
          </w:tcPr>
          <w:p>
            <w:pPr>
              <w:pStyle w:val="TableContents"/>
              <w:bidi w:val="0"/>
              <w:spacing w:before="0" w:after="283"/>
              <w:jc w:val="left"/>
              <w:rPr/>
            </w:pPr>
            <w:r>
              <w:rPr/>
              <w:t> </w:t>
            </w:r>
          </w:p>
        </w:tc>
        <w:tc>
          <w:tcPr>
            <w:tcW w:w="1090" w:type="dxa"/>
            <w:tcBorders/>
            <w:vAlign w:val="bottom"/>
          </w:tcPr>
          <w:p>
            <w:pPr>
              <w:pStyle w:val="TableContents"/>
              <w:bidi w:val="0"/>
              <w:spacing w:before="0" w:after="283"/>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(1,432</w:t>
            </w:r>
          </w:p>
        </w:tc>
        <w:tc>
          <w:tcPr>
            <w:tcW w:w="95" w:type="dxa"/>
            <w:tcBorders/>
            <w:vAlign w:val="bottom"/>
          </w:tcPr>
          <w:p>
            <w:pPr>
              <w:pStyle w:val="TableContents"/>
              <w:bidi w:val="0"/>
              <w:spacing w:before="0" w:after="283"/>
              <w:jc w:val="left"/>
              <w:rPr/>
            </w:pPr>
            <w:r>
              <w:rPr/>
              <w:t>)</w:t>
            </w:r>
          </w:p>
        </w:tc>
        <w:tc>
          <w:tcPr>
            <w:tcW w:w="60" w:type="dxa"/>
            <w:tcBorders/>
            <w:vAlign w:val="bottom"/>
          </w:tcPr>
          <w:p>
            <w:pPr>
              <w:pStyle w:val="TableContents"/>
              <w:bidi w:val="0"/>
              <w:spacing w:before="0" w:after="283"/>
              <w:jc w:val="right"/>
              <w:rPr/>
            </w:pPr>
            <w:r>
              <w:rPr/>
              <w:t> </w:t>
            </w:r>
          </w:p>
        </w:tc>
        <w:tc>
          <w:tcPr>
            <w:tcW w:w="289"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9"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right"/>
              <w:rPr/>
            </w:pPr>
            <w:r>
              <w:rPr/>
              <w:t>(1,432</w:t>
            </w:r>
          </w:p>
        </w:tc>
        <w:tc>
          <w:tcPr>
            <w:tcW w:w="110" w:type="dxa"/>
            <w:tcBorders/>
            <w:vAlign w:val="bottom"/>
          </w:tcPr>
          <w:p>
            <w:pPr>
              <w:pStyle w:val="TableContents"/>
              <w:bidi w:val="0"/>
              <w:spacing w:before="0" w:after="283"/>
              <w:jc w:val="left"/>
              <w:rPr/>
            </w:pPr>
            <w:r>
              <w:rPr/>
              <w:t>)</w:t>
            </w:r>
          </w:p>
        </w:tc>
      </w:tr>
      <w:tr>
        <w:trPr/>
        <w:tc>
          <w:tcPr>
            <w:tcW w:w="1340" w:type="dxa"/>
            <w:tcBorders/>
            <w:shd w:fill="CCEEFF" w:val="clear"/>
            <w:vAlign w:val="bottom"/>
          </w:tcPr>
          <w:p>
            <w:pPr>
              <w:pStyle w:val="TableContents"/>
              <w:bidi w:val="0"/>
              <w:spacing w:before="0" w:after="0"/>
              <w:ind w:left="180" w:right="0" w:hanging="0"/>
              <w:jc w:val="left"/>
              <w:rPr/>
            </w:pPr>
            <w:r>
              <w:rPr/>
              <w:t>Preferred Series B dividends declared, $0.6413 per share</w:t>
            </w:r>
          </w:p>
        </w:tc>
        <w:tc>
          <w:tcPr>
            <w:tcW w:w="60" w:type="dxa"/>
            <w:tcBorders/>
            <w:shd w:fill="CCEEFF" w:val="clear"/>
            <w:vAlign w:val="bottom"/>
          </w:tcPr>
          <w:p>
            <w:pPr>
              <w:pStyle w:val="TableContents"/>
              <w:bidi w:val="0"/>
              <w:spacing w:before="0" w:after="283"/>
              <w:jc w:val="righ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83" w:type="dxa"/>
            <w:tcBorders>
              <w:bottom w:val="single" w:sz="12" w:space="0" w:color="000000"/>
            </w:tcBorders>
            <w:shd w:fill="CCEEFF" w:val="clear"/>
            <w:tcMar>
              <w:bottom w:w="28" w:type="dxa"/>
            </w:tcM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17" w:type="dxa"/>
            <w:tcBorders>
              <w:bottom w:val="single" w:sz="12" w:space="0" w:color="000000"/>
            </w:tcBorders>
            <w:shd w:fill="CCEEFF" w:val="clear"/>
            <w:tcMar>
              <w:bottom w:w="28" w:type="dxa"/>
            </w:tcM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80" w:type="dxa"/>
            <w:tcBorders>
              <w:bottom w:val="single" w:sz="12" w:space="0" w:color="000000"/>
            </w:tcBorders>
            <w:shd w:fill="CCEEFF" w:val="clear"/>
            <w:tcMar>
              <w:bottom w:w="28" w:type="dxa"/>
            </w:tcM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5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90" w:type="dxa"/>
            <w:tcBorders>
              <w:bottom w:val="single" w:sz="12" w:space="0" w:color="000000"/>
            </w:tcBorders>
            <w:shd w:fill="CCEEFF" w:val="clear"/>
            <w:tcMar>
              <w:bottom w:w="28" w:type="dxa"/>
            </w:tcMar>
            <w:vAlign w:val="bottom"/>
          </w:tcPr>
          <w:p>
            <w:pPr>
              <w:pStyle w:val="TableContents"/>
              <w:bidi w:val="0"/>
              <w:spacing w:before="0" w:after="283"/>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bottom"/>
          </w:tcPr>
          <w:p>
            <w:pPr>
              <w:pStyle w:val="TableContents"/>
              <w:bidi w:val="0"/>
              <w:spacing w:before="0" w:after="283"/>
              <w:jc w:val="right"/>
              <w:rPr/>
            </w:pPr>
            <w:r>
              <w:rPr/>
              <w:t>(1,030</w:t>
            </w:r>
          </w:p>
        </w:tc>
        <w:tc>
          <w:tcPr>
            <w:tcW w:w="95" w:type="dxa"/>
            <w:tcBorders/>
            <w:shd w:fill="CCEEFF" w:val="clear"/>
            <w:vAlign w:val="bottom"/>
          </w:tcPr>
          <w:p>
            <w:pPr>
              <w:pStyle w:val="TableContents"/>
              <w:bidi w:val="0"/>
              <w:spacing w:before="0" w:after="283"/>
              <w:jc w:val="left"/>
              <w:rPr/>
            </w:pPr>
            <w:r>
              <w:rPr/>
              <w:t>)</w:t>
            </w:r>
          </w:p>
        </w:tc>
        <w:tc>
          <w:tcPr>
            <w:tcW w:w="60" w:type="dxa"/>
            <w:tcBorders/>
            <w:shd w:fill="CCEEFF" w:val="clear"/>
            <w:vAlign w:val="bottom"/>
          </w:tcPr>
          <w:p>
            <w:pPr>
              <w:pStyle w:val="TableContents"/>
              <w:bidi w:val="0"/>
              <w:spacing w:before="0" w:after="283"/>
              <w:jc w:val="right"/>
              <w:rPr/>
            </w:pPr>
            <w:r>
              <w:rPr/>
              <w:t> </w:t>
            </w:r>
          </w:p>
        </w:tc>
        <w:tc>
          <w:tcPr>
            <w:tcW w:w="28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26" w:type="dxa"/>
            <w:tcBorders>
              <w:bottom w:val="single" w:sz="12" w:space="0" w:color="000000"/>
            </w:tcBorders>
            <w:shd w:fill="CCEEFF" w:val="clear"/>
            <w:tcMar>
              <w:bottom w:w="28" w:type="dxa"/>
            </w:tcMar>
            <w:vAlign w:val="bottom"/>
          </w:tcPr>
          <w:p>
            <w:pPr>
              <w:pStyle w:val="TableContents"/>
              <w:bidi w:val="0"/>
              <w:spacing w:before="0" w:after="283"/>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46" w:type="dxa"/>
            <w:tcBorders>
              <w:bottom w:val="single" w:sz="12" w:space="0" w:color="000000"/>
            </w:tcBorders>
            <w:shd w:fill="CCEEFF" w:val="clear"/>
            <w:tcMar>
              <w:bottom w:w="28" w:type="dxa"/>
            </w:tcMar>
            <w:vAlign w:val="bottom"/>
          </w:tcPr>
          <w:p>
            <w:pPr>
              <w:pStyle w:val="TableContents"/>
              <w:bidi w:val="0"/>
              <w:spacing w:before="0" w:after="283"/>
              <w:jc w:val="right"/>
              <w:rPr/>
            </w:pPr>
            <w:r>
              <w:rPr/>
              <w:t>(1,030</w:t>
            </w:r>
          </w:p>
        </w:tc>
        <w:tc>
          <w:tcPr>
            <w:tcW w:w="110" w:type="dxa"/>
            <w:tcBorders/>
            <w:shd w:fill="CCEEFF" w:val="clear"/>
            <w:vAlign w:val="bottom"/>
          </w:tcPr>
          <w:p>
            <w:pPr>
              <w:pStyle w:val="TableContents"/>
              <w:bidi w:val="0"/>
              <w:spacing w:before="0" w:after="283"/>
              <w:jc w:val="left"/>
              <w:rPr/>
            </w:pPr>
            <w:r>
              <w:rPr/>
              <w:t>)</w:t>
            </w:r>
          </w:p>
        </w:tc>
      </w:tr>
      <w:tr>
        <w:trPr/>
        <w:tc>
          <w:tcPr>
            <w:tcW w:w="1340" w:type="dxa"/>
            <w:tcBorders/>
            <w:vAlign w:val="bottom"/>
          </w:tcPr>
          <w:p>
            <w:pPr>
              <w:pStyle w:val="TableContents"/>
              <w:bidi w:val="0"/>
              <w:spacing w:before="0" w:after="0"/>
              <w:ind w:left="144" w:right="0" w:hanging="0"/>
              <w:jc w:val="left"/>
              <w:rPr>
                <w:rFonts w:ascii="Times New Roman" w:hAnsi="Times New Roman"/>
                <w:b/>
                <w:sz w:val="20"/>
              </w:rPr>
            </w:pPr>
            <w:r>
              <w:rPr>
                <w:rFonts w:ascii="Times New Roman" w:hAnsi="Times New Roman"/>
                <w:b/>
                <w:sz w:val="20"/>
              </w:rPr>
              <w:t>Balance, June 30, 2025</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36,045,092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7"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583"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365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4,385,738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8"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717"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105,864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780"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394,004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5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1090"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(100</w:t>
            </w:r>
          </w:p>
        </w:tc>
        <w:tc>
          <w:tcPr>
            <w:tcW w:w="8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755"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(270,241</w:t>
            </w:r>
          </w:p>
        </w:tc>
        <w:tc>
          <w:tcPr>
            <w:tcW w:w="9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vAlign w:val="bottom"/>
          </w:tcPr>
          <w:p>
            <w:pPr>
              <w:pStyle w:val="TableContents"/>
              <w:bidi w:val="0"/>
              <w:spacing w:before="0" w:after="283"/>
              <w:jc w:val="right"/>
              <w:rPr/>
            </w:pPr>
            <w:r>
              <w:rPr/>
              <w:t> </w:t>
            </w:r>
          </w:p>
        </w:tc>
        <w:tc>
          <w:tcPr>
            <w:tcW w:w="289"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1126"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2,521</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9"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946"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232,413</w:t>
            </w:r>
          </w:p>
        </w:tc>
        <w:tc>
          <w:tcPr>
            <w:tcW w:w="110" w:type="dxa"/>
            <w:tcBorders/>
            <w:vAlign w:val="bottom"/>
          </w:tcPr>
          <w:p>
            <w:pPr>
              <w:pStyle w:val="TableContents"/>
              <w:bidi w:val="0"/>
              <w:spacing w:before="0" w:after="283"/>
              <w:jc w:val="left"/>
              <w:rPr/>
            </w:pPr>
            <w:r>
              <w:rPr/>
              <w:t> </w:t>
            </w:r>
          </w:p>
        </w:tc>
      </w:tr>
      <w:tr>
        <w:trPr/>
        <w:tc>
          <w:tcPr>
            <w:tcW w:w="13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7" w:type="dxa"/>
            <w:tcBorders/>
            <w:shd w:fill="CCEEFF" w:val="clear"/>
            <w:vAlign w:val="bottom"/>
          </w:tcPr>
          <w:p>
            <w:pPr>
              <w:pStyle w:val="TableContents"/>
              <w:bidi w:val="0"/>
              <w:spacing w:before="0" w:after="283"/>
              <w:jc w:val="left"/>
              <w:rPr/>
            </w:pPr>
            <w:r>
              <w:rPr/>
              <w:t> </w:t>
            </w:r>
          </w:p>
        </w:tc>
        <w:tc>
          <w:tcPr>
            <w:tcW w:w="58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8" w:type="dxa"/>
            <w:tcBorders/>
            <w:shd w:fill="CCEEFF" w:val="clear"/>
            <w:vAlign w:val="bottom"/>
          </w:tcPr>
          <w:p>
            <w:pPr>
              <w:pStyle w:val="TableContents"/>
              <w:bidi w:val="0"/>
              <w:spacing w:before="0" w:after="283"/>
              <w:jc w:val="left"/>
              <w:rPr/>
            </w:pPr>
            <w:r>
              <w:rPr/>
              <w:t> </w:t>
            </w:r>
          </w:p>
        </w:tc>
        <w:tc>
          <w:tcPr>
            <w:tcW w:w="71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50" w:type="dxa"/>
            <w:tcBorders/>
            <w:shd w:fill="CCEEFF" w:val="clear"/>
            <w:vAlign w:val="bottom"/>
          </w:tcPr>
          <w:p>
            <w:pPr>
              <w:pStyle w:val="TableContents"/>
              <w:bidi w:val="0"/>
              <w:spacing w:before="0" w:after="283"/>
              <w:jc w:val="left"/>
              <w:rPr/>
            </w:pPr>
            <w:r>
              <w:rPr/>
              <w:t> </w:t>
            </w:r>
          </w:p>
        </w:tc>
        <w:tc>
          <w:tcPr>
            <w:tcW w:w="1090"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89"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9"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r>
      <w:tr>
        <w:trPr/>
        <w:tc>
          <w:tcPr>
            <w:tcW w:w="1340" w:type="dxa"/>
            <w:tcBorders/>
            <w:vAlign w:val="bottom"/>
          </w:tcPr>
          <w:p>
            <w:pPr>
              <w:pStyle w:val="TableContents"/>
              <w:bidi w:val="0"/>
              <w:spacing w:before="0" w:after="0"/>
              <w:ind w:left="144" w:right="0" w:hanging="0"/>
              <w:jc w:val="left"/>
              <w:rPr>
                <w:rFonts w:ascii="Times New Roman" w:hAnsi="Times New Roman"/>
                <w:b/>
                <w:sz w:val="20"/>
              </w:rPr>
            </w:pPr>
            <w:r>
              <w:rPr>
                <w:rFonts w:ascii="Times New Roman" w:hAnsi="Times New Roman"/>
                <w:b/>
                <w:sz w:val="20"/>
              </w:rPr>
              <w:t>Balance, December 31, 2025</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36,739,538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7"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583"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373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4,385,738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8"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717"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105,864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780"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396,516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5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1090"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3,669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755"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(270,381</w:t>
            </w:r>
          </w:p>
        </w:tc>
        <w:tc>
          <w:tcPr>
            <w:tcW w:w="9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vAlign w:val="bottom"/>
          </w:tcPr>
          <w:p>
            <w:pPr>
              <w:pStyle w:val="TableContents"/>
              <w:bidi w:val="0"/>
              <w:spacing w:before="0" w:after="283"/>
              <w:jc w:val="right"/>
              <w:rPr/>
            </w:pPr>
            <w:r>
              <w:rPr/>
              <w:t> </w:t>
            </w:r>
          </w:p>
        </w:tc>
        <w:tc>
          <w:tcPr>
            <w:tcW w:w="289"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1126"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2,491</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9"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946"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238,532</w:t>
            </w:r>
          </w:p>
        </w:tc>
        <w:tc>
          <w:tcPr>
            <w:tcW w:w="110" w:type="dxa"/>
            <w:tcBorders/>
            <w:vAlign w:val="bottom"/>
          </w:tcPr>
          <w:p>
            <w:pPr>
              <w:pStyle w:val="TableContents"/>
              <w:bidi w:val="0"/>
              <w:spacing w:before="0" w:after="283"/>
              <w:jc w:val="left"/>
              <w:rPr/>
            </w:pPr>
            <w:r>
              <w:rPr/>
              <w:t> </w:t>
            </w:r>
          </w:p>
        </w:tc>
      </w:tr>
      <w:tr>
        <w:trPr/>
        <w:tc>
          <w:tcPr>
            <w:tcW w:w="1340" w:type="dxa"/>
            <w:tcBorders/>
            <w:shd w:fill="CCEEFF" w:val="clear"/>
            <w:vAlign w:val="bottom"/>
          </w:tcPr>
          <w:p>
            <w:pPr>
              <w:pStyle w:val="TableContents"/>
              <w:bidi w:val="0"/>
              <w:spacing w:before="0" w:after="0"/>
              <w:ind w:left="324" w:right="0" w:hanging="144"/>
              <w:jc w:val="left"/>
              <w:rPr>
                <w:rFonts w:ascii="Times New Roman" w:hAnsi="Times New Roman"/>
                <w:sz w:val="20"/>
              </w:rPr>
            </w:pPr>
            <w:r>
              <w:rPr>
                <w:rFonts w:ascii="Times New Roman" w:hAnsi="Times New Roman"/>
                <w:sz w:val="20"/>
              </w:rPr>
              <w:t>Issuance of common stock</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7" w:type="dxa"/>
            <w:tcBorders/>
            <w:shd w:fill="CCEEFF" w:val="clear"/>
            <w:vAlign w:val="bottom"/>
          </w:tcPr>
          <w:p>
            <w:pPr>
              <w:pStyle w:val="TableContents"/>
              <w:bidi w:val="0"/>
              <w:spacing w:before="0" w:after="283"/>
              <w:jc w:val="left"/>
              <w:rPr/>
            </w:pPr>
            <w:r>
              <w:rPr/>
              <w:t> </w:t>
            </w:r>
          </w:p>
        </w:tc>
        <w:tc>
          <w:tcPr>
            <w:tcW w:w="58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8" w:type="dxa"/>
            <w:tcBorders/>
            <w:shd w:fill="CCEEFF" w:val="clear"/>
            <w:vAlign w:val="bottom"/>
          </w:tcPr>
          <w:p>
            <w:pPr>
              <w:pStyle w:val="TableContents"/>
              <w:bidi w:val="0"/>
              <w:spacing w:before="0" w:after="283"/>
              <w:jc w:val="left"/>
              <w:rPr/>
            </w:pPr>
            <w:r>
              <w:rPr/>
              <w:t> </w:t>
            </w:r>
          </w:p>
        </w:tc>
        <w:tc>
          <w:tcPr>
            <w:tcW w:w="71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165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50" w:type="dxa"/>
            <w:tcBorders/>
            <w:shd w:fill="CCEEFF" w:val="clear"/>
            <w:vAlign w:val="bottom"/>
          </w:tcPr>
          <w:p>
            <w:pPr>
              <w:pStyle w:val="TableContents"/>
              <w:bidi w:val="0"/>
              <w:spacing w:before="0" w:after="283"/>
              <w:jc w:val="left"/>
              <w:rPr/>
            </w:pPr>
            <w:r>
              <w:rPr/>
              <w:t> </w:t>
            </w:r>
          </w:p>
        </w:tc>
        <w:tc>
          <w:tcPr>
            <w:tcW w:w="10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89"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9"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165</w:t>
            </w:r>
          </w:p>
        </w:tc>
        <w:tc>
          <w:tcPr>
            <w:tcW w:w="110" w:type="dxa"/>
            <w:tcBorders/>
            <w:shd w:fill="CCEEFF" w:val="clear"/>
            <w:vAlign w:val="bottom"/>
          </w:tcPr>
          <w:p>
            <w:pPr>
              <w:pStyle w:val="TableContents"/>
              <w:bidi w:val="0"/>
              <w:spacing w:before="0" w:after="283"/>
              <w:jc w:val="left"/>
              <w:rPr/>
            </w:pPr>
            <w:r>
              <w:rPr/>
              <w:t> </w:t>
            </w:r>
          </w:p>
        </w:tc>
      </w:tr>
      <w:tr>
        <w:trPr/>
        <w:tc>
          <w:tcPr>
            <w:tcW w:w="1340" w:type="dxa"/>
            <w:tcBorders/>
            <w:vAlign w:val="bottom"/>
          </w:tcPr>
          <w:p>
            <w:pPr>
              <w:pStyle w:val="TableContents"/>
              <w:bidi w:val="0"/>
              <w:spacing w:before="0" w:after="0"/>
              <w:ind w:left="180" w:right="0" w:hanging="0"/>
              <w:jc w:val="left"/>
              <w:rPr/>
            </w:pPr>
            <w:r>
              <w:rPr/>
              <w:t>Net Income</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7" w:type="dxa"/>
            <w:tcBorders/>
            <w:vAlign w:val="bottom"/>
          </w:tcPr>
          <w:p>
            <w:pPr>
              <w:pStyle w:val="TableContents"/>
              <w:bidi w:val="0"/>
              <w:spacing w:before="0" w:after="283"/>
              <w:jc w:val="left"/>
              <w:rPr/>
            </w:pPr>
            <w:r>
              <w:rPr/>
              <w:t> </w:t>
            </w:r>
          </w:p>
        </w:tc>
        <w:tc>
          <w:tcPr>
            <w:tcW w:w="583"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8" w:type="dxa"/>
            <w:tcBorders/>
            <w:vAlign w:val="bottom"/>
          </w:tcPr>
          <w:p>
            <w:pPr>
              <w:pStyle w:val="TableContents"/>
              <w:bidi w:val="0"/>
              <w:spacing w:before="0" w:after="283"/>
              <w:jc w:val="left"/>
              <w:rPr/>
            </w:pPr>
            <w:r>
              <w:rPr/>
              <w:t> </w:t>
            </w:r>
          </w:p>
        </w:tc>
        <w:tc>
          <w:tcPr>
            <w:tcW w:w="717"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50" w:type="dxa"/>
            <w:tcBorders/>
            <w:vAlign w:val="bottom"/>
          </w:tcPr>
          <w:p>
            <w:pPr>
              <w:pStyle w:val="TableContents"/>
              <w:bidi w:val="0"/>
              <w:spacing w:before="0" w:after="283"/>
              <w:jc w:val="left"/>
              <w:rPr/>
            </w:pPr>
            <w:r>
              <w:rPr/>
              <w:t> </w:t>
            </w:r>
          </w:p>
        </w:tc>
        <w:tc>
          <w:tcPr>
            <w:tcW w:w="1090" w:type="dxa"/>
            <w:tcBorders/>
            <w:vAlign w:val="bottom"/>
          </w:tcPr>
          <w:p>
            <w:pPr>
              <w:pStyle w:val="TableContents"/>
              <w:bidi w:val="0"/>
              <w:spacing w:before="0" w:after="283"/>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423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89"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right"/>
              <w:rPr/>
            </w:pPr>
            <w:r>
              <w:rPr/>
              <w:t>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9"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right"/>
              <w:rPr/>
            </w:pPr>
            <w:r>
              <w:rPr/>
              <w:t>429</w:t>
            </w:r>
          </w:p>
        </w:tc>
        <w:tc>
          <w:tcPr>
            <w:tcW w:w="110" w:type="dxa"/>
            <w:tcBorders/>
            <w:vAlign w:val="bottom"/>
          </w:tcPr>
          <w:p>
            <w:pPr>
              <w:pStyle w:val="TableContents"/>
              <w:bidi w:val="0"/>
              <w:spacing w:before="0" w:after="283"/>
              <w:jc w:val="left"/>
              <w:rPr/>
            </w:pPr>
            <w:r>
              <w:rPr/>
              <w:t> </w:t>
            </w:r>
          </w:p>
        </w:tc>
      </w:tr>
      <w:tr>
        <w:trPr/>
        <w:tc>
          <w:tcPr>
            <w:tcW w:w="1340" w:type="dxa"/>
            <w:tcBorders/>
            <w:shd w:fill="CCEEFF" w:val="clear"/>
            <w:vAlign w:val="bottom"/>
          </w:tcPr>
          <w:p>
            <w:pPr>
              <w:pStyle w:val="TableContents"/>
              <w:bidi w:val="0"/>
              <w:spacing w:before="0" w:after="0"/>
              <w:ind w:left="324" w:right="0" w:hanging="144"/>
              <w:jc w:val="left"/>
              <w:rPr>
                <w:rFonts w:ascii="Times New Roman" w:hAnsi="Times New Roman"/>
                <w:color w:val="000000"/>
                <w:sz w:val="20"/>
              </w:rPr>
            </w:pPr>
            <w:r>
              <w:rPr>
                <w:rFonts w:ascii="Times New Roman" w:hAnsi="Times New Roman"/>
                <w:color w:val="000000"/>
                <w:sz w:val="20"/>
              </w:rPr>
              <w:t>Other Comprehensive Loss</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7" w:type="dxa"/>
            <w:tcBorders/>
            <w:shd w:fill="CCEEFF" w:val="clear"/>
            <w:vAlign w:val="bottom"/>
          </w:tcPr>
          <w:p>
            <w:pPr>
              <w:pStyle w:val="TableContents"/>
              <w:bidi w:val="0"/>
              <w:spacing w:before="0" w:after="283"/>
              <w:jc w:val="left"/>
              <w:rPr/>
            </w:pPr>
            <w:r>
              <w:rPr/>
              <w:t> </w:t>
            </w:r>
          </w:p>
        </w:tc>
        <w:tc>
          <w:tcPr>
            <w:tcW w:w="58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8" w:type="dxa"/>
            <w:tcBorders/>
            <w:shd w:fill="CCEEFF" w:val="clear"/>
            <w:vAlign w:val="bottom"/>
          </w:tcPr>
          <w:p>
            <w:pPr>
              <w:pStyle w:val="TableContents"/>
              <w:bidi w:val="0"/>
              <w:spacing w:before="0" w:after="283"/>
              <w:jc w:val="left"/>
              <w:rPr/>
            </w:pPr>
            <w:r>
              <w:rPr/>
              <w:t> </w:t>
            </w:r>
          </w:p>
        </w:tc>
        <w:tc>
          <w:tcPr>
            <w:tcW w:w="71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50" w:type="dxa"/>
            <w:tcBorders/>
            <w:shd w:fill="CCEEFF" w:val="clear"/>
            <w:vAlign w:val="bottom"/>
          </w:tcPr>
          <w:p>
            <w:pPr>
              <w:pStyle w:val="TableContents"/>
              <w:bidi w:val="0"/>
              <w:spacing w:before="0" w:after="283"/>
              <w:jc w:val="left"/>
              <w:rPr/>
            </w:pPr>
            <w:r>
              <w:rPr/>
              <w:t> </w:t>
            </w:r>
          </w:p>
        </w:tc>
        <w:tc>
          <w:tcPr>
            <w:tcW w:w="10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(2,407</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89"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(35</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69"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(2,442</w:t>
            </w:r>
          </w:p>
        </w:tc>
        <w:tc>
          <w:tcPr>
            <w:tcW w:w="11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1340" w:type="dxa"/>
            <w:tcBorders/>
            <w:vAlign w:val="bottom"/>
          </w:tcPr>
          <w:p>
            <w:pPr>
              <w:pStyle w:val="TableContents"/>
              <w:bidi w:val="0"/>
              <w:spacing w:before="0" w:after="0"/>
              <w:ind w:left="324" w:right="0" w:hanging="144"/>
              <w:jc w:val="left"/>
              <w:rPr>
                <w:rFonts w:ascii="Times New Roman" w:hAnsi="Times New Roman"/>
                <w:color w:val="000000"/>
                <w:sz w:val="20"/>
              </w:rPr>
            </w:pPr>
            <w:r>
              <w:rPr>
                <w:rFonts w:ascii="Times New Roman" w:hAnsi="Times New Roman"/>
                <w:color w:val="000000"/>
                <w:sz w:val="20"/>
              </w:rPr>
              <w:t>LTIP-OP Unit awards</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7" w:type="dxa"/>
            <w:tcBorders/>
            <w:vAlign w:val="bottom"/>
          </w:tcPr>
          <w:p>
            <w:pPr>
              <w:pStyle w:val="TableContents"/>
              <w:bidi w:val="0"/>
              <w:spacing w:before="0" w:after="283"/>
              <w:jc w:val="left"/>
              <w:rPr/>
            </w:pPr>
            <w:r>
              <w:rPr/>
              <w:t> </w:t>
            </w:r>
          </w:p>
        </w:tc>
        <w:tc>
          <w:tcPr>
            <w:tcW w:w="58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8" w:type="dxa"/>
            <w:tcBorders/>
            <w:vAlign w:val="bottom"/>
          </w:tcPr>
          <w:p>
            <w:pPr>
              <w:pStyle w:val="TableContents"/>
              <w:bidi w:val="0"/>
              <w:spacing w:before="0" w:after="283"/>
              <w:jc w:val="left"/>
              <w:rPr/>
            </w:pPr>
            <w:r>
              <w:rPr/>
              <w:t> </w:t>
            </w:r>
          </w:p>
        </w:tc>
        <w:tc>
          <w:tcPr>
            <w:tcW w:w="71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50" w:type="dxa"/>
            <w:tcBorders/>
            <w:vAlign w:val="bottom"/>
          </w:tcPr>
          <w:p>
            <w:pPr>
              <w:pStyle w:val="TableContents"/>
              <w:bidi w:val="0"/>
              <w:spacing w:before="0" w:after="283"/>
              <w:jc w:val="left"/>
              <w:rPr/>
            </w:pPr>
            <w:r>
              <w:rPr/>
              <w:t> </w:t>
            </w:r>
          </w:p>
        </w:tc>
        <w:tc>
          <w:tcPr>
            <w:tcW w:w="109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89"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31</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9"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31</w:t>
            </w:r>
          </w:p>
        </w:tc>
        <w:tc>
          <w:tcPr>
            <w:tcW w:w="110" w:type="dxa"/>
            <w:tcBorders/>
            <w:vAlign w:val="bottom"/>
          </w:tcPr>
          <w:p>
            <w:pPr>
              <w:pStyle w:val="TableContents"/>
              <w:bidi w:val="0"/>
              <w:spacing w:before="0" w:after="283"/>
              <w:jc w:val="left"/>
              <w:rPr/>
            </w:pPr>
            <w:r>
              <w:rPr/>
              <w:t> </w:t>
            </w:r>
          </w:p>
        </w:tc>
      </w:tr>
      <w:tr>
        <w:trPr/>
        <w:tc>
          <w:tcPr>
            <w:tcW w:w="1340" w:type="dxa"/>
            <w:tcBorders/>
            <w:shd w:fill="CCEEFF" w:val="clear"/>
            <w:vAlign w:val="bottom"/>
          </w:tcPr>
          <w:p>
            <w:pPr>
              <w:pStyle w:val="TableContents"/>
              <w:bidi w:val="0"/>
              <w:spacing w:before="0" w:after="0"/>
              <w:ind w:left="324" w:right="0" w:hanging="144"/>
              <w:jc w:val="left"/>
              <w:rPr>
                <w:rFonts w:ascii="Times New Roman" w:hAnsi="Times New Roman"/>
                <w:sz w:val="20"/>
              </w:rPr>
            </w:pPr>
            <w:r>
              <w:rPr>
                <w:rFonts w:ascii="Times New Roman" w:hAnsi="Times New Roman"/>
                <w:sz w:val="20"/>
              </w:rPr>
              <w:t>Distribution paid on LTIP-OP Units</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7" w:type="dxa"/>
            <w:tcBorders/>
            <w:shd w:fill="CCEEFF" w:val="clear"/>
            <w:vAlign w:val="bottom"/>
          </w:tcPr>
          <w:p>
            <w:pPr>
              <w:pStyle w:val="TableContents"/>
              <w:bidi w:val="0"/>
              <w:spacing w:before="0" w:after="283"/>
              <w:jc w:val="left"/>
              <w:rPr/>
            </w:pPr>
            <w:r>
              <w:rPr/>
              <w:t> </w:t>
            </w:r>
          </w:p>
        </w:tc>
        <w:tc>
          <w:tcPr>
            <w:tcW w:w="58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8" w:type="dxa"/>
            <w:tcBorders/>
            <w:shd w:fill="CCEEFF" w:val="clear"/>
            <w:vAlign w:val="bottom"/>
          </w:tcPr>
          <w:p>
            <w:pPr>
              <w:pStyle w:val="TableContents"/>
              <w:bidi w:val="0"/>
              <w:spacing w:before="0" w:after="283"/>
              <w:jc w:val="left"/>
              <w:rPr/>
            </w:pPr>
            <w:r>
              <w:rPr/>
              <w:t> </w:t>
            </w:r>
          </w:p>
        </w:tc>
        <w:tc>
          <w:tcPr>
            <w:tcW w:w="71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50" w:type="dxa"/>
            <w:tcBorders/>
            <w:shd w:fill="CCEEFF" w:val="clear"/>
            <w:vAlign w:val="bottom"/>
          </w:tcPr>
          <w:p>
            <w:pPr>
              <w:pStyle w:val="TableContents"/>
              <w:bidi w:val="0"/>
              <w:spacing w:before="0" w:after="283"/>
              <w:jc w:val="left"/>
              <w:rPr/>
            </w:pPr>
            <w:r>
              <w:rPr/>
              <w:t> </w:t>
            </w:r>
          </w:p>
        </w:tc>
        <w:tc>
          <w:tcPr>
            <w:tcW w:w="10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89"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(53</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69"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(53</w:t>
            </w:r>
          </w:p>
        </w:tc>
        <w:tc>
          <w:tcPr>
            <w:tcW w:w="11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1340" w:type="dxa"/>
            <w:tcBorders/>
            <w:vAlign w:val="bottom"/>
          </w:tcPr>
          <w:p>
            <w:pPr>
              <w:pStyle w:val="TableContents"/>
              <w:bidi w:val="0"/>
              <w:spacing w:before="0" w:after="0"/>
              <w:ind w:left="324" w:right="0" w:hanging="0"/>
              <w:jc w:val="left"/>
              <w:rPr>
                <w:rFonts w:ascii="Times New Roman" w:hAnsi="Times New Roman"/>
                <w:sz w:val="20"/>
              </w:rPr>
            </w:pPr>
            <w:r>
              <w:rPr>
                <w:rFonts w:ascii="Times New Roman" w:hAnsi="Times New Roman"/>
                <w:sz w:val="20"/>
              </w:rPr>
              <w:t>Common dividends declared, $0.10 per share</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7" w:type="dxa"/>
            <w:tcBorders/>
            <w:vAlign w:val="bottom"/>
          </w:tcPr>
          <w:p>
            <w:pPr>
              <w:pStyle w:val="TableContents"/>
              <w:bidi w:val="0"/>
              <w:spacing w:before="0" w:after="283"/>
              <w:jc w:val="left"/>
              <w:rPr/>
            </w:pPr>
            <w:r>
              <w:rPr/>
              <w:t> </w:t>
            </w:r>
          </w:p>
        </w:tc>
        <w:tc>
          <w:tcPr>
            <w:tcW w:w="58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8" w:type="dxa"/>
            <w:tcBorders/>
            <w:vAlign w:val="bottom"/>
          </w:tcPr>
          <w:p>
            <w:pPr>
              <w:pStyle w:val="TableContents"/>
              <w:bidi w:val="0"/>
              <w:spacing w:before="0" w:after="283"/>
              <w:jc w:val="left"/>
              <w:rPr/>
            </w:pPr>
            <w:r>
              <w:rPr/>
              <w:t> </w:t>
            </w:r>
          </w:p>
        </w:tc>
        <w:tc>
          <w:tcPr>
            <w:tcW w:w="71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50" w:type="dxa"/>
            <w:tcBorders/>
            <w:vAlign w:val="bottom"/>
          </w:tcPr>
          <w:p>
            <w:pPr>
              <w:pStyle w:val="TableContents"/>
              <w:bidi w:val="0"/>
              <w:spacing w:before="0" w:after="283"/>
              <w:jc w:val="left"/>
              <w:rPr/>
            </w:pPr>
            <w:r>
              <w:rPr/>
              <w:t> </w:t>
            </w:r>
          </w:p>
        </w:tc>
        <w:tc>
          <w:tcPr>
            <w:tcW w:w="109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(3,685</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289"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9"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(3,685</w:t>
            </w:r>
          </w:p>
        </w:tc>
        <w:tc>
          <w:tcPr>
            <w:tcW w:w="11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1340" w:type="dxa"/>
            <w:tcBorders/>
            <w:shd w:fill="CCEEFF" w:val="clear"/>
            <w:vAlign w:val="bottom"/>
          </w:tcPr>
          <w:p>
            <w:pPr>
              <w:pStyle w:val="TableContents"/>
              <w:bidi w:val="0"/>
              <w:spacing w:before="0" w:after="0"/>
              <w:ind w:left="324" w:right="0" w:hanging="0"/>
              <w:jc w:val="left"/>
              <w:rPr>
                <w:rFonts w:ascii="Times New Roman" w:hAnsi="Times New Roman"/>
                <w:sz w:val="20"/>
              </w:rPr>
            </w:pPr>
            <w:r>
              <w:rPr>
                <w:rFonts w:ascii="Times New Roman" w:hAnsi="Times New Roman"/>
                <w:sz w:val="20"/>
              </w:rPr>
              <w:t>Preferred Series A dividends declared, $0.5125 per share</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7" w:type="dxa"/>
            <w:tcBorders/>
            <w:shd w:fill="CCEEFF" w:val="clear"/>
            <w:vAlign w:val="bottom"/>
          </w:tcPr>
          <w:p>
            <w:pPr>
              <w:pStyle w:val="TableContents"/>
              <w:bidi w:val="0"/>
              <w:spacing w:before="0" w:after="283"/>
              <w:jc w:val="left"/>
              <w:rPr/>
            </w:pPr>
            <w:r>
              <w:rPr/>
              <w:t> </w:t>
            </w:r>
          </w:p>
        </w:tc>
        <w:tc>
          <w:tcPr>
            <w:tcW w:w="58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8" w:type="dxa"/>
            <w:tcBorders/>
            <w:shd w:fill="CCEEFF" w:val="clear"/>
            <w:vAlign w:val="bottom"/>
          </w:tcPr>
          <w:p>
            <w:pPr>
              <w:pStyle w:val="TableContents"/>
              <w:bidi w:val="0"/>
              <w:spacing w:before="0" w:after="283"/>
              <w:jc w:val="left"/>
              <w:rPr/>
            </w:pPr>
            <w:r>
              <w:rPr/>
              <w:t> </w:t>
            </w:r>
          </w:p>
        </w:tc>
        <w:tc>
          <w:tcPr>
            <w:tcW w:w="71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50" w:type="dxa"/>
            <w:tcBorders/>
            <w:shd w:fill="CCEEFF" w:val="clear"/>
            <w:vAlign w:val="bottom"/>
          </w:tcPr>
          <w:p>
            <w:pPr>
              <w:pStyle w:val="TableContents"/>
              <w:bidi w:val="0"/>
              <w:spacing w:before="0" w:after="283"/>
              <w:jc w:val="left"/>
              <w:rPr/>
            </w:pPr>
            <w:r>
              <w:rPr/>
              <w:t> </w:t>
            </w:r>
          </w:p>
        </w:tc>
        <w:tc>
          <w:tcPr>
            <w:tcW w:w="10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(1,432</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289"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9"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(1,432</w:t>
            </w:r>
          </w:p>
        </w:tc>
        <w:tc>
          <w:tcPr>
            <w:tcW w:w="11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1340" w:type="dxa"/>
            <w:tcBorders/>
            <w:vAlign w:val="bottom"/>
          </w:tcPr>
          <w:p>
            <w:pPr>
              <w:pStyle w:val="TableContents"/>
              <w:bidi w:val="0"/>
              <w:spacing w:before="0" w:after="0"/>
              <w:ind w:left="324" w:right="0" w:hanging="0"/>
              <w:jc w:val="left"/>
              <w:rPr>
                <w:rFonts w:ascii="Times New Roman" w:hAnsi="Times New Roman"/>
                <w:sz w:val="20"/>
              </w:rPr>
            </w:pPr>
            <w:r>
              <w:rPr>
                <w:rFonts w:ascii="Times New Roman" w:hAnsi="Times New Roman"/>
                <w:sz w:val="20"/>
              </w:rPr>
              <w:t>Preferred Series B dividends declared, $0.5978 per share</w:t>
            </w:r>
          </w:p>
        </w:tc>
        <w:tc>
          <w:tcPr>
            <w:tcW w:w="60" w:type="dxa"/>
            <w:tcBorders/>
            <w:vAlign w:val="bottom"/>
          </w:tcPr>
          <w:p>
            <w:pPr>
              <w:pStyle w:val="TableContents"/>
              <w:bidi w:val="0"/>
              <w:spacing w:before="0" w:after="283"/>
              <w:jc w:val="righ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7" w:type="dxa"/>
            <w:tcBorders>
              <w:bottom w:val="single" w:sz="12" w:space="0" w:color="000000"/>
            </w:tcBorders>
            <w:tcMar>
              <w:bottom w:w="28" w:type="dxa"/>
            </w:tcMar>
            <w:vAlign w:val="bottom"/>
          </w:tcPr>
          <w:p>
            <w:pPr>
              <w:pStyle w:val="TableContents"/>
              <w:bidi w:val="0"/>
              <w:spacing w:before="0" w:after="283"/>
              <w:jc w:val="left"/>
              <w:rPr/>
            </w:pPr>
            <w:r>
              <w:rPr/>
              <w:t> </w:t>
            </w:r>
          </w:p>
        </w:tc>
        <w:tc>
          <w:tcPr>
            <w:tcW w:w="583"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8" w:type="dxa"/>
            <w:tcBorders>
              <w:bottom w:val="single" w:sz="12" w:space="0" w:color="000000"/>
            </w:tcBorders>
            <w:tcMar>
              <w:bottom w:w="28" w:type="dxa"/>
            </w:tcMar>
            <w:vAlign w:val="bottom"/>
          </w:tcPr>
          <w:p>
            <w:pPr>
              <w:pStyle w:val="TableContents"/>
              <w:bidi w:val="0"/>
              <w:spacing w:before="0" w:after="283"/>
              <w:jc w:val="left"/>
              <w:rPr/>
            </w:pPr>
            <w:r>
              <w:rPr/>
              <w:t> </w:t>
            </w:r>
          </w:p>
        </w:tc>
        <w:tc>
          <w:tcPr>
            <w:tcW w:w="717"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78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5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9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(959</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289" w:type="dxa"/>
            <w:tcBorders>
              <w:bottom w:val="single" w:sz="12" w:space="0" w:color="000000"/>
            </w:tcBorders>
            <w:tcMar>
              <w:bottom w:w="28" w:type="dxa"/>
            </w:tcMar>
            <w:vAlign w:val="bottom"/>
          </w:tcPr>
          <w:p>
            <w:pPr>
              <w:pStyle w:val="TableContents"/>
              <w:bidi w:val="0"/>
              <w:spacing w:before="0" w:after="283"/>
              <w:jc w:val="left"/>
              <w:rPr/>
            </w:pPr>
            <w:r>
              <w:rPr/>
              <w:t> </w:t>
            </w:r>
          </w:p>
        </w:tc>
        <w:tc>
          <w:tcPr>
            <w:tcW w:w="1126" w:type="dxa"/>
            <w:tcBorders>
              <w:bottom w:val="single" w:sz="12" w:space="0" w:color="000000"/>
            </w:tcBorders>
            <w:tcMar>
              <w:bottom w:w="28" w:type="dxa"/>
            </w:tcMar>
            <w:vAlign w:val="bottom"/>
          </w:tcPr>
          <w:p>
            <w:pPr>
              <w:pStyle w:val="TableContents"/>
              <w:bidi w:val="0"/>
              <w:spacing w:before="0" w:after="283"/>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9" w:type="dxa"/>
            <w:tcBorders>
              <w:bottom w:val="single" w:sz="12" w:space="0" w:color="000000"/>
            </w:tcBorders>
            <w:tcMar>
              <w:bottom w:w="28" w:type="dxa"/>
            </w:tcMar>
            <w:vAlign w:val="bottom"/>
          </w:tcPr>
          <w:p>
            <w:pPr>
              <w:pStyle w:val="TableContents"/>
              <w:bidi w:val="0"/>
              <w:spacing w:before="0" w:after="283"/>
              <w:jc w:val="left"/>
              <w:rPr/>
            </w:pPr>
            <w:r>
              <w:rPr/>
              <w:t> </w:t>
            </w:r>
          </w:p>
        </w:tc>
        <w:tc>
          <w:tcPr>
            <w:tcW w:w="946"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(959</w:t>
            </w:r>
          </w:p>
        </w:tc>
        <w:tc>
          <w:tcPr>
            <w:tcW w:w="11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1340" w:type="dxa"/>
            <w:tcBorders/>
            <w:shd w:fill="CCEEFF" w:val="clear"/>
            <w:vAlign w:val="bottom"/>
          </w:tcPr>
          <w:p>
            <w:pPr>
              <w:pStyle w:val="TableContents"/>
              <w:bidi w:val="0"/>
              <w:spacing w:before="0" w:after="0"/>
              <w:ind w:left="144" w:right="0" w:hanging="0"/>
              <w:jc w:val="left"/>
              <w:rPr>
                <w:rFonts w:ascii="Times New Roman" w:hAnsi="Times New Roman"/>
                <w:b/>
                <w:sz w:val="20"/>
              </w:rPr>
            </w:pPr>
            <w:r>
              <w:rPr>
                <w:rFonts w:ascii="Times New Roman" w:hAnsi="Times New Roman"/>
                <w:b/>
                <w:sz w:val="20"/>
              </w:rPr>
              <w:t>Balance, March 31, 2026</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36,739,538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7"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583"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373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4,385,738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8"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717"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105,864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780"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396,681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5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1090"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1,262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755"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(276,034</w:t>
            </w:r>
          </w:p>
        </w:tc>
        <w:tc>
          <w:tcPr>
            <w:tcW w:w="9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shd w:fill="CCEEFF" w:val="clear"/>
            <w:vAlign w:val="bottom"/>
          </w:tcPr>
          <w:p>
            <w:pPr>
              <w:pStyle w:val="TableContents"/>
              <w:bidi w:val="0"/>
              <w:spacing w:before="0" w:after="283"/>
              <w:jc w:val="right"/>
              <w:rPr/>
            </w:pPr>
            <w:r>
              <w:rPr/>
              <w:t> </w:t>
            </w:r>
          </w:p>
        </w:tc>
        <w:tc>
          <w:tcPr>
            <w:tcW w:w="289"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1126"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2,440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9"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946"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230,586</w:t>
            </w:r>
          </w:p>
        </w:tc>
        <w:tc>
          <w:tcPr>
            <w:tcW w:w="110" w:type="dxa"/>
            <w:tcBorders/>
            <w:shd w:fill="CCEEFF" w:val="clear"/>
            <w:vAlign w:val="bottom"/>
          </w:tcPr>
          <w:p>
            <w:pPr>
              <w:pStyle w:val="TableContents"/>
              <w:bidi w:val="0"/>
              <w:spacing w:before="0" w:after="283"/>
              <w:jc w:val="left"/>
              <w:rPr/>
            </w:pPr>
            <w:r>
              <w:rPr/>
              <w:t> </w:t>
            </w:r>
          </w:p>
        </w:tc>
      </w:tr>
      <w:tr>
        <w:trPr/>
        <w:tc>
          <w:tcPr>
            <w:tcW w:w="1340" w:type="dxa"/>
            <w:tcBorders/>
            <w:vAlign w:val="bottom"/>
          </w:tcPr>
          <w:p>
            <w:pPr>
              <w:pStyle w:val="TableContents"/>
              <w:bidi w:val="0"/>
              <w:spacing w:before="0" w:after="0"/>
              <w:ind w:left="324" w:right="0" w:hanging="144"/>
              <w:jc w:val="left"/>
              <w:rPr>
                <w:rFonts w:ascii="Times New Roman" w:hAnsi="Times New Roman"/>
                <w:sz w:val="20"/>
              </w:rPr>
            </w:pPr>
            <w:r>
              <w:rPr>
                <w:rFonts w:ascii="Times New Roman" w:hAnsi="Times New Roman"/>
                <w:sz w:val="20"/>
              </w:rPr>
              <w:t>Issuance of common stock</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207,856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7" w:type="dxa"/>
            <w:tcBorders/>
            <w:vAlign w:val="bottom"/>
          </w:tcPr>
          <w:p>
            <w:pPr>
              <w:pStyle w:val="TableContents"/>
              <w:bidi w:val="0"/>
              <w:spacing w:before="0" w:after="283"/>
              <w:jc w:val="left"/>
              <w:rPr/>
            </w:pPr>
            <w:r>
              <w:rPr/>
              <w:t> </w:t>
            </w:r>
          </w:p>
        </w:tc>
        <w:tc>
          <w:tcPr>
            <w:tcW w:w="58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8" w:type="dxa"/>
            <w:tcBorders/>
            <w:vAlign w:val="bottom"/>
          </w:tcPr>
          <w:p>
            <w:pPr>
              <w:pStyle w:val="TableContents"/>
              <w:bidi w:val="0"/>
              <w:spacing w:before="0" w:after="283"/>
              <w:jc w:val="left"/>
              <w:rPr/>
            </w:pPr>
            <w:r>
              <w:rPr/>
              <w:t> </w:t>
            </w:r>
          </w:p>
        </w:tc>
        <w:tc>
          <w:tcPr>
            <w:tcW w:w="71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208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50" w:type="dxa"/>
            <w:tcBorders/>
            <w:vAlign w:val="bottom"/>
          </w:tcPr>
          <w:p>
            <w:pPr>
              <w:pStyle w:val="TableContents"/>
              <w:bidi w:val="0"/>
              <w:spacing w:before="0" w:after="283"/>
              <w:jc w:val="left"/>
              <w:rPr/>
            </w:pPr>
            <w:r>
              <w:rPr/>
              <w:t> </w:t>
            </w:r>
          </w:p>
        </w:tc>
        <w:tc>
          <w:tcPr>
            <w:tcW w:w="109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89"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9"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213</w:t>
            </w:r>
          </w:p>
        </w:tc>
        <w:tc>
          <w:tcPr>
            <w:tcW w:w="110" w:type="dxa"/>
            <w:tcBorders/>
            <w:vAlign w:val="bottom"/>
          </w:tcPr>
          <w:p>
            <w:pPr>
              <w:pStyle w:val="TableContents"/>
              <w:bidi w:val="0"/>
              <w:spacing w:before="0" w:after="283"/>
              <w:jc w:val="left"/>
              <w:rPr/>
            </w:pPr>
            <w:r>
              <w:rPr/>
              <w:t> </w:t>
            </w:r>
          </w:p>
        </w:tc>
      </w:tr>
      <w:tr>
        <w:trPr/>
        <w:tc>
          <w:tcPr>
            <w:tcW w:w="1340" w:type="dxa"/>
            <w:tcBorders/>
            <w:shd w:fill="CCEEFF" w:val="clear"/>
            <w:vAlign w:val="bottom"/>
          </w:tcPr>
          <w:p>
            <w:pPr>
              <w:pStyle w:val="TableContents"/>
              <w:bidi w:val="0"/>
              <w:spacing w:before="0" w:after="0"/>
              <w:ind w:left="360" w:right="0" w:hanging="180"/>
              <w:jc w:val="left"/>
              <w:rPr/>
            </w:pPr>
            <w:r>
              <w:rPr/>
              <w:t>Net Income</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7" w:type="dxa"/>
            <w:tcBorders/>
            <w:shd w:fill="CCEEFF" w:val="clear"/>
            <w:vAlign w:val="bottom"/>
          </w:tcPr>
          <w:p>
            <w:pPr>
              <w:pStyle w:val="TableContents"/>
              <w:bidi w:val="0"/>
              <w:spacing w:before="0" w:after="283"/>
              <w:jc w:val="left"/>
              <w:rPr/>
            </w:pPr>
            <w:r>
              <w:rPr/>
              <w:t> </w:t>
            </w:r>
          </w:p>
        </w:tc>
        <w:tc>
          <w:tcPr>
            <w:tcW w:w="583"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8" w:type="dxa"/>
            <w:tcBorders/>
            <w:shd w:fill="CCEEFF" w:val="clear"/>
            <w:vAlign w:val="bottom"/>
          </w:tcPr>
          <w:p>
            <w:pPr>
              <w:pStyle w:val="TableContents"/>
              <w:bidi w:val="0"/>
              <w:spacing w:before="0" w:after="283"/>
              <w:jc w:val="left"/>
              <w:rPr/>
            </w:pPr>
            <w:r>
              <w:rPr/>
              <w:t> </w:t>
            </w:r>
          </w:p>
        </w:tc>
        <w:tc>
          <w:tcPr>
            <w:tcW w:w="717"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50" w:type="dxa"/>
            <w:tcBorders/>
            <w:shd w:fill="CCEEFF" w:val="clear"/>
            <w:vAlign w:val="bottom"/>
          </w:tcPr>
          <w:p>
            <w:pPr>
              <w:pStyle w:val="TableContents"/>
              <w:bidi w:val="0"/>
              <w:spacing w:before="0" w:after="283"/>
              <w:jc w:val="left"/>
              <w:rPr/>
            </w:pPr>
            <w:r>
              <w:rPr/>
              <w:t> </w:t>
            </w:r>
          </w:p>
        </w:tc>
        <w:tc>
          <w:tcPr>
            <w:tcW w:w="1090" w:type="dxa"/>
            <w:tcBorders/>
            <w:shd w:fill="CCEEFF" w:val="clear"/>
            <w:vAlign w:val="bottom"/>
          </w:tcPr>
          <w:p>
            <w:pPr>
              <w:pStyle w:val="TableContents"/>
              <w:bidi w:val="0"/>
              <w:spacing w:before="0" w:after="283"/>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3,739</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89"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right"/>
              <w:rPr/>
            </w:pPr>
            <w:r>
              <w:rPr/>
              <w:t>55</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9"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right"/>
              <w:rPr/>
            </w:pPr>
            <w:r>
              <w:rPr/>
              <w:t>3,794</w:t>
            </w:r>
          </w:p>
        </w:tc>
        <w:tc>
          <w:tcPr>
            <w:tcW w:w="110" w:type="dxa"/>
            <w:tcBorders/>
            <w:shd w:fill="CCEEFF" w:val="clear"/>
            <w:vAlign w:val="bottom"/>
          </w:tcPr>
          <w:p>
            <w:pPr>
              <w:pStyle w:val="TableContents"/>
              <w:bidi w:val="0"/>
              <w:spacing w:before="0" w:after="283"/>
              <w:jc w:val="left"/>
              <w:rPr/>
            </w:pPr>
            <w:r>
              <w:rPr/>
              <w:t> </w:t>
            </w:r>
          </w:p>
        </w:tc>
      </w:tr>
      <w:tr>
        <w:trPr/>
        <w:tc>
          <w:tcPr>
            <w:tcW w:w="1340" w:type="dxa"/>
            <w:tcBorders/>
            <w:vAlign w:val="bottom"/>
          </w:tcPr>
          <w:p>
            <w:pPr>
              <w:pStyle w:val="TableContents"/>
              <w:bidi w:val="0"/>
              <w:spacing w:before="0" w:after="0"/>
              <w:ind w:left="360" w:right="0" w:hanging="180"/>
              <w:jc w:val="left"/>
              <w:rPr/>
            </w:pPr>
            <w:r>
              <w:rPr/>
              <w:t xml:space="preserve">Other Comprehensive Income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7" w:type="dxa"/>
            <w:tcBorders/>
            <w:vAlign w:val="bottom"/>
          </w:tcPr>
          <w:p>
            <w:pPr>
              <w:pStyle w:val="TableContents"/>
              <w:bidi w:val="0"/>
              <w:spacing w:before="0" w:after="283"/>
              <w:jc w:val="left"/>
              <w:rPr/>
            </w:pPr>
            <w:r>
              <w:rPr/>
              <w:t> </w:t>
            </w:r>
          </w:p>
        </w:tc>
        <w:tc>
          <w:tcPr>
            <w:tcW w:w="583"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8" w:type="dxa"/>
            <w:tcBorders/>
            <w:vAlign w:val="bottom"/>
          </w:tcPr>
          <w:p>
            <w:pPr>
              <w:pStyle w:val="TableContents"/>
              <w:bidi w:val="0"/>
              <w:spacing w:before="0" w:after="283"/>
              <w:jc w:val="left"/>
              <w:rPr/>
            </w:pPr>
            <w:r>
              <w:rPr/>
              <w:t> </w:t>
            </w:r>
          </w:p>
        </w:tc>
        <w:tc>
          <w:tcPr>
            <w:tcW w:w="717"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50" w:type="dxa"/>
            <w:tcBorders/>
            <w:vAlign w:val="bottom"/>
          </w:tcPr>
          <w:p>
            <w:pPr>
              <w:pStyle w:val="TableContents"/>
              <w:bidi w:val="0"/>
              <w:spacing w:before="0" w:after="283"/>
              <w:jc w:val="left"/>
              <w:rPr/>
            </w:pPr>
            <w:r>
              <w:rPr/>
              <w:t> </w:t>
            </w:r>
          </w:p>
        </w:tc>
        <w:tc>
          <w:tcPr>
            <w:tcW w:w="1090" w:type="dxa"/>
            <w:tcBorders/>
            <w:vAlign w:val="bottom"/>
          </w:tcPr>
          <w:p>
            <w:pPr>
              <w:pStyle w:val="TableContents"/>
              <w:bidi w:val="0"/>
              <w:spacing w:before="0" w:after="283"/>
              <w:jc w:val="right"/>
              <w:rPr/>
            </w:pPr>
            <w:r>
              <w:rPr/>
              <w:t>495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89"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right"/>
              <w:rPr/>
            </w:pPr>
            <w:r>
              <w:rPr/>
              <w:t>7</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9"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right"/>
              <w:rPr/>
            </w:pPr>
            <w:r>
              <w:rPr/>
              <w:t>502</w:t>
            </w:r>
          </w:p>
        </w:tc>
        <w:tc>
          <w:tcPr>
            <w:tcW w:w="110" w:type="dxa"/>
            <w:tcBorders/>
            <w:vAlign w:val="bottom"/>
          </w:tcPr>
          <w:p>
            <w:pPr>
              <w:pStyle w:val="TableContents"/>
              <w:bidi w:val="0"/>
              <w:spacing w:before="0" w:after="283"/>
              <w:jc w:val="left"/>
              <w:rPr/>
            </w:pPr>
            <w:r>
              <w:rPr/>
              <w:t> </w:t>
            </w:r>
          </w:p>
        </w:tc>
      </w:tr>
      <w:tr>
        <w:trPr/>
        <w:tc>
          <w:tcPr>
            <w:tcW w:w="1340" w:type="dxa"/>
            <w:tcBorders/>
            <w:shd w:fill="CCEEFF" w:val="clear"/>
            <w:vAlign w:val="bottom"/>
          </w:tcPr>
          <w:p>
            <w:pPr>
              <w:pStyle w:val="TableContents"/>
              <w:bidi w:val="0"/>
              <w:spacing w:before="0" w:after="0"/>
              <w:ind w:left="360" w:right="0" w:hanging="180"/>
              <w:jc w:val="left"/>
              <w:rPr/>
            </w:pPr>
            <w:r>
              <w:rPr/>
              <w:t xml:space="preserve">LTIP-OP Unit awards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7" w:type="dxa"/>
            <w:tcBorders/>
            <w:shd w:fill="CCEEFF" w:val="clear"/>
            <w:vAlign w:val="bottom"/>
          </w:tcPr>
          <w:p>
            <w:pPr>
              <w:pStyle w:val="TableContents"/>
              <w:bidi w:val="0"/>
              <w:spacing w:before="0" w:after="283"/>
              <w:jc w:val="left"/>
              <w:rPr/>
            </w:pPr>
            <w:r>
              <w:rPr/>
              <w:t> </w:t>
            </w:r>
          </w:p>
        </w:tc>
        <w:tc>
          <w:tcPr>
            <w:tcW w:w="583"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8" w:type="dxa"/>
            <w:tcBorders/>
            <w:shd w:fill="CCEEFF" w:val="clear"/>
            <w:vAlign w:val="bottom"/>
          </w:tcPr>
          <w:p>
            <w:pPr>
              <w:pStyle w:val="TableContents"/>
              <w:bidi w:val="0"/>
              <w:spacing w:before="0" w:after="283"/>
              <w:jc w:val="left"/>
              <w:rPr/>
            </w:pPr>
            <w:r>
              <w:rPr/>
              <w:t> </w:t>
            </w:r>
          </w:p>
        </w:tc>
        <w:tc>
          <w:tcPr>
            <w:tcW w:w="717"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50" w:type="dxa"/>
            <w:tcBorders/>
            <w:shd w:fill="CCEEFF" w:val="clear"/>
            <w:vAlign w:val="bottom"/>
          </w:tcPr>
          <w:p>
            <w:pPr>
              <w:pStyle w:val="TableContents"/>
              <w:bidi w:val="0"/>
              <w:spacing w:before="0" w:after="283"/>
              <w:jc w:val="left"/>
              <w:rPr/>
            </w:pPr>
            <w:r>
              <w:rPr/>
              <w:t> </w:t>
            </w:r>
          </w:p>
        </w:tc>
        <w:tc>
          <w:tcPr>
            <w:tcW w:w="1090" w:type="dxa"/>
            <w:tcBorders/>
            <w:shd w:fill="CCEEFF" w:val="clear"/>
            <w:vAlign w:val="bottom"/>
          </w:tcPr>
          <w:p>
            <w:pPr>
              <w:pStyle w:val="TableContents"/>
              <w:bidi w:val="0"/>
              <w:spacing w:before="0" w:after="283"/>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89"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right"/>
              <w:rPr/>
            </w:pPr>
            <w:r>
              <w:rPr/>
              <w:t>32</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9"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right"/>
              <w:rPr/>
            </w:pPr>
            <w:r>
              <w:rPr/>
              <w:t>32</w:t>
            </w:r>
          </w:p>
        </w:tc>
        <w:tc>
          <w:tcPr>
            <w:tcW w:w="110" w:type="dxa"/>
            <w:tcBorders/>
            <w:shd w:fill="CCEEFF" w:val="clear"/>
            <w:vAlign w:val="bottom"/>
          </w:tcPr>
          <w:p>
            <w:pPr>
              <w:pStyle w:val="TableContents"/>
              <w:bidi w:val="0"/>
              <w:spacing w:before="0" w:after="283"/>
              <w:jc w:val="left"/>
              <w:rPr/>
            </w:pPr>
            <w:r>
              <w:rPr/>
              <w:t> </w:t>
            </w:r>
          </w:p>
        </w:tc>
      </w:tr>
      <w:tr>
        <w:trPr/>
        <w:tc>
          <w:tcPr>
            <w:tcW w:w="1340" w:type="dxa"/>
            <w:tcBorders/>
            <w:vAlign w:val="bottom"/>
          </w:tcPr>
          <w:p>
            <w:pPr>
              <w:pStyle w:val="TableContents"/>
              <w:bidi w:val="0"/>
              <w:spacing w:before="0" w:after="0"/>
              <w:ind w:left="360" w:right="0" w:hanging="180"/>
              <w:jc w:val="left"/>
              <w:rPr/>
            </w:pPr>
            <w:r>
              <w:rPr/>
              <w:t xml:space="preserve">Distribution paid on LTIP-OP Units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7" w:type="dxa"/>
            <w:tcBorders/>
            <w:vAlign w:val="bottom"/>
          </w:tcPr>
          <w:p>
            <w:pPr>
              <w:pStyle w:val="TableContents"/>
              <w:bidi w:val="0"/>
              <w:spacing w:before="0" w:after="283"/>
              <w:jc w:val="left"/>
              <w:rPr/>
            </w:pPr>
            <w:r>
              <w:rPr/>
              <w:t> </w:t>
            </w:r>
          </w:p>
        </w:tc>
        <w:tc>
          <w:tcPr>
            <w:tcW w:w="583"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8" w:type="dxa"/>
            <w:tcBorders/>
            <w:vAlign w:val="bottom"/>
          </w:tcPr>
          <w:p>
            <w:pPr>
              <w:pStyle w:val="TableContents"/>
              <w:bidi w:val="0"/>
              <w:spacing w:before="0" w:after="283"/>
              <w:jc w:val="left"/>
              <w:rPr/>
            </w:pPr>
            <w:r>
              <w:rPr/>
              <w:t> </w:t>
            </w:r>
          </w:p>
        </w:tc>
        <w:tc>
          <w:tcPr>
            <w:tcW w:w="717"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50" w:type="dxa"/>
            <w:tcBorders/>
            <w:vAlign w:val="bottom"/>
          </w:tcPr>
          <w:p>
            <w:pPr>
              <w:pStyle w:val="TableContents"/>
              <w:bidi w:val="0"/>
              <w:spacing w:before="0" w:after="283"/>
              <w:jc w:val="left"/>
              <w:rPr/>
            </w:pPr>
            <w:r>
              <w:rPr/>
              <w:t> </w:t>
            </w:r>
          </w:p>
        </w:tc>
        <w:tc>
          <w:tcPr>
            <w:tcW w:w="1090" w:type="dxa"/>
            <w:tcBorders/>
            <w:vAlign w:val="bottom"/>
          </w:tcPr>
          <w:p>
            <w:pPr>
              <w:pStyle w:val="TableContents"/>
              <w:bidi w:val="0"/>
              <w:spacing w:before="0" w:after="283"/>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89"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right"/>
              <w:rPr/>
            </w:pPr>
            <w:r>
              <w:rPr/>
              <w:t>(53</w:t>
            </w:r>
          </w:p>
        </w:tc>
        <w:tc>
          <w:tcPr>
            <w:tcW w:w="95" w:type="dxa"/>
            <w:tcBorders/>
            <w:vAlign w:val="bottom"/>
          </w:tcPr>
          <w:p>
            <w:pPr>
              <w:pStyle w:val="TableContents"/>
              <w:bidi w:val="0"/>
              <w:spacing w:before="0" w:after="283"/>
              <w:jc w:val="left"/>
              <w:rPr/>
            </w:pPr>
            <w:r>
              <w:rPr/>
              <w:t>)</w:t>
            </w:r>
          </w:p>
        </w:tc>
        <w:tc>
          <w:tcPr>
            <w:tcW w:w="60" w:type="dxa"/>
            <w:tcBorders/>
            <w:vAlign w:val="bottom"/>
          </w:tcPr>
          <w:p>
            <w:pPr>
              <w:pStyle w:val="TableContents"/>
              <w:bidi w:val="0"/>
              <w:spacing w:before="0" w:after="283"/>
              <w:jc w:val="right"/>
              <w:rPr/>
            </w:pPr>
            <w:r>
              <w:rPr/>
              <w:t> </w:t>
            </w:r>
          </w:p>
        </w:tc>
        <w:tc>
          <w:tcPr>
            <w:tcW w:w="169"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right"/>
              <w:rPr/>
            </w:pPr>
            <w:r>
              <w:rPr/>
              <w:t>(53</w:t>
            </w:r>
          </w:p>
        </w:tc>
        <w:tc>
          <w:tcPr>
            <w:tcW w:w="110" w:type="dxa"/>
            <w:tcBorders/>
            <w:vAlign w:val="bottom"/>
          </w:tcPr>
          <w:p>
            <w:pPr>
              <w:pStyle w:val="TableContents"/>
              <w:bidi w:val="0"/>
              <w:spacing w:before="0" w:after="283"/>
              <w:jc w:val="left"/>
              <w:rPr/>
            </w:pPr>
            <w:r>
              <w:rPr/>
              <w:t>)</w:t>
            </w:r>
          </w:p>
        </w:tc>
      </w:tr>
      <w:tr>
        <w:trPr/>
        <w:tc>
          <w:tcPr>
            <w:tcW w:w="1340" w:type="dxa"/>
            <w:tcBorders/>
            <w:shd w:fill="CCEEFF" w:val="clear"/>
            <w:vAlign w:val="bottom"/>
          </w:tcPr>
          <w:p>
            <w:pPr>
              <w:pStyle w:val="TableContents"/>
              <w:bidi w:val="0"/>
              <w:spacing w:before="0" w:after="0"/>
              <w:ind w:left="360" w:right="0" w:hanging="0"/>
              <w:jc w:val="left"/>
              <w:rPr/>
            </w:pPr>
            <w:r>
              <w:rPr/>
              <w:t xml:space="preserve">Common dividends declared, $0.10 per share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7" w:type="dxa"/>
            <w:tcBorders/>
            <w:shd w:fill="CCEEFF" w:val="clear"/>
            <w:vAlign w:val="bottom"/>
          </w:tcPr>
          <w:p>
            <w:pPr>
              <w:pStyle w:val="TableContents"/>
              <w:bidi w:val="0"/>
              <w:spacing w:before="0" w:after="283"/>
              <w:jc w:val="left"/>
              <w:rPr/>
            </w:pPr>
            <w:r>
              <w:rPr/>
              <w:t> </w:t>
            </w:r>
          </w:p>
        </w:tc>
        <w:tc>
          <w:tcPr>
            <w:tcW w:w="583"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8" w:type="dxa"/>
            <w:tcBorders/>
            <w:shd w:fill="CCEEFF" w:val="clear"/>
            <w:vAlign w:val="bottom"/>
          </w:tcPr>
          <w:p>
            <w:pPr>
              <w:pStyle w:val="TableContents"/>
              <w:bidi w:val="0"/>
              <w:spacing w:before="0" w:after="283"/>
              <w:jc w:val="left"/>
              <w:rPr/>
            </w:pPr>
            <w:r>
              <w:rPr/>
              <w:t> </w:t>
            </w:r>
          </w:p>
        </w:tc>
        <w:tc>
          <w:tcPr>
            <w:tcW w:w="717"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50" w:type="dxa"/>
            <w:tcBorders/>
            <w:shd w:fill="CCEEFF" w:val="clear"/>
            <w:vAlign w:val="bottom"/>
          </w:tcPr>
          <w:p>
            <w:pPr>
              <w:pStyle w:val="TableContents"/>
              <w:bidi w:val="0"/>
              <w:spacing w:before="0" w:after="283"/>
              <w:jc w:val="left"/>
              <w:rPr/>
            </w:pPr>
            <w:r>
              <w:rPr/>
              <w:t> </w:t>
            </w:r>
          </w:p>
        </w:tc>
        <w:tc>
          <w:tcPr>
            <w:tcW w:w="1090" w:type="dxa"/>
            <w:tcBorders/>
            <w:shd w:fill="CCEEFF" w:val="clear"/>
            <w:vAlign w:val="bottom"/>
          </w:tcPr>
          <w:p>
            <w:pPr>
              <w:pStyle w:val="TableContents"/>
              <w:bidi w:val="0"/>
              <w:spacing w:before="0" w:after="283"/>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(3,748</w:t>
            </w:r>
          </w:p>
        </w:tc>
        <w:tc>
          <w:tcPr>
            <w:tcW w:w="95" w:type="dxa"/>
            <w:tcBorders/>
            <w:shd w:fill="CCEEFF" w:val="clear"/>
            <w:vAlign w:val="bottom"/>
          </w:tcPr>
          <w:p>
            <w:pPr>
              <w:pStyle w:val="TableContents"/>
              <w:bidi w:val="0"/>
              <w:spacing w:before="0" w:after="283"/>
              <w:jc w:val="left"/>
              <w:rPr/>
            </w:pPr>
            <w:r>
              <w:rPr/>
              <w:t>)</w:t>
            </w:r>
          </w:p>
        </w:tc>
        <w:tc>
          <w:tcPr>
            <w:tcW w:w="60" w:type="dxa"/>
            <w:tcBorders/>
            <w:shd w:fill="CCEEFF" w:val="clear"/>
            <w:vAlign w:val="bottom"/>
          </w:tcPr>
          <w:p>
            <w:pPr>
              <w:pStyle w:val="TableContents"/>
              <w:bidi w:val="0"/>
              <w:spacing w:before="0" w:after="283"/>
              <w:jc w:val="right"/>
              <w:rPr/>
            </w:pPr>
            <w:r>
              <w:rPr/>
              <w:t> </w:t>
            </w:r>
          </w:p>
        </w:tc>
        <w:tc>
          <w:tcPr>
            <w:tcW w:w="289"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9"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right"/>
              <w:rPr/>
            </w:pPr>
            <w:r>
              <w:rPr/>
              <w:t>(3,748</w:t>
            </w:r>
          </w:p>
        </w:tc>
        <w:tc>
          <w:tcPr>
            <w:tcW w:w="110" w:type="dxa"/>
            <w:tcBorders/>
            <w:shd w:fill="CCEEFF" w:val="clear"/>
            <w:vAlign w:val="bottom"/>
          </w:tcPr>
          <w:p>
            <w:pPr>
              <w:pStyle w:val="TableContents"/>
              <w:bidi w:val="0"/>
              <w:spacing w:before="0" w:after="283"/>
              <w:jc w:val="left"/>
              <w:rPr/>
            </w:pPr>
            <w:r>
              <w:rPr/>
              <w:t>)</w:t>
            </w:r>
          </w:p>
        </w:tc>
      </w:tr>
      <w:tr>
        <w:trPr/>
        <w:tc>
          <w:tcPr>
            <w:tcW w:w="1340" w:type="dxa"/>
            <w:tcBorders/>
            <w:vAlign w:val="bottom"/>
          </w:tcPr>
          <w:p>
            <w:pPr>
              <w:pStyle w:val="TableContents"/>
              <w:bidi w:val="0"/>
              <w:spacing w:before="0" w:after="0"/>
              <w:ind w:left="360" w:right="0" w:hanging="0"/>
              <w:jc w:val="left"/>
              <w:rPr/>
            </w:pPr>
            <w:r>
              <w:rPr/>
              <w:t xml:space="preserve">Preferred Series A dividends declared, $0.5125 per share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7" w:type="dxa"/>
            <w:tcBorders/>
            <w:vAlign w:val="bottom"/>
          </w:tcPr>
          <w:p>
            <w:pPr>
              <w:pStyle w:val="TableContents"/>
              <w:bidi w:val="0"/>
              <w:spacing w:before="0" w:after="283"/>
              <w:jc w:val="left"/>
              <w:rPr/>
            </w:pPr>
            <w:r>
              <w:rPr/>
              <w:t> </w:t>
            </w:r>
          </w:p>
        </w:tc>
        <w:tc>
          <w:tcPr>
            <w:tcW w:w="583"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8" w:type="dxa"/>
            <w:tcBorders/>
            <w:vAlign w:val="bottom"/>
          </w:tcPr>
          <w:p>
            <w:pPr>
              <w:pStyle w:val="TableContents"/>
              <w:bidi w:val="0"/>
              <w:spacing w:before="0" w:after="283"/>
              <w:jc w:val="left"/>
              <w:rPr/>
            </w:pPr>
            <w:r>
              <w:rPr/>
              <w:t> </w:t>
            </w:r>
          </w:p>
        </w:tc>
        <w:tc>
          <w:tcPr>
            <w:tcW w:w="717"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50" w:type="dxa"/>
            <w:tcBorders/>
            <w:vAlign w:val="bottom"/>
          </w:tcPr>
          <w:p>
            <w:pPr>
              <w:pStyle w:val="TableContents"/>
              <w:bidi w:val="0"/>
              <w:spacing w:before="0" w:after="283"/>
              <w:jc w:val="left"/>
              <w:rPr/>
            </w:pPr>
            <w:r>
              <w:rPr/>
              <w:t> </w:t>
            </w:r>
          </w:p>
        </w:tc>
        <w:tc>
          <w:tcPr>
            <w:tcW w:w="1090" w:type="dxa"/>
            <w:tcBorders/>
            <w:vAlign w:val="bottom"/>
          </w:tcPr>
          <w:p>
            <w:pPr>
              <w:pStyle w:val="TableContents"/>
              <w:bidi w:val="0"/>
              <w:spacing w:before="0" w:after="283"/>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(1,432</w:t>
            </w:r>
          </w:p>
        </w:tc>
        <w:tc>
          <w:tcPr>
            <w:tcW w:w="95" w:type="dxa"/>
            <w:tcBorders/>
            <w:vAlign w:val="bottom"/>
          </w:tcPr>
          <w:p>
            <w:pPr>
              <w:pStyle w:val="TableContents"/>
              <w:bidi w:val="0"/>
              <w:spacing w:before="0" w:after="283"/>
              <w:jc w:val="left"/>
              <w:rPr/>
            </w:pPr>
            <w:r>
              <w:rPr/>
              <w:t>)</w:t>
            </w:r>
          </w:p>
        </w:tc>
        <w:tc>
          <w:tcPr>
            <w:tcW w:w="60" w:type="dxa"/>
            <w:tcBorders/>
            <w:vAlign w:val="bottom"/>
          </w:tcPr>
          <w:p>
            <w:pPr>
              <w:pStyle w:val="TableContents"/>
              <w:bidi w:val="0"/>
              <w:spacing w:before="0" w:after="283"/>
              <w:jc w:val="right"/>
              <w:rPr/>
            </w:pPr>
            <w:r>
              <w:rPr/>
              <w:t> </w:t>
            </w:r>
          </w:p>
        </w:tc>
        <w:tc>
          <w:tcPr>
            <w:tcW w:w="289" w:type="dxa"/>
            <w:tcBorders/>
            <w:vAlign w:val="bottom"/>
          </w:tcPr>
          <w:p>
            <w:pPr>
              <w:pStyle w:val="TableContents"/>
              <w:bidi w:val="0"/>
              <w:spacing w:before="0" w:after="283"/>
              <w:jc w:val="left"/>
              <w:rPr/>
            </w:pPr>
            <w:r>
              <w:rPr/>
              <w:t> </w:t>
            </w:r>
          </w:p>
        </w:tc>
        <w:tc>
          <w:tcPr>
            <w:tcW w:w="1126" w:type="dxa"/>
            <w:tcBorders/>
            <w:vAlign w:val="bottom"/>
          </w:tcPr>
          <w:p>
            <w:pPr>
              <w:pStyle w:val="TableContents"/>
              <w:bidi w:val="0"/>
              <w:spacing w:before="0" w:after="283"/>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9"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right"/>
              <w:rPr/>
            </w:pPr>
            <w:r>
              <w:rPr/>
              <w:t>(1,432</w:t>
            </w:r>
          </w:p>
        </w:tc>
        <w:tc>
          <w:tcPr>
            <w:tcW w:w="110" w:type="dxa"/>
            <w:tcBorders/>
            <w:vAlign w:val="bottom"/>
          </w:tcPr>
          <w:p>
            <w:pPr>
              <w:pStyle w:val="TableContents"/>
              <w:bidi w:val="0"/>
              <w:spacing w:before="0" w:after="283"/>
              <w:jc w:val="left"/>
              <w:rPr/>
            </w:pPr>
            <w:r>
              <w:rPr/>
              <w:t>)</w:t>
            </w:r>
          </w:p>
        </w:tc>
      </w:tr>
      <w:tr>
        <w:trPr/>
        <w:tc>
          <w:tcPr>
            <w:tcW w:w="1340" w:type="dxa"/>
            <w:tcBorders/>
            <w:shd w:fill="CCEEFF" w:val="clear"/>
            <w:vAlign w:val="bottom"/>
          </w:tcPr>
          <w:p>
            <w:pPr>
              <w:pStyle w:val="TableContents"/>
              <w:bidi w:val="0"/>
              <w:spacing w:before="0" w:after="0"/>
              <w:ind w:left="360" w:right="0" w:hanging="0"/>
              <w:jc w:val="left"/>
              <w:rPr/>
            </w:pPr>
            <w:r>
              <w:rPr/>
              <w:t xml:space="preserve">Preferred Series B dividends declared, $0.6045 per share </w:t>
            </w:r>
          </w:p>
        </w:tc>
        <w:tc>
          <w:tcPr>
            <w:tcW w:w="60" w:type="dxa"/>
            <w:tcBorders/>
            <w:shd w:fill="CCEEFF" w:val="clear"/>
            <w:vAlign w:val="bottom"/>
          </w:tcPr>
          <w:p>
            <w:pPr>
              <w:pStyle w:val="TableContents"/>
              <w:bidi w:val="0"/>
              <w:spacing w:before="0" w:after="283"/>
              <w:jc w:val="righ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83" w:type="dxa"/>
            <w:tcBorders>
              <w:bottom w:val="single" w:sz="12" w:space="0" w:color="000000"/>
            </w:tcBorders>
            <w:shd w:fill="CCEEFF" w:val="clear"/>
            <w:tcMar>
              <w:bottom w:w="28" w:type="dxa"/>
            </w:tcM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17" w:type="dxa"/>
            <w:tcBorders>
              <w:bottom w:val="single" w:sz="12" w:space="0" w:color="000000"/>
            </w:tcBorders>
            <w:shd w:fill="CCEEFF" w:val="clear"/>
            <w:tcMar>
              <w:bottom w:w="28" w:type="dxa"/>
            </w:tcM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80" w:type="dxa"/>
            <w:tcBorders>
              <w:bottom w:val="single" w:sz="12" w:space="0" w:color="000000"/>
            </w:tcBorders>
            <w:shd w:fill="CCEEFF" w:val="clear"/>
            <w:tcMar>
              <w:bottom w:w="28" w:type="dxa"/>
            </w:tcM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5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90" w:type="dxa"/>
            <w:tcBorders>
              <w:bottom w:val="single" w:sz="12" w:space="0" w:color="000000"/>
            </w:tcBorders>
            <w:shd w:fill="CCEEFF" w:val="clear"/>
            <w:tcMar>
              <w:bottom w:w="28" w:type="dxa"/>
            </w:tcMar>
            <w:vAlign w:val="bottom"/>
          </w:tcPr>
          <w:p>
            <w:pPr>
              <w:pStyle w:val="TableContents"/>
              <w:bidi w:val="0"/>
              <w:spacing w:before="0" w:after="283"/>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bottom"/>
          </w:tcPr>
          <w:p>
            <w:pPr>
              <w:pStyle w:val="TableContents"/>
              <w:bidi w:val="0"/>
              <w:spacing w:before="0" w:after="283"/>
              <w:jc w:val="right"/>
              <w:rPr/>
            </w:pPr>
            <w:r>
              <w:rPr/>
              <w:t>(970</w:t>
            </w:r>
          </w:p>
        </w:tc>
        <w:tc>
          <w:tcPr>
            <w:tcW w:w="95" w:type="dxa"/>
            <w:tcBorders/>
            <w:shd w:fill="CCEEFF" w:val="clear"/>
            <w:vAlign w:val="bottom"/>
          </w:tcPr>
          <w:p>
            <w:pPr>
              <w:pStyle w:val="TableContents"/>
              <w:bidi w:val="0"/>
              <w:spacing w:before="0" w:after="283"/>
              <w:jc w:val="left"/>
              <w:rPr/>
            </w:pPr>
            <w:r>
              <w:rPr/>
              <w:t>)</w:t>
            </w:r>
          </w:p>
        </w:tc>
        <w:tc>
          <w:tcPr>
            <w:tcW w:w="60" w:type="dxa"/>
            <w:tcBorders/>
            <w:shd w:fill="CCEEFF" w:val="clear"/>
            <w:vAlign w:val="bottom"/>
          </w:tcPr>
          <w:p>
            <w:pPr>
              <w:pStyle w:val="TableContents"/>
              <w:bidi w:val="0"/>
              <w:spacing w:before="0" w:after="283"/>
              <w:jc w:val="right"/>
              <w:rPr/>
            </w:pPr>
            <w:r>
              <w:rPr/>
              <w:t> </w:t>
            </w:r>
          </w:p>
        </w:tc>
        <w:tc>
          <w:tcPr>
            <w:tcW w:w="28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26" w:type="dxa"/>
            <w:tcBorders>
              <w:bottom w:val="single" w:sz="12" w:space="0" w:color="000000"/>
            </w:tcBorders>
            <w:shd w:fill="CCEEFF" w:val="clear"/>
            <w:tcMar>
              <w:bottom w:w="28" w:type="dxa"/>
            </w:tcMar>
            <w:vAlign w:val="bottom"/>
          </w:tcPr>
          <w:p>
            <w:pPr>
              <w:pStyle w:val="TableContents"/>
              <w:bidi w:val="0"/>
              <w:spacing w:before="0" w:after="283"/>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46" w:type="dxa"/>
            <w:tcBorders>
              <w:bottom w:val="single" w:sz="12" w:space="0" w:color="000000"/>
            </w:tcBorders>
            <w:shd w:fill="CCEEFF" w:val="clear"/>
            <w:tcMar>
              <w:bottom w:w="28" w:type="dxa"/>
            </w:tcMar>
            <w:vAlign w:val="bottom"/>
          </w:tcPr>
          <w:p>
            <w:pPr>
              <w:pStyle w:val="TableContents"/>
              <w:bidi w:val="0"/>
              <w:spacing w:before="0" w:after="283"/>
              <w:jc w:val="right"/>
              <w:rPr/>
            </w:pPr>
            <w:r>
              <w:rPr/>
              <w:t>(970</w:t>
            </w:r>
          </w:p>
        </w:tc>
        <w:tc>
          <w:tcPr>
            <w:tcW w:w="110" w:type="dxa"/>
            <w:tcBorders/>
            <w:shd w:fill="CCEEFF" w:val="clear"/>
            <w:vAlign w:val="bottom"/>
          </w:tcPr>
          <w:p>
            <w:pPr>
              <w:pStyle w:val="TableContents"/>
              <w:bidi w:val="0"/>
              <w:spacing w:before="0" w:after="283"/>
              <w:jc w:val="left"/>
              <w:rPr/>
            </w:pPr>
            <w:r>
              <w:rPr/>
              <w:t>)</w:t>
            </w:r>
          </w:p>
        </w:tc>
      </w:tr>
      <w:tr>
        <w:trPr/>
        <w:tc>
          <w:tcPr>
            <w:tcW w:w="1340" w:type="dxa"/>
            <w:tcBorders/>
            <w:vAlign w:val="bottom"/>
          </w:tcPr>
          <w:p>
            <w:pPr>
              <w:pStyle w:val="TableContents"/>
              <w:bidi w:val="0"/>
              <w:spacing w:before="0" w:after="0"/>
              <w:ind w:left="144" w:right="0" w:hanging="0"/>
              <w:jc w:val="left"/>
              <w:rPr>
                <w:rFonts w:ascii="Times New Roman" w:hAnsi="Times New Roman"/>
                <w:b/>
                <w:sz w:val="20"/>
              </w:rPr>
            </w:pPr>
            <w:r>
              <w:rPr>
                <w:rFonts w:ascii="Times New Roman" w:hAnsi="Times New Roman"/>
                <w:b/>
                <w:sz w:val="20"/>
              </w:rPr>
              <w:t>Balance, June 30, 2026</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36,947,394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7"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583"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378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4,385,738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8"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717"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105,864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780"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396,889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5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1090"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1,757</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755"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(278,445</w:t>
            </w:r>
          </w:p>
        </w:tc>
        <w:tc>
          <w:tcPr>
            <w:tcW w:w="9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vAlign w:val="bottom"/>
          </w:tcPr>
          <w:p>
            <w:pPr>
              <w:pStyle w:val="TableContents"/>
              <w:bidi w:val="0"/>
              <w:spacing w:before="0" w:after="283"/>
              <w:jc w:val="right"/>
              <w:rPr/>
            </w:pPr>
            <w:r>
              <w:rPr/>
              <w:t> </w:t>
            </w:r>
          </w:p>
        </w:tc>
        <w:tc>
          <w:tcPr>
            <w:tcW w:w="289"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1126"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2,481</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9"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946"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228,924</w:t>
            </w:r>
          </w:p>
        </w:tc>
        <w:tc>
          <w:tcPr>
            <w:tcW w:w="110"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See accompanying notes to consolidated financial statements.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8</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Cherry Hill Mortgage Investment Corporation and Subsidiaries</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 xml:space="preserve">Consolidated </w:t>
      </w:r>
      <w:bookmarkStart w:id="14" w:name="StatementsofCashFlows"/>
      <w:bookmarkEnd w:id="14"/>
      <w:r>
        <w:rPr>
          <w:rFonts w:ascii="Times New Roman" w:hAnsi="Times New Roman"/>
          <w:b/>
          <w:color w:val="000000"/>
          <w:sz w:val="20"/>
          <w:shd w:fill="FFFFFF" w:val="clear"/>
        </w:rPr>
        <w:t>Statements of Cash Flows</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(Unaudited)</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(in thousands)</w:t>
      </w:r>
    </w:p>
    <w:p>
      <w:pPr>
        <w:pStyle w:val="TextBody"/>
        <w:bidi w:val="0"/>
        <w:spacing w:before="0" w:after="0"/>
        <w:jc w:val="left"/>
        <w:rPr/>
      </w:pPr>
      <w:r>
        <w:rPr/>
      </w:r>
    </w:p>
    <w:tbl>
      <w:tblPr>
        <w:tblW w:w="9583" w:type="dxa"/>
        <w:jc w:val="left"/>
        <w:tblInd w:w="0" w:type="dxa"/>
        <w:tblLayout w:type="fixed"/>
        <w:tblCellMar>
          <w:top w:w="0" w:type="dxa"/>
          <w:left w:w="0" w:type="dxa"/>
          <w:bottom w:w="0" w:type="dxa"/>
          <w:right w:w="0" w:type="dxa"/>
        </w:tblCellMar>
      </w:tblPr>
      <w:tblGrid>
        <w:gridCol w:w="7115"/>
        <w:gridCol w:w="60"/>
        <w:gridCol w:w="143"/>
        <w:gridCol w:w="927"/>
        <w:gridCol w:w="97"/>
        <w:gridCol w:w="61"/>
        <w:gridCol w:w="143"/>
        <w:gridCol w:w="927"/>
        <w:gridCol w:w="110"/>
      </w:tblGrid>
      <w:tr>
        <w:trPr/>
        <w:tc>
          <w:tcPr>
            <w:tcW w:w="7115" w:type="dxa"/>
            <w:tcBorders/>
            <w:vAlign w:val="bottom"/>
          </w:tcPr>
          <w:p>
            <w:pPr>
              <w:pStyle w:val="TableContents"/>
              <w:bidi w:val="0"/>
              <w:spacing w:before="0" w:after="0"/>
              <w:ind w:left="144" w:right="0" w:hanging="144"/>
              <w:jc w:val="left"/>
              <w:rPr/>
            </w:pPr>
            <w:r>
              <w:rPr/>
              <w:t> </w:t>
            </w:r>
          </w:p>
        </w:tc>
        <w:tc>
          <w:tcPr>
            <w:tcW w:w="60" w:type="dxa"/>
            <w:tcBorders/>
            <w:vAlign w:val="bottom"/>
          </w:tcPr>
          <w:p>
            <w:pPr>
              <w:pStyle w:val="TableContents"/>
              <w:bidi w:val="0"/>
              <w:spacing w:before="0" w:after="283"/>
              <w:jc w:val="left"/>
              <w:rPr/>
            </w:pPr>
            <w:r>
              <w:rPr/>
              <w:t> </w:t>
            </w:r>
          </w:p>
        </w:tc>
        <w:tc>
          <w:tcPr>
            <w:tcW w:w="2298"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Six Months Ended June 30,</w:t>
            </w:r>
          </w:p>
        </w:tc>
        <w:tc>
          <w:tcPr>
            <w:tcW w:w="110" w:type="dxa"/>
            <w:tcBorders/>
            <w:vAlign w:val="bottom"/>
          </w:tcPr>
          <w:p>
            <w:pPr>
              <w:pStyle w:val="TableContents"/>
              <w:bidi w:val="0"/>
              <w:spacing w:before="0" w:after="283"/>
              <w:jc w:val="left"/>
              <w:rPr/>
            </w:pPr>
            <w:r>
              <w:rPr/>
              <w:t> </w:t>
            </w:r>
          </w:p>
        </w:tc>
      </w:tr>
      <w:tr>
        <w:trPr/>
        <w:tc>
          <w:tcPr>
            <w:tcW w:w="7115" w:type="dxa"/>
            <w:tcBorders/>
            <w:vAlign w:val="bottom"/>
          </w:tcPr>
          <w:p>
            <w:pPr>
              <w:pStyle w:val="TableContents"/>
              <w:bidi w:val="0"/>
              <w:spacing w:before="0" w:after="0"/>
              <w:ind w:left="144" w:right="0" w:hanging="144"/>
              <w:jc w:val="left"/>
              <w:rPr/>
            </w:pPr>
            <w:r>
              <w:rPr/>
              <w:t> </w:t>
            </w:r>
          </w:p>
        </w:tc>
        <w:tc>
          <w:tcPr>
            <w:tcW w:w="60" w:type="dxa"/>
            <w:tcBorders/>
            <w:vAlign w:val="bottom"/>
          </w:tcPr>
          <w:p>
            <w:pPr>
              <w:pStyle w:val="TableContents"/>
              <w:bidi w:val="0"/>
              <w:spacing w:before="0" w:after="283"/>
              <w:jc w:val="left"/>
              <w:rPr/>
            </w:pPr>
            <w:r>
              <w:rPr/>
              <w:t> </w:t>
            </w:r>
          </w:p>
        </w:tc>
        <w:tc>
          <w:tcPr>
            <w:tcW w:w="107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2026</w:t>
            </w:r>
          </w:p>
        </w:tc>
        <w:tc>
          <w:tcPr>
            <w:tcW w:w="97"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07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2025</w:t>
            </w:r>
          </w:p>
        </w:tc>
        <w:tc>
          <w:tcPr>
            <w:tcW w:w="110" w:type="dxa"/>
            <w:tcBorders/>
            <w:vAlign w:val="bottom"/>
          </w:tcPr>
          <w:p>
            <w:pPr>
              <w:pStyle w:val="TableContents"/>
              <w:bidi w:val="0"/>
              <w:spacing w:before="0" w:after="283"/>
              <w:jc w:val="left"/>
              <w:rPr/>
            </w:pPr>
            <w:r>
              <w:rPr/>
              <w:t> </w:t>
            </w:r>
          </w:p>
        </w:tc>
      </w:tr>
      <w:tr>
        <w:trPr/>
        <w:tc>
          <w:tcPr>
            <w:tcW w:w="7115" w:type="dxa"/>
            <w:tcBorders/>
            <w:shd w:fill="CCEEFF" w:val="clear"/>
            <w:vAlign w:val="bottom"/>
          </w:tcPr>
          <w:p>
            <w:pPr>
              <w:pStyle w:val="TableContents"/>
              <w:bidi w:val="0"/>
              <w:spacing w:before="0" w:after="0"/>
              <w:ind w:left="144" w:right="0" w:hanging="144"/>
              <w:jc w:val="left"/>
              <w:rPr>
                <w:rFonts w:ascii="Times New Roman" w:hAnsi="Times New Roman"/>
                <w:b/>
                <w:sz w:val="20"/>
              </w:rPr>
            </w:pPr>
            <w:r>
              <w:rPr>
                <w:rFonts w:ascii="Times New Roman" w:hAnsi="Times New Roman"/>
                <w:b/>
                <w:sz w:val="20"/>
              </w:rPr>
              <w:t>Cash Flows From Operating Activities</w:t>
            </w:r>
          </w:p>
        </w:tc>
        <w:tc>
          <w:tcPr>
            <w:tcW w:w="60" w:type="dxa"/>
            <w:tcBorders/>
            <w:shd w:fill="CCEEFF" w:val="clear"/>
            <w:vAlign w:val="bottom"/>
          </w:tcPr>
          <w:p>
            <w:pPr>
              <w:pStyle w:val="TableContents"/>
              <w:bidi w:val="0"/>
              <w:spacing w:before="0" w:after="283"/>
              <w:jc w:val="left"/>
              <w:rPr/>
            </w:pPr>
            <w:r>
              <w:rPr/>
              <w:t> </w:t>
            </w:r>
          </w:p>
        </w:tc>
        <w:tc>
          <w:tcPr>
            <w:tcW w:w="1070" w:type="dxa"/>
            <w:gridSpan w:val="2"/>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070" w:type="dxa"/>
            <w:gridSpan w:val="2"/>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r>
      <w:tr>
        <w:trPr/>
        <w:tc>
          <w:tcPr>
            <w:tcW w:w="7115" w:type="dxa"/>
            <w:tcBorders/>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Net income (loss)</w:t>
            </w:r>
          </w:p>
        </w:tc>
        <w:tc>
          <w:tcPr>
            <w:tcW w:w="60" w:type="dxa"/>
            <w:tcBorders/>
            <w:vAlign w:val="bottom"/>
          </w:tcPr>
          <w:p>
            <w:pPr>
              <w:pStyle w:val="TableContents"/>
              <w:bidi w:val="0"/>
              <w:spacing w:before="0" w:after="283"/>
              <w:jc w:val="right"/>
              <w:rPr/>
            </w:pPr>
            <w:r>
              <w:rPr/>
              <w:t> </w:t>
            </w:r>
          </w:p>
        </w:tc>
        <w:tc>
          <w:tcPr>
            <w:tcW w:w="14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2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4,223</w:t>
            </w:r>
          </w:p>
        </w:tc>
        <w:tc>
          <w:tcPr>
            <w:tcW w:w="97"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right"/>
              <w:rPr/>
            </w:pPr>
            <w:r>
              <w:rPr/>
              <w:t> </w:t>
            </w:r>
          </w:p>
        </w:tc>
        <w:tc>
          <w:tcPr>
            <w:tcW w:w="14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2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(5,431</w:t>
            </w:r>
          </w:p>
        </w:tc>
        <w:tc>
          <w:tcPr>
            <w:tcW w:w="11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7115" w:type="dxa"/>
            <w:tcBorders/>
            <w:shd w:fill="CCEEFF" w:val="clear"/>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Adjustments to reconcile net income (loss) to net cash provided by operating activities:</w:t>
            </w:r>
          </w:p>
        </w:tc>
        <w:tc>
          <w:tcPr>
            <w:tcW w:w="60" w:type="dxa"/>
            <w:tcBorders/>
            <w:shd w:fill="CCEEFF" w:val="clear"/>
            <w:vAlign w:val="bottom"/>
          </w:tcPr>
          <w:p>
            <w:pPr>
              <w:pStyle w:val="TableContents"/>
              <w:bidi w:val="0"/>
              <w:spacing w:before="0" w:after="283"/>
              <w:jc w:val="right"/>
              <w:rPr/>
            </w:pPr>
            <w:r>
              <w:rPr/>
              <w:t> </w:t>
            </w:r>
          </w:p>
        </w:tc>
        <w:tc>
          <w:tcPr>
            <w:tcW w:w="143" w:type="dxa"/>
            <w:tcBorders/>
            <w:shd w:fill="CCEEFF" w:val="clear"/>
            <w:vAlign w:val="bottom"/>
          </w:tcPr>
          <w:p>
            <w:pPr>
              <w:pStyle w:val="TableContents"/>
              <w:bidi w:val="0"/>
              <w:spacing w:before="0" w:after="283"/>
              <w:jc w:val="left"/>
              <w:rPr/>
            </w:pPr>
            <w:r>
              <w:rPr/>
              <w:t> </w:t>
            </w:r>
          </w:p>
        </w:tc>
        <w:tc>
          <w:tcPr>
            <w:tcW w:w="927" w:type="dxa"/>
            <w:tcBorders/>
            <w:shd w:fill="CCEEFF" w:val="clear"/>
            <w:vAlign w:val="bottom"/>
          </w:tcPr>
          <w:p>
            <w:pPr>
              <w:pStyle w:val="TableContents"/>
              <w:bidi w:val="0"/>
              <w:spacing w:before="0" w:after="283"/>
              <w:jc w:val="right"/>
              <w:rPr/>
            </w:pPr>
            <w:r>
              <w:rPr/>
              <w:t> </w:t>
            </w:r>
          </w:p>
        </w:tc>
        <w:tc>
          <w:tcPr>
            <w:tcW w:w="97"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right"/>
              <w:rPr/>
            </w:pPr>
            <w:r>
              <w:rPr/>
              <w:t> </w:t>
            </w:r>
          </w:p>
        </w:tc>
        <w:tc>
          <w:tcPr>
            <w:tcW w:w="143" w:type="dxa"/>
            <w:tcBorders/>
            <w:shd w:fill="CCEEFF" w:val="clear"/>
            <w:vAlign w:val="bottom"/>
          </w:tcPr>
          <w:p>
            <w:pPr>
              <w:pStyle w:val="TableContents"/>
              <w:bidi w:val="0"/>
              <w:spacing w:before="0" w:after="283"/>
              <w:jc w:val="left"/>
              <w:rPr/>
            </w:pPr>
            <w:r>
              <w:rPr/>
              <w:t> </w:t>
            </w:r>
          </w:p>
        </w:tc>
        <w:tc>
          <w:tcPr>
            <w:tcW w:w="927"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r>
      <w:tr>
        <w:trPr/>
        <w:tc>
          <w:tcPr>
            <w:tcW w:w="7115" w:type="dxa"/>
            <w:tcBorders/>
            <w:vAlign w:val="bottom"/>
          </w:tcPr>
          <w:p>
            <w:pPr>
              <w:pStyle w:val="TableContents"/>
              <w:bidi w:val="0"/>
              <w:spacing w:before="0" w:after="0"/>
              <w:ind w:left="504" w:right="0" w:hanging="144"/>
              <w:jc w:val="left"/>
              <w:rPr>
                <w:rFonts w:ascii="Times New Roman" w:hAnsi="Times New Roman"/>
                <w:sz w:val="20"/>
              </w:rPr>
            </w:pPr>
            <w:r>
              <w:rPr>
                <w:rFonts w:ascii="Times New Roman" w:hAnsi="Times New Roman"/>
                <w:sz w:val="20"/>
              </w:rPr>
              <w:t>Realized loss on RMBS, net</w:t>
            </w:r>
          </w:p>
        </w:tc>
        <w:tc>
          <w:tcPr>
            <w:tcW w:w="60" w:type="dxa"/>
            <w:tcBorders/>
            <w:vAlign w:val="bottom"/>
          </w:tcPr>
          <w:p>
            <w:pPr>
              <w:pStyle w:val="TableContents"/>
              <w:bidi w:val="0"/>
              <w:spacing w:before="0" w:after="283"/>
              <w:jc w:val="right"/>
              <w:rPr/>
            </w:pPr>
            <w:r>
              <w:rPr/>
              <w:t> </w:t>
            </w:r>
          </w:p>
        </w:tc>
        <w:tc>
          <w:tcPr>
            <w:tcW w:w="143" w:type="dxa"/>
            <w:tcBorders/>
            <w:vAlign w:val="bottom"/>
          </w:tcPr>
          <w:p>
            <w:pPr>
              <w:pStyle w:val="TableContents"/>
              <w:bidi w:val="0"/>
              <w:spacing w:before="0" w:after="283"/>
              <w:jc w:val="left"/>
              <w:rPr/>
            </w:pPr>
            <w:r>
              <w:rPr/>
              <w:t> </w:t>
            </w:r>
          </w:p>
        </w:tc>
        <w:tc>
          <w:tcPr>
            <w:tcW w:w="92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1,047</w:t>
            </w:r>
          </w:p>
        </w:tc>
        <w:tc>
          <w:tcPr>
            <w:tcW w:w="97"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right"/>
              <w:rPr/>
            </w:pPr>
            <w:r>
              <w:rPr/>
              <w:t> </w:t>
            </w:r>
          </w:p>
        </w:tc>
        <w:tc>
          <w:tcPr>
            <w:tcW w:w="143" w:type="dxa"/>
            <w:tcBorders/>
            <w:vAlign w:val="bottom"/>
          </w:tcPr>
          <w:p>
            <w:pPr>
              <w:pStyle w:val="TableContents"/>
              <w:bidi w:val="0"/>
              <w:spacing w:before="0" w:after="283"/>
              <w:jc w:val="left"/>
              <w:rPr/>
            </w:pPr>
            <w:r>
              <w:rPr/>
              <w:t> </w:t>
            </w:r>
          </w:p>
        </w:tc>
        <w:tc>
          <w:tcPr>
            <w:tcW w:w="92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6,045</w:t>
            </w:r>
          </w:p>
        </w:tc>
        <w:tc>
          <w:tcPr>
            <w:tcW w:w="110" w:type="dxa"/>
            <w:tcBorders/>
            <w:vAlign w:val="bottom"/>
          </w:tcPr>
          <w:p>
            <w:pPr>
              <w:pStyle w:val="TableContents"/>
              <w:bidi w:val="0"/>
              <w:spacing w:before="0" w:after="283"/>
              <w:jc w:val="left"/>
              <w:rPr/>
            </w:pPr>
            <w:r>
              <w:rPr/>
              <w:t> </w:t>
            </w:r>
          </w:p>
        </w:tc>
      </w:tr>
      <w:tr>
        <w:trPr/>
        <w:tc>
          <w:tcPr>
            <w:tcW w:w="7115" w:type="dxa"/>
            <w:tcBorders/>
            <w:shd w:fill="CCEEFF" w:val="clear"/>
            <w:vAlign w:val="bottom"/>
          </w:tcPr>
          <w:p>
            <w:pPr>
              <w:pStyle w:val="TableContents"/>
              <w:bidi w:val="0"/>
              <w:spacing w:before="0" w:after="0"/>
              <w:ind w:left="504" w:right="0" w:hanging="144"/>
              <w:jc w:val="left"/>
              <w:rPr>
                <w:rFonts w:ascii="Times New Roman" w:hAnsi="Times New Roman"/>
                <w:sz w:val="20"/>
              </w:rPr>
            </w:pPr>
            <w:r>
              <w:rPr>
                <w:rFonts w:ascii="Times New Roman" w:hAnsi="Times New Roman"/>
                <w:sz w:val="20"/>
              </w:rPr>
              <w:t>Unrealized loss on investments in Servicing Related Assets</w:t>
            </w:r>
          </w:p>
        </w:tc>
        <w:tc>
          <w:tcPr>
            <w:tcW w:w="60" w:type="dxa"/>
            <w:tcBorders/>
            <w:shd w:fill="CCEEFF" w:val="clear"/>
            <w:vAlign w:val="bottom"/>
          </w:tcPr>
          <w:p>
            <w:pPr>
              <w:pStyle w:val="TableContents"/>
              <w:bidi w:val="0"/>
              <w:spacing w:before="0" w:after="283"/>
              <w:jc w:val="right"/>
              <w:rPr/>
            </w:pPr>
            <w:r>
              <w:rPr/>
              <w:t> </w:t>
            </w:r>
          </w:p>
        </w:tc>
        <w:tc>
          <w:tcPr>
            <w:tcW w:w="143" w:type="dxa"/>
            <w:tcBorders/>
            <w:shd w:fill="CCEEFF" w:val="clear"/>
            <w:vAlign w:val="bottom"/>
          </w:tcPr>
          <w:p>
            <w:pPr>
              <w:pStyle w:val="TableContents"/>
              <w:bidi w:val="0"/>
              <w:spacing w:before="0" w:after="283"/>
              <w:jc w:val="left"/>
              <w:rPr/>
            </w:pPr>
            <w:r>
              <w:rPr/>
              <w:t> </w:t>
            </w:r>
          </w:p>
        </w:tc>
        <w:tc>
          <w:tcPr>
            <w:tcW w:w="92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3,712</w:t>
            </w:r>
          </w:p>
        </w:tc>
        <w:tc>
          <w:tcPr>
            <w:tcW w:w="97"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right"/>
              <w:rPr/>
            </w:pPr>
            <w:r>
              <w:rPr/>
              <w:t> </w:t>
            </w:r>
          </w:p>
        </w:tc>
        <w:tc>
          <w:tcPr>
            <w:tcW w:w="143" w:type="dxa"/>
            <w:tcBorders/>
            <w:shd w:fill="CCEEFF" w:val="clear"/>
            <w:vAlign w:val="bottom"/>
          </w:tcPr>
          <w:p>
            <w:pPr>
              <w:pStyle w:val="TableContents"/>
              <w:bidi w:val="0"/>
              <w:spacing w:before="0" w:after="283"/>
              <w:jc w:val="left"/>
              <w:rPr/>
            </w:pPr>
            <w:r>
              <w:rPr/>
              <w:t> </w:t>
            </w:r>
          </w:p>
        </w:tc>
        <w:tc>
          <w:tcPr>
            <w:tcW w:w="92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9,056</w:t>
            </w:r>
          </w:p>
        </w:tc>
        <w:tc>
          <w:tcPr>
            <w:tcW w:w="110" w:type="dxa"/>
            <w:tcBorders/>
            <w:shd w:fill="CCEEFF" w:val="clear"/>
            <w:vAlign w:val="bottom"/>
          </w:tcPr>
          <w:p>
            <w:pPr>
              <w:pStyle w:val="TableContents"/>
              <w:bidi w:val="0"/>
              <w:spacing w:before="0" w:after="283"/>
              <w:jc w:val="left"/>
              <w:rPr/>
            </w:pPr>
            <w:r>
              <w:rPr/>
              <w:t> </w:t>
            </w:r>
          </w:p>
        </w:tc>
      </w:tr>
      <w:tr>
        <w:trPr/>
        <w:tc>
          <w:tcPr>
            <w:tcW w:w="7115" w:type="dxa"/>
            <w:tcBorders/>
            <w:vAlign w:val="bottom"/>
          </w:tcPr>
          <w:p>
            <w:pPr>
              <w:pStyle w:val="TableContents"/>
              <w:bidi w:val="0"/>
              <w:spacing w:before="0" w:after="0"/>
              <w:ind w:left="0" w:right="0" w:firstLine="360"/>
              <w:jc w:val="left"/>
              <w:rPr>
                <w:rFonts w:ascii="Times New Roman" w:hAnsi="Times New Roman"/>
                <w:sz w:val="20"/>
              </w:rPr>
            </w:pPr>
            <w:r>
              <w:rPr>
                <w:rFonts w:ascii="Times New Roman" w:hAnsi="Times New Roman"/>
                <w:sz w:val="20"/>
              </w:rPr>
              <w:t>Realized loss on acquired assets, net</w:t>
            </w:r>
          </w:p>
        </w:tc>
        <w:tc>
          <w:tcPr>
            <w:tcW w:w="60" w:type="dxa"/>
            <w:tcBorders/>
            <w:vAlign w:val="bottom"/>
          </w:tcPr>
          <w:p>
            <w:pPr>
              <w:pStyle w:val="TableContents"/>
              <w:bidi w:val="0"/>
              <w:spacing w:before="0" w:after="283"/>
              <w:jc w:val="right"/>
              <w:rPr/>
            </w:pPr>
            <w:r>
              <w:rPr/>
              <w:t> </w:t>
            </w:r>
          </w:p>
        </w:tc>
        <w:tc>
          <w:tcPr>
            <w:tcW w:w="143" w:type="dxa"/>
            <w:tcBorders/>
            <w:vAlign w:val="bottom"/>
          </w:tcPr>
          <w:p>
            <w:pPr>
              <w:pStyle w:val="TableContents"/>
              <w:bidi w:val="0"/>
              <w:spacing w:before="0" w:after="283"/>
              <w:jc w:val="left"/>
              <w:rPr/>
            </w:pPr>
            <w:r>
              <w:rPr/>
              <w:t> </w:t>
            </w:r>
          </w:p>
        </w:tc>
        <w:tc>
          <w:tcPr>
            <w:tcW w:w="927" w:type="dxa"/>
            <w:tcBorders/>
            <w:vAlign w:val="bottom"/>
          </w:tcPr>
          <w:p>
            <w:pPr>
              <w:pStyle w:val="TableContents"/>
              <w:bidi w:val="0"/>
              <w:spacing w:before="0" w:after="283"/>
              <w:jc w:val="right"/>
              <w:rPr/>
            </w:pPr>
            <w:r>
              <w:rPr/>
              <w:t>(2</w:t>
            </w:r>
          </w:p>
        </w:tc>
        <w:tc>
          <w:tcPr>
            <w:tcW w:w="97" w:type="dxa"/>
            <w:tcBorders/>
            <w:vAlign w:val="bottom"/>
          </w:tcPr>
          <w:p>
            <w:pPr>
              <w:pStyle w:val="TableContents"/>
              <w:bidi w:val="0"/>
              <w:spacing w:before="0" w:after="283"/>
              <w:jc w:val="left"/>
              <w:rPr/>
            </w:pPr>
            <w:r>
              <w:rPr/>
              <w:t>)</w:t>
            </w:r>
          </w:p>
        </w:tc>
        <w:tc>
          <w:tcPr>
            <w:tcW w:w="61" w:type="dxa"/>
            <w:tcBorders/>
            <w:vAlign w:val="bottom"/>
          </w:tcPr>
          <w:p>
            <w:pPr>
              <w:pStyle w:val="TableContents"/>
              <w:bidi w:val="0"/>
              <w:spacing w:before="0" w:after="283"/>
              <w:jc w:val="right"/>
              <w:rPr/>
            </w:pPr>
            <w:r>
              <w:rPr/>
              <w:t> </w:t>
            </w:r>
          </w:p>
        </w:tc>
        <w:tc>
          <w:tcPr>
            <w:tcW w:w="143" w:type="dxa"/>
            <w:tcBorders/>
            <w:vAlign w:val="bottom"/>
          </w:tcPr>
          <w:p>
            <w:pPr>
              <w:pStyle w:val="TableContents"/>
              <w:bidi w:val="0"/>
              <w:spacing w:before="0" w:after="283"/>
              <w:jc w:val="left"/>
              <w:rPr/>
            </w:pPr>
            <w:r>
              <w:rPr/>
              <w:t> </w:t>
            </w:r>
          </w:p>
        </w:tc>
        <w:tc>
          <w:tcPr>
            <w:tcW w:w="927" w:type="dxa"/>
            <w:tcBorders/>
            <w:vAlign w:val="bottom"/>
          </w:tcPr>
          <w:p>
            <w:pPr>
              <w:pStyle w:val="TableContents"/>
              <w:bidi w:val="0"/>
              <w:spacing w:before="0" w:after="283"/>
              <w:jc w:val="right"/>
              <w:rPr/>
            </w:pPr>
            <w:r>
              <w:rPr/>
              <w:t>-</w:t>
            </w:r>
          </w:p>
        </w:tc>
        <w:tc>
          <w:tcPr>
            <w:tcW w:w="110" w:type="dxa"/>
            <w:tcBorders/>
            <w:vAlign w:val="bottom"/>
          </w:tcPr>
          <w:p>
            <w:pPr>
              <w:pStyle w:val="TableContents"/>
              <w:bidi w:val="0"/>
              <w:spacing w:before="0" w:after="283"/>
              <w:jc w:val="left"/>
              <w:rPr/>
            </w:pPr>
            <w:r>
              <w:rPr/>
              <w:t> </w:t>
            </w:r>
          </w:p>
        </w:tc>
      </w:tr>
      <w:tr>
        <w:trPr/>
        <w:tc>
          <w:tcPr>
            <w:tcW w:w="7115" w:type="dxa"/>
            <w:tcBorders/>
            <w:shd w:fill="CCEEFF" w:val="clear"/>
            <w:vAlign w:val="bottom"/>
          </w:tcPr>
          <w:p>
            <w:pPr>
              <w:pStyle w:val="TableContents"/>
              <w:bidi w:val="0"/>
              <w:spacing w:before="0" w:after="0"/>
              <w:ind w:left="504" w:right="0" w:hanging="144"/>
              <w:jc w:val="left"/>
              <w:rPr>
                <w:rFonts w:ascii="Times New Roman" w:hAnsi="Times New Roman"/>
                <w:color w:val="000000"/>
                <w:sz w:val="20"/>
              </w:rPr>
            </w:pPr>
            <w:r>
              <w:rPr>
                <w:rFonts w:ascii="Times New Roman" w:hAnsi="Times New Roman"/>
                <w:color w:val="000000"/>
                <w:sz w:val="20"/>
              </w:rPr>
              <w:t>Realized gain on derivatives, net</w:t>
            </w:r>
          </w:p>
        </w:tc>
        <w:tc>
          <w:tcPr>
            <w:tcW w:w="60" w:type="dxa"/>
            <w:tcBorders/>
            <w:shd w:fill="CCEEFF" w:val="clear"/>
            <w:vAlign w:val="bottom"/>
          </w:tcPr>
          <w:p>
            <w:pPr>
              <w:pStyle w:val="TableContents"/>
              <w:bidi w:val="0"/>
              <w:spacing w:before="0" w:after="283"/>
              <w:jc w:val="right"/>
              <w:rPr/>
            </w:pPr>
            <w:r>
              <w:rPr/>
              <w:t> </w:t>
            </w:r>
          </w:p>
        </w:tc>
        <w:tc>
          <w:tcPr>
            <w:tcW w:w="143" w:type="dxa"/>
            <w:tcBorders/>
            <w:shd w:fill="CCEEFF" w:val="clear"/>
            <w:vAlign w:val="bottom"/>
          </w:tcPr>
          <w:p>
            <w:pPr>
              <w:pStyle w:val="TableContents"/>
              <w:bidi w:val="0"/>
              <w:spacing w:before="0" w:after="283"/>
              <w:jc w:val="left"/>
              <w:rPr/>
            </w:pPr>
            <w:r>
              <w:rPr/>
              <w:t> </w:t>
            </w:r>
          </w:p>
        </w:tc>
        <w:tc>
          <w:tcPr>
            <w:tcW w:w="92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(12,069</w:t>
            </w:r>
          </w:p>
        </w:tc>
        <w:tc>
          <w:tcPr>
            <w:tcW w:w="9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1" w:type="dxa"/>
            <w:tcBorders/>
            <w:shd w:fill="CCEEFF" w:val="clear"/>
            <w:vAlign w:val="bottom"/>
          </w:tcPr>
          <w:p>
            <w:pPr>
              <w:pStyle w:val="TableContents"/>
              <w:bidi w:val="0"/>
              <w:spacing w:before="0" w:after="283"/>
              <w:jc w:val="right"/>
              <w:rPr/>
            </w:pPr>
            <w:r>
              <w:rPr/>
              <w:t> </w:t>
            </w:r>
          </w:p>
        </w:tc>
        <w:tc>
          <w:tcPr>
            <w:tcW w:w="143" w:type="dxa"/>
            <w:tcBorders/>
            <w:shd w:fill="CCEEFF" w:val="clear"/>
            <w:vAlign w:val="bottom"/>
          </w:tcPr>
          <w:p>
            <w:pPr>
              <w:pStyle w:val="TableContents"/>
              <w:bidi w:val="0"/>
              <w:spacing w:before="0" w:after="283"/>
              <w:jc w:val="left"/>
              <w:rPr/>
            </w:pPr>
            <w:r>
              <w:rPr/>
              <w:t> </w:t>
            </w:r>
          </w:p>
        </w:tc>
        <w:tc>
          <w:tcPr>
            <w:tcW w:w="92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(19,472</w:t>
            </w:r>
          </w:p>
        </w:tc>
        <w:tc>
          <w:tcPr>
            <w:tcW w:w="11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7115" w:type="dxa"/>
            <w:tcBorders/>
            <w:vAlign w:val="bottom"/>
          </w:tcPr>
          <w:p>
            <w:pPr>
              <w:pStyle w:val="TableContents"/>
              <w:bidi w:val="0"/>
              <w:spacing w:before="0" w:after="0"/>
              <w:ind w:left="360" w:right="0" w:hanging="0"/>
              <w:jc w:val="left"/>
              <w:rPr>
                <w:rFonts w:ascii="Times New Roman" w:hAnsi="Times New Roman"/>
                <w:color w:val="000000"/>
                <w:sz w:val="20"/>
              </w:rPr>
            </w:pPr>
            <w:r>
              <w:rPr>
                <w:rFonts w:ascii="Times New Roman" w:hAnsi="Times New Roman"/>
                <w:color w:val="000000"/>
                <w:sz w:val="20"/>
              </w:rPr>
              <w:t>Unrealized (gain) loss on RMBS, measured at fair value through earnings, net</w:t>
            </w:r>
          </w:p>
        </w:tc>
        <w:tc>
          <w:tcPr>
            <w:tcW w:w="60" w:type="dxa"/>
            <w:tcBorders/>
            <w:vAlign w:val="bottom"/>
          </w:tcPr>
          <w:p>
            <w:pPr>
              <w:pStyle w:val="TableContents"/>
              <w:bidi w:val="0"/>
              <w:spacing w:before="0" w:after="283"/>
              <w:jc w:val="right"/>
              <w:rPr/>
            </w:pPr>
            <w:r>
              <w:rPr/>
              <w:t> </w:t>
            </w:r>
          </w:p>
        </w:tc>
        <w:tc>
          <w:tcPr>
            <w:tcW w:w="143" w:type="dxa"/>
            <w:tcBorders/>
            <w:vAlign w:val="bottom"/>
          </w:tcPr>
          <w:p>
            <w:pPr>
              <w:pStyle w:val="TableContents"/>
              <w:bidi w:val="0"/>
              <w:spacing w:before="0" w:after="283"/>
              <w:jc w:val="left"/>
              <w:rPr/>
            </w:pPr>
            <w:r>
              <w:rPr/>
              <w:t> </w:t>
            </w:r>
          </w:p>
        </w:tc>
        <w:tc>
          <w:tcPr>
            <w:tcW w:w="927" w:type="dxa"/>
            <w:tcBorders/>
            <w:vAlign w:val="bottom"/>
          </w:tcPr>
          <w:p>
            <w:pPr>
              <w:pStyle w:val="TableContents"/>
              <w:bidi w:val="0"/>
              <w:spacing w:before="0" w:after="283"/>
              <w:jc w:val="right"/>
              <w:rPr/>
            </w:pPr>
            <w:r>
              <w:rPr/>
              <w:t>13,296</w:t>
            </w:r>
          </w:p>
        </w:tc>
        <w:tc>
          <w:tcPr>
            <w:tcW w:w="97"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right"/>
              <w:rPr/>
            </w:pPr>
            <w:r>
              <w:rPr/>
              <w:t> </w:t>
            </w:r>
          </w:p>
        </w:tc>
        <w:tc>
          <w:tcPr>
            <w:tcW w:w="143" w:type="dxa"/>
            <w:tcBorders/>
            <w:vAlign w:val="bottom"/>
          </w:tcPr>
          <w:p>
            <w:pPr>
              <w:pStyle w:val="TableContents"/>
              <w:bidi w:val="0"/>
              <w:spacing w:before="0" w:after="283"/>
              <w:jc w:val="left"/>
              <w:rPr/>
            </w:pPr>
            <w:r>
              <w:rPr/>
              <w:t> </w:t>
            </w:r>
          </w:p>
        </w:tc>
        <w:tc>
          <w:tcPr>
            <w:tcW w:w="927" w:type="dxa"/>
            <w:tcBorders/>
            <w:vAlign w:val="bottom"/>
          </w:tcPr>
          <w:p>
            <w:pPr>
              <w:pStyle w:val="TableContents"/>
              <w:bidi w:val="0"/>
              <w:spacing w:before="0" w:after="283"/>
              <w:jc w:val="right"/>
              <w:rPr/>
            </w:pPr>
            <w:r>
              <w:rPr/>
              <w:t>(18,288</w:t>
            </w:r>
          </w:p>
        </w:tc>
        <w:tc>
          <w:tcPr>
            <w:tcW w:w="110" w:type="dxa"/>
            <w:tcBorders/>
            <w:vAlign w:val="bottom"/>
          </w:tcPr>
          <w:p>
            <w:pPr>
              <w:pStyle w:val="TableContents"/>
              <w:bidi w:val="0"/>
              <w:spacing w:before="0" w:after="283"/>
              <w:jc w:val="left"/>
              <w:rPr/>
            </w:pPr>
            <w:r>
              <w:rPr/>
              <w:t>)</w:t>
            </w:r>
          </w:p>
        </w:tc>
      </w:tr>
      <w:tr>
        <w:trPr/>
        <w:tc>
          <w:tcPr>
            <w:tcW w:w="7115" w:type="dxa"/>
            <w:tcBorders/>
            <w:shd w:fill="CCEEFF" w:val="clear"/>
            <w:vAlign w:val="bottom"/>
          </w:tcPr>
          <w:p>
            <w:pPr>
              <w:pStyle w:val="TableContents"/>
              <w:bidi w:val="0"/>
              <w:spacing w:before="0" w:after="0"/>
              <w:ind w:left="504" w:right="0" w:hanging="144"/>
              <w:jc w:val="left"/>
              <w:rPr>
                <w:rFonts w:ascii="Times New Roman" w:hAnsi="Times New Roman"/>
                <w:color w:val="000000"/>
                <w:sz w:val="20"/>
              </w:rPr>
            </w:pPr>
            <w:r>
              <w:rPr>
                <w:rFonts w:ascii="Times New Roman" w:hAnsi="Times New Roman"/>
                <w:color w:val="000000"/>
                <w:sz w:val="20"/>
              </w:rPr>
              <w:t>Unrealized loss on derivatives, net</w:t>
            </w:r>
          </w:p>
        </w:tc>
        <w:tc>
          <w:tcPr>
            <w:tcW w:w="60" w:type="dxa"/>
            <w:tcBorders/>
            <w:shd w:fill="CCEEFF" w:val="clear"/>
            <w:vAlign w:val="bottom"/>
          </w:tcPr>
          <w:p>
            <w:pPr>
              <w:pStyle w:val="TableContents"/>
              <w:bidi w:val="0"/>
              <w:spacing w:before="0" w:after="283"/>
              <w:jc w:val="right"/>
              <w:rPr/>
            </w:pPr>
            <w:r>
              <w:rPr/>
              <w:t> </w:t>
            </w:r>
          </w:p>
        </w:tc>
        <w:tc>
          <w:tcPr>
            <w:tcW w:w="143" w:type="dxa"/>
            <w:tcBorders/>
            <w:shd w:fill="CCEEFF" w:val="clear"/>
            <w:vAlign w:val="bottom"/>
          </w:tcPr>
          <w:p>
            <w:pPr>
              <w:pStyle w:val="TableContents"/>
              <w:bidi w:val="0"/>
              <w:spacing w:before="0" w:after="283"/>
              <w:jc w:val="left"/>
              <w:rPr/>
            </w:pPr>
            <w:r>
              <w:rPr/>
              <w:t> </w:t>
            </w:r>
          </w:p>
        </w:tc>
        <w:tc>
          <w:tcPr>
            <w:tcW w:w="92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3,178</w:t>
            </w:r>
          </w:p>
        </w:tc>
        <w:tc>
          <w:tcPr>
            <w:tcW w:w="97"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right"/>
              <w:rPr/>
            </w:pPr>
            <w:r>
              <w:rPr/>
              <w:t> </w:t>
            </w:r>
          </w:p>
        </w:tc>
        <w:tc>
          <w:tcPr>
            <w:tcW w:w="143" w:type="dxa"/>
            <w:tcBorders/>
            <w:shd w:fill="CCEEFF" w:val="clear"/>
            <w:vAlign w:val="bottom"/>
          </w:tcPr>
          <w:p>
            <w:pPr>
              <w:pStyle w:val="TableContents"/>
              <w:bidi w:val="0"/>
              <w:spacing w:before="0" w:after="283"/>
              <w:jc w:val="left"/>
              <w:rPr/>
            </w:pPr>
            <w:r>
              <w:rPr/>
              <w:t> </w:t>
            </w:r>
          </w:p>
        </w:tc>
        <w:tc>
          <w:tcPr>
            <w:tcW w:w="92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41,888</w:t>
            </w:r>
          </w:p>
        </w:tc>
        <w:tc>
          <w:tcPr>
            <w:tcW w:w="110" w:type="dxa"/>
            <w:tcBorders/>
            <w:shd w:fill="CCEEFF" w:val="clear"/>
            <w:vAlign w:val="bottom"/>
          </w:tcPr>
          <w:p>
            <w:pPr>
              <w:pStyle w:val="TableContents"/>
              <w:bidi w:val="0"/>
              <w:spacing w:before="0" w:after="283"/>
              <w:jc w:val="left"/>
              <w:rPr/>
            </w:pPr>
            <w:r>
              <w:rPr/>
              <w:t> </w:t>
            </w:r>
          </w:p>
        </w:tc>
      </w:tr>
      <w:tr>
        <w:trPr/>
        <w:tc>
          <w:tcPr>
            <w:tcW w:w="7115" w:type="dxa"/>
            <w:tcBorders/>
            <w:vAlign w:val="bottom"/>
          </w:tcPr>
          <w:p>
            <w:pPr>
              <w:pStyle w:val="TableContents"/>
              <w:bidi w:val="0"/>
              <w:spacing w:before="0" w:after="0"/>
              <w:ind w:left="504" w:right="0" w:hanging="144"/>
              <w:jc w:val="left"/>
              <w:rPr/>
            </w:pPr>
            <w:r>
              <w:rPr/>
              <w:t xml:space="preserve">Credit loss and impairment on other assets </w:t>
            </w:r>
          </w:p>
        </w:tc>
        <w:tc>
          <w:tcPr>
            <w:tcW w:w="60" w:type="dxa"/>
            <w:tcBorders/>
            <w:vAlign w:val="bottom"/>
          </w:tcPr>
          <w:p>
            <w:pPr>
              <w:pStyle w:val="TableContents"/>
              <w:bidi w:val="0"/>
              <w:spacing w:before="0" w:after="283"/>
              <w:jc w:val="right"/>
              <w:rPr/>
            </w:pPr>
            <w:r>
              <w:rPr/>
              <w:t> </w:t>
            </w:r>
          </w:p>
        </w:tc>
        <w:tc>
          <w:tcPr>
            <w:tcW w:w="143" w:type="dxa"/>
            <w:tcBorders/>
            <w:vAlign w:val="bottom"/>
          </w:tcPr>
          <w:p>
            <w:pPr>
              <w:pStyle w:val="TableContents"/>
              <w:bidi w:val="0"/>
              <w:spacing w:before="0" w:after="283"/>
              <w:jc w:val="left"/>
              <w:rPr/>
            </w:pPr>
            <w:r>
              <w:rPr/>
              <w:t> </w:t>
            </w:r>
          </w:p>
        </w:tc>
        <w:tc>
          <w:tcPr>
            <w:tcW w:w="927" w:type="dxa"/>
            <w:tcBorders/>
            <w:vAlign w:val="bottom"/>
          </w:tcPr>
          <w:p>
            <w:pPr>
              <w:pStyle w:val="TableContents"/>
              <w:bidi w:val="0"/>
              <w:spacing w:before="0" w:after="283"/>
              <w:jc w:val="right"/>
              <w:rPr/>
            </w:pPr>
            <w:r>
              <w:rPr/>
              <w:t>2,815</w:t>
            </w:r>
          </w:p>
        </w:tc>
        <w:tc>
          <w:tcPr>
            <w:tcW w:w="97"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right"/>
              <w:rPr/>
            </w:pPr>
            <w:r>
              <w:rPr/>
              <w:t> </w:t>
            </w:r>
          </w:p>
        </w:tc>
        <w:tc>
          <w:tcPr>
            <w:tcW w:w="143" w:type="dxa"/>
            <w:tcBorders/>
            <w:vAlign w:val="bottom"/>
          </w:tcPr>
          <w:p>
            <w:pPr>
              <w:pStyle w:val="TableContents"/>
              <w:bidi w:val="0"/>
              <w:spacing w:before="0" w:after="283"/>
              <w:jc w:val="left"/>
              <w:rPr/>
            </w:pPr>
            <w:r>
              <w:rPr/>
              <w:t> </w:t>
            </w:r>
          </w:p>
        </w:tc>
        <w:tc>
          <w:tcPr>
            <w:tcW w:w="927" w:type="dxa"/>
            <w:tcBorders/>
            <w:vAlign w:val="bottom"/>
          </w:tcPr>
          <w:p>
            <w:pPr>
              <w:pStyle w:val="TableContents"/>
              <w:bidi w:val="0"/>
              <w:spacing w:before="0" w:after="283"/>
              <w:jc w:val="right"/>
              <w:rPr/>
            </w:pPr>
            <w:r>
              <w:rPr/>
              <w:t>-</w:t>
            </w:r>
          </w:p>
        </w:tc>
        <w:tc>
          <w:tcPr>
            <w:tcW w:w="110" w:type="dxa"/>
            <w:tcBorders/>
            <w:vAlign w:val="bottom"/>
          </w:tcPr>
          <w:p>
            <w:pPr>
              <w:pStyle w:val="TableContents"/>
              <w:bidi w:val="0"/>
              <w:spacing w:before="0" w:after="283"/>
              <w:jc w:val="left"/>
              <w:rPr/>
            </w:pPr>
            <w:r>
              <w:rPr/>
              <w:t> </w:t>
            </w:r>
          </w:p>
        </w:tc>
      </w:tr>
      <w:tr>
        <w:trPr/>
        <w:tc>
          <w:tcPr>
            <w:tcW w:w="7115" w:type="dxa"/>
            <w:tcBorders/>
            <w:shd w:fill="CCEEFF" w:val="clear"/>
            <w:vAlign w:val="bottom"/>
          </w:tcPr>
          <w:p>
            <w:pPr>
              <w:pStyle w:val="TableContents"/>
              <w:bidi w:val="0"/>
              <w:spacing w:before="0" w:after="0"/>
              <w:ind w:left="504" w:right="0" w:hanging="144"/>
              <w:jc w:val="left"/>
              <w:rPr>
                <w:rFonts w:ascii="Times New Roman" w:hAnsi="Times New Roman"/>
                <w:sz w:val="20"/>
              </w:rPr>
            </w:pPr>
            <w:r>
              <w:rPr>
                <w:rFonts w:ascii="Times New Roman" w:hAnsi="Times New Roman"/>
                <w:sz w:val="20"/>
              </w:rPr>
              <w:t>Accretion of premiums on RMBS</w:t>
            </w:r>
          </w:p>
        </w:tc>
        <w:tc>
          <w:tcPr>
            <w:tcW w:w="60" w:type="dxa"/>
            <w:tcBorders/>
            <w:shd w:fill="CCEEFF" w:val="clear"/>
            <w:vAlign w:val="bottom"/>
          </w:tcPr>
          <w:p>
            <w:pPr>
              <w:pStyle w:val="TableContents"/>
              <w:bidi w:val="0"/>
              <w:spacing w:before="0" w:after="283"/>
              <w:jc w:val="right"/>
              <w:rPr/>
            </w:pPr>
            <w:r>
              <w:rPr/>
              <w:t> </w:t>
            </w:r>
          </w:p>
        </w:tc>
        <w:tc>
          <w:tcPr>
            <w:tcW w:w="143" w:type="dxa"/>
            <w:tcBorders/>
            <w:shd w:fill="CCEEFF" w:val="clear"/>
            <w:vAlign w:val="bottom"/>
          </w:tcPr>
          <w:p>
            <w:pPr>
              <w:pStyle w:val="TableContents"/>
              <w:bidi w:val="0"/>
              <w:spacing w:before="0" w:after="283"/>
              <w:jc w:val="left"/>
              <w:rPr/>
            </w:pPr>
            <w:r>
              <w:rPr/>
              <w:t> </w:t>
            </w:r>
          </w:p>
        </w:tc>
        <w:tc>
          <w:tcPr>
            <w:tcW w:w="92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(1,676</w:t>
            </w:r>
          </w:p>
        </w:tc>
        <w:tc>
          <w:tcPr>
            <w:tcW w:w="9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1" w:type="dxa"/>
            <w:tcBorders/>
            <w:shd w:fill="CCEEFF" w:val="clear"/>
            <w:vAlign w:val="bottom"/>
          </w:tcPr>
          <w:p>
            <w:pPr>
              <w:pStyle w:val="TableContents"/>
              <w:bidi w:val="0"/>
              <w:spacing w:before="0" w:after="283"/>
              <w:jc w:val="right"/>
              <w:rPr/>
            </w:pPr>
            <w:r>
              <w:rPr/>
              <w:t> </w:t>
            </w:r>
          </w:p>
        </w:tc>
        <w:tc>
          <w:tcPr>
            <w:tcW w:w="143" w:type="dxa"/>
            <w:tcBorders/>
            <w:shd w:fill="CCEEFF" w:val="clear"/>
            <w:vAlign w:val="bottom"/>
          </w:tcPr>
          <w:p>
            <w:pPr>
              <w:pStyle w:val="TableContents"/>
              <w:bidi w:val="0"/>
              <w:spacing w:before="0" w:after="283"/>
              <w:jc w:val="left"/>
              <w:rPr/>
            </w:pPr>
            <w:r>
              <w:rPr/>
              <w:t> </w:t>
            </w:r>
          </w:p>
        </w:tc>
        <w:tc>
          <w:tcPr>
            <w:tcW w:w="92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(1,576</w:t>
            </w:r>
          </w:p>
        </w:tc>
        <w:tc>
          <w:tcPr>
            <w:tcW w:w="11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7115" w:type="dxa"/>
            <w:tcBorders/>
            <w:vAlign w:val="bottom"/>
          </w:tcPr>
          <w:p>
            <w:pPr>
              <w:pStyle w:val="TableContents"/>
              <w:bidi w:val="0"/>
              <w:spacing w:before="0" w:after="0"/>
              <w:ind w:left="504" w:right="0" w:hanging="144"/>
              <w:jc w:val="left"/>
              <w:rPr>
                <w:rFonts w:ascii="Times New Roman" w:hAnsi="Times New Roman"/>
                <w:sz w:val="20"/>
              </w:rPr>
            </w:pPr>
            <w:r>
              <w:rPr>
                <w:rFonts w:ascii="Times New Roman" w:hAnsi="Times New Roman"/>
                <w:sz w:val="20"/>
              </w:rPr>
              <w:t>Amortization of deferred financing costs</w:t>
            </w:r>
          </w:p>
        </w:tc>
        <w:tc>
          <w:tcPr>
            <w:tcW w:w="60" w:type="dxa"/>
            <w:tcBorders/>
            <w:vAlign w:val="bottom"/>
          </w:tcPr>
          <w:p>
            <w:pPr>
              <w:pStyle w:val="TableContents"/>
              <w:bidi w:val="0"/>
              <w:spacing w:before="0" w:after="283"/>
              <w:jc w:val="right"/>
              <w:rPr/>
            </w:pPr>
            <w:r>
              <w:rPr/>
              <w:t> </w:t>
            </w:r>
          </w:p>
        </w:tc>
        <w:tc>
          <w:tcPr>
            <w:tcW w:w="143" w:type="dxa"/>
            <w:tcBorders/>
            <w:vAlign w:val="bottom"/>
          </w:tcPr>
          <w:p>
            <w:pPr>
              <w:pStyle w:val="TableContents"/>
              <w:bidi w:val="0"/>
              <w:spacing w:before="0" w:after="283"/>
              <w:jc w:val="left"/>
              <w:rPr/>
            </w:pPr>
            <w:r>
              <w:rPr/>
              <w:t> </w:t>
            </w:r>
          </w:p>
        </w:tc>
        <w:tc>
          <w:tcPr>
            <w:tcW w:w="92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207</w:t>
            </w:r>
          </w:p>
        </w:tc>
        <w:tc>
          <w:tcPr>
            <w:tcW w:w="97"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right"/>
              <w:rPr/>
            </w:pPr>
            <w:r>
              <w:rPr/>
              <w:t> </w:t>
            </w:r>
          </w:p>
        </w:tc>
        <w:tc>
          <w:tcPr>
            <w:tcW w:w="143" w:type="dxa"/>
            <w:tcBorders/>
            <w:vAlign w:val="bottom"/>
          </w:tcPr>
          <w:p>
            <w:pPr>
              <w:pStyle w:val="TableContents"/>
              <w:bidi w:val="0"/>
              <w:spacing w:before="0" w:after="283"/>
              <w:jc w:val="left"/>
              <w:rPr/>
            </w:pPr>
            <w:r>
              <w:rPr/>
              <w:t> </w:t>
            </w:r>
          </w:p>
        </w:tc>
        <w:tc>
          <w:tcPr>
            <w:tcW w:w="92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156</w:t>
            </w:r>
          </w:p>
        </w:tc>
        <w:tc>
          <w:tcPr>
            <w:tcW w:w="110" w:type="dxa"/>
            <w:tcBorders/>
            <w:vAlign w:val="bottom"/>
          </w:tcPr>
          <w:p>
            <w:pPr>
              <w:pStyle w:val="TableContents"/>
              <w:bidi w:val="0"/>
              <w:spacing w:before="0" w:after="283"/>
              <w:jc w:val="left"/>
              <w:rPr/>
            </w:pPr>
            <w:r>
              <w:rPr/>
              <w:t> </w:t>
            </w:r>
          </w:p>
        </w:tc>
      </w:tr>
      <w:tr>
        <w:trPr/>
        <w:tc>
          <w:tcPr>
            <w:tcW w:w="7115" w:type="dxa"/>
            <w:tcBorders/>
            <w:shd w:fill="CCEEFF" w:val="clear"/>
            <w:vAlign w:val="bottom"/>
          </w:tcPr>
          <w:p>
            <w:pPr>
              <w:pStyle w:val="TableContents"/>
              <w:bidi w:val="0"/>
              <w:spacing w:before="0" w:after="0"/>
              <w:ind w:left="504" w:right="0" w:hanging="144"/>
              <w:jc w:val="left"/>
              <w:rPr>
                <w:rFonts w:ascii="Times New Roman" w:hAnsi="Times New Roman"/>
                <w:sz w:val="20"/>
              </w:rPr>
            </w:pPr>
            <w:r>
              <w:rPr>
                <w:rFonts w:ascii="Times New Roman" w:hAnsi="Times New Roman"/>
                <w:sz w:val="20"/>
              </w:rPr>
              <w:t>LTIP-OP Unit awards</w:t>
            </w:r>
          </w:p>
        </w:tc>
        <w:tc>
          <w:tcPr>
            <w:tcW w:w="60" w:type="dxa"/>
            <w:tcBorders/>
            <w:shd w:fill="CCEEFF" w:val="clear"/>
            <w:vAlign w:val="bottom"/>
          </w:tcPr>
          <w:p>
            <w:pPr>
              <w:pStyle w:val="TableContents"/>
              <w:bidi w:val="0"/>
              <w:spacing w:before="0" w:after="283"/>
              <w:jc w:val="right"/>
              <w:rPr/>
            </w:pPr>
            <w:r>
              <w:rPr/>
              <w:t> </w:t>
            </w:r>
          </w:p>
        </w:tc>
        <w:tc>
          <w:tcPr>
            <w:tcW w:w="143" w:type="dxa"/>
            <w:tcBorders/>
            <w:shd w:fill="CCEEFF" w:val="clear"/>
            <w:vAlign w:val="bottom"/>
          </w:tcPr>
          <w:p>
            <w:pPr>
              <w:pStyle w:val="TableContents"/>
              <w:bidi w:val="0"/>
              <w:spacing w:before="0" w:after="283"/>
              <w:jc w:val="left"/>
              <w:rPr/>
            </w:pPr>
            <w:r>
              <w:rPr/>
              <w:t> </w:t>
            </w:r>
          </w:p>
        </w:tc>
        <w:tc>
          <w:tcPr>
            <w:tcW w:w="92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63</w:t>
            </w:r>
          </w:p>
        </w:tc>
        <w:tc>
          <w:tcPr>
            <w:tcW w:w="97"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right"/>
              <w:rPr/>
            </w:pPr>
            <w:r>
              <w:rPr/>
              <w:t> </w:t>
            </w:r>
          </w:p>
        </w:tc>
        <w:tc>
          <w:tcPr>
            <w:tcW w:w="143" w:type="dxa"/>
            <w:tcBorders/>
            <w:shd w:fill="CCEEFF" w:val="clear"/>
            <w:vAlign w:val="bottom"/>
          </w:tcPr>
          <w:p>
            <w:pPr>
              <w:pStyle w:val="TableContents"/>
              <w:bidi w:val="0"/>
              <w:spacing w:before="0" w:after="283"/>
              <w:jc w:val="left"/>
              <w:rPr/>
            </w:pPr>
            <w:r>
              <w:rPr/>
              <w:t> </w:t>
            </w:r>
          </w:p>
        </w:tc>
        <w:tc>
          <w:tcPr>
            <w:tcW w:w="92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144</w:t>
            </w:r>
          </w:p>
        </w:tc>
        <w:tc>
          <w:tcPr>
            <w:tcW w:w="110" w:type="dxa"/>
            <w:tcBorders/>
            <w:shd w:fill="CCEEFF" w:val="clear"/>
            <w:vAlign w:val="bottom"/>
          </w:tcPr>
          <w:p>
            <w:pPr>
              <w:pStyle w:val="TableContents"/>
              <w:bidi w:val="0"/>
              <w:spacing w:before="0" w:after="283"/>
              <w:jc w:val="left"/>
              <w:rPr/>
            </w:pPr>
            <w:r>
              <w:rPr/>
              <w:t> </w:t>
            </w:r>
          </w:p>
        </w:tc>
      </w:tr>
      <w:tr>
        <w:trPr/>
        <w:tc>
          <w:tcPr>
            <w:tcW w:w="7115" w:type="dxa"/>
            <w:tcBorders/>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Changes in operating assets and liabilities:</w:t>
            </w:r>
          </w:p>
        </w:tc>
        <w:tc>
          <w:tcPr>
            <w:tcW w:w="60" w:type="dxa"/>
            <w:tcBorders/>
            <w:vAlign w:val="bottom"/>
          </w:tcPr>
          <w:p>
            <w:pPr>
              <w:pStyle w:val="TableContents"/>
              <w:bidi w:val="0"/>
              <w:spacing w:before="0" w:after="283"/>
              <w:jc w:val="right"/>
              <w:rPr/>
            </w:pPr>
            <w:r>
              <w:rPr/>
              <w:t> </w:t>
            </w:r>
          </w:p>
        </w:tc>
        <w:tc>
          <w:tcPr>
            <w:tcW w:w="143" w:type="dxa"/>
            <w:tcBorders/>
            <w:vAlign w:val="bottom"/>
          </w:tcPr>
          <w:p>
            <w:pPr>
              <w:pStyle w:val="TableContents"/>
              <w:bidi w:val="0"/>
              <w:spacing w:before="0" w:after="283"/>
              <w:jc w:val="left"/>
              <w:rPr/>
            </w:pPr>
            <w:r>
              <w:rPr/>
              <w:t> </w:t>
            </w:r>
          </w:p>
        </w:tc>
        <w:tc>
          <w:tcPr>
            <w:tcW w:w="927" w:type="dxa"/>
            <w:tcBorders/>
            <w:vAlign w:val="bottom"/>
          </w:tcPr>
          <w:p>
            <w:pPr>
              <w:pStyle w:val="TableContents"/>
              <w:bidi w:val="0"/>
              <w:spacing w:before="0" w:after="283"/>
              <w:jc w:val="right"/>
              <w:rPr/>
            </w:pPr>
            <w:r>
              <w:rPr/>
              <w:t> </w:t>
            </w:r>
          </w:p>
        </w:tc>
        <w:tc>
          <w:tcPr>
            <w:tcW w:w="97"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right"/>
              <w:rPr/>
            </w:pPr>
            <w:r>
              <w:rPr/>
              <w:t> </w:t>
            </w:r>
          </w:p>
        </w:tc>
        <w:tc>
          <w:tcPr>
            <w:tcW w:w="143" w:type="dxa"/>
            <w:tcBorders/>
            <w:vAlign w:val="bottom"/>
          </w:tcPr>
          <w:p>
            <w:pPr>
              <w:pStyle w:val="TableContents"/>
              <w:bidi w:val="0"/>
              <w:spacing w:before="0" w:after="283"/>
              <w:jc w:val="left"/>
              <w:rPr/>
            </w:pPr>
            <w:r>
              <w:rPr/>
              <w:t> </w:t>
            </w:r>
          </w:p>
        </w:tc>
        <w:tc>
          <w:tcPr>
            <w:tcW w:w="927"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r>
      <w:tr>
        <w:trPr/>
        <w:tc>
          <w:tcPr>
            <w:tcW w:w="7115" w:type="dxa"/>
            <w:tcBorders/>
            <w:shd w:fill="CCEEFF" w:val="clear"/>
            <w:vAlign w:val="bottom"/>
          </w:tcPr>
          <w:p>
            <w:pPr>
              <w:pStyle w:val="TableContents"/>
              <w:bidi w:val="0"/>
              <w:spacing w:before="0" w:after="0"/>
              <w:ind w:left="504" w:right="0" w:hanging="144"/>
              <w:jc w:val="left"/>
              <w:rPr>
                <w:rFonts w:ascii="Times New Roman" w:hAnsi="Times New Roman"/>
                <w:color w:val="000000"/>
                <w:sz w:val="20"/>
              </w:rPr>
            </w:pPr>
            <w:r>
              <w:rPr>
                <w:rFonts w:ascii="Times New Roman" w:hAnsi="Times New Roman"/>
                <w:color w:val="000000"/>
                <w:sz w:val="20"/>
              </w:rPr>
              <w:t>Decrease in receivables and other assets</w:t>
            </w:r>
          </w:p>
        </w:tc>
        <w:tc>
          <w:tcPr>
            <w:tcW w:w="60" w:type="dxa"/>
            <w:tcBorders/>
            <w:shd w:fill="CCEEFF" w:val="clear"/>
            <w:vAlign w:val="bottom"/>
          </w:tcPr>
          <w:p>
            <w:pPr>
              <w:pStyle w:val="TableContents"/>
              <w:bidi w:val="0"/>
              <w:spacing w:before="0" w:after="283"/>
              <w:jc w:val="right"/>
              <w:rPr/>
            </w:pPr>
            <w:r>
              <w:rPr/>
              <w:t> </w:t>
            </w:r>
          </w:p>
        </w:tc>
        <w:tc>
          <w:tcPr>
            <w:tcW w:w="143" w:type="dxa"/>
            <w:tcBorders/>
            <w:shd w:fill="CCEEFF" w:val="clear"/>
            <w:vAlign w:val="bottom"/>
          </w:tcPr>
          <w:p>
            <w:pPr>
              <w:pStyle w:val="TableContents"/>
              <w:bidi w:val="0"/>
              <w:spacing w:before="0" w:after="283"/>
              <w:jc w:val="left"/>
              <w:rPr/>
            </w:pPr>
            <w:r>
              <w:rPr/>
              <w:t> </w:t>
            </w:r>
          </w:p>
        </w:tc>
        <w:tc>
          <w:tcPr>
            <w:tcW w:w="92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4,314</w:t>
            </w:r>
          </w:p>
        </w:tc>
        <w:tc>
          <w:tcPr>
            <w:tcW w:w="97"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right"/>
              <w:rPr/>
            </w:pPr>
            <w:r>
              <w:rPr/>
              <w:t> </w:t>
            </w:r>
          </w:p>
        </w:tc>
        <w:tc>
          <w:tcPr>
            <w:tcW w:w="143" w:type="dxa"/>
            <w:tcBorders/>
            <w:shd w:fill="CCEEFF" w:val="clear"/>
            <w:vAlign w:val="bottom"/>
          </w:tcPr>
          <w:p>
            <w:pPr>
              <w:pStyle w:val="TableContents"/>
              <w:bidi w:val="0"/>
              <w:spacing w:before="0" w:after="283"/>
              <w:jc w:val="left"/>
              <w:rPr/>
            </w:pPr>
            <w:r>
              <w:rPr/>
              <w:t> </w:t>
            </w:r>
          </w:p>
        </w:tc>
        <w:tc>
          <w:tcPr>
            <w:tcW w:w="92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775</w:t>
            </w:r>
          </w:p>
        </w:tc>
        <w:tc>
          <w:tcPr>
            <w:tcW w:w="110" w:type="dxa"/>
            <w:tcBorders/>
            <w:shd w:fill="CCEEFF" w:val="clear"/>
            <w:vAlign w:val="bottom"/>
          </w:tcPr>
          <w:p>
            <w:pPr>
              <w:pStyle w:val="TableContents"/>
              <w:bidi w:val="0"/>
              <w:spacing w:before="0" w:after="283"/>
              <w:jc w:val="left"/>
              <w:rPr/>
            </w:pPr>
            <w:r>
              <w:rPr/>
              <w:t> </w:t>
            </w:r>
          </w:p>
        </w:tc>
      </w:tr>
      <w:tr>
        <w:trPr/>
        <w:tc>
          <w:tcPr>
            <w:tcW w:w="7115" w:type="dxa"/>
            <w:tcBorders/>
            <w:vAlign w:val="bottom"/>
          </w:tcPr>
          <w:p>
            <w:pPr>
              <w:pStyle w:val="TableContents"/>
              <w:bidi w:val="0"/>
              <w:spacing w:before="0" w:after="0"/>
              <w:ind w:left="504" w:right="0" w:hanging="144"/>
              <w:jc w:val="left"/>
              <w:rPr>
                <w:rFonts w:ascii="Times New Roman" w:hAnsi="Times New Roman"/>
                <w:color w:val="000000"/>
                <w:sz w:val="20"/>
              </w:rPr>
            </w:pPr>
            <w:r>
              <w:rPr>
                <w:rFonts w:ascii="Times New Roman" w:hAnsi="Times New Roman"/>
                <w:color w:val="000000"/>
                <w:sz w:val="20"/>
              </w:rPr>
              <w:t>Decrease in accrued expenses and other liabilities</w:t>
            </w:r>
          </w:p>
        </w:tc>
        <w:tc>
          <w:tcPr>
            <w:tcW w:w="60" w:type="dxa"/>
            <w:tcBorders/>
            <w:vAlign w:val="bottom"/>
          </w:tcPr>
          <w:p>
            <w:pPr>
              <w:pStyle w:val="TableContents"/>
              <w:bidi w:val="0"/>
              <w:spacing w:before="0" w:after="283"/>
              <w:jc w:val="right"/>
              <w:rPr/>
            </w:pPr>
            <w:r>
              <w:rPr/>
              <w:t> </w:t>
            </w:r>
          </w:p>
        </w:tc>
        <w:tc>
          <w:tcPr>
            <w:tcW w:w="143" w:type="dxa"/>
            <w:tcBorders>
              <w:bottom w:val="single" w:sz="12" w:space="0" w:color="000000"/>
            </w:tcBorders>
            <w:tcMar>
              <w:bottom w:w="28" w:type="dxa"/>
            </w:tcMar>
            <w:vAlign w:val="bottom"/>
          </w:tcPr>
          <w:p>
            <w:pPr>
              <w:pStyle w:val="TableContents"/>
              <w:bidi w:val="0"/>
              <w:spacing w:before="0" w:after="283"/>
              <w:jc w:val="left"/>
              <w:rPr/>
            </w:pPr>
            <w:r>
              <w:rPr/>
              <w:t> </w:t>
            </w:r>
          </w:p>
        </w:tc>
        <w:tc>
          <w:tcPr>
            <w:tcW w:w="927"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(1,854</w:t>
            </w:r>
          </w:p>
        </w:tc>
        <w:tc>
          <w:tcPr>
            <w:tcW w:w="9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1" w:type="dxa"/>
            <w:tcBorders/>
            <w:vAlign w:val="bottom"/>
          </w:tcPr>
          <w:p>
            <w:pPr>
              <w:pStyle w:val="TableContents"/>
              <w:bidi w:val="0"/>
              <w:spacing w:before="0" w:after="283"/>
              <w:jc w:val="right"/>
              <w:rPr/>
            </w:pPr>
            <w:r>
              <w:rPr/>
              <w:t> </w:t>
            </w:r>
          </w:p>
        </w:tc>
        <w:tc>
          <w:tcPr>
            <w:tcW w:w="143" w:type="dxa"/>
            <w:tcBorders>
              <w:bottom w:val="single" w:sz="12" w:space="0" w:color="000000"/>
            </w:tcBorders>
            <w:tcMar>
              <w:bottom w:w="28" w:type="dxa"/>
            </w:tcMar>
            <w:vAlign w:val="bottom"/>
          </w:tcPr>
          <w:p>
            <w:pPr>
              <w:pStyle w:val="TableContents"/>
              <w:bidi w:val="0"/>
              <w:spacing w:before="0" w:after="283"/>
              <w:jc w:val="left"/>
              <w:rPr/>
            </w:pPr>
            <w:r>
              <w:rPr/>
              <w:t> </w:t>
            </w:r>
          </w:p>
        </w:tc>
        <w:tc>
          <w:tcPr>
            <w:tcW w:w="927"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(164</w:t>
            </w:r>
          </w:p>
        </w:tc>
        <w:tc>
          <w:tcPr>
            <w:tcW w:w="11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7115" w:type="dxa"/>
            <w:tcBorders/>
            <w:shd w:fill="CCEEFF" w:val="clear"/>
            <w:vAlign w:val="bottom"/>
          </w:tcPr>
          <w:p>
            <w:pPr>
              <w:pStyle w:val="TableContents"/>
              <w:bidi w:val="0"/>
              <w:spacing w:before="0" w:after="0"/>
              <w:ind w:left="288" w:right="0" w:hanging="144"/>
              <w:jc w:val="left"/>
              <w:rPr>
                <w:rFonts w:ascii="Times New Roman" w:hAnsi="Times New Roman"/>
                <w:b/>
                <w:color w:val="000000"/>
                <w:sz w:val="20"/>
              </w:rPr>
            </w:pPr>
            <w:r>
              <w:rPr>
                <w:rFonts w:ascii="Times New Roman" w:hAnsi="Times New Roman"/>
                <w:b/>
                <w:color w:val="000000"/>
                <w:sz w:val="20"/>
              </w:rPr>
              <w:t>Net cash provided by operating activities</w:t>
            </w:r>
          </w:p>
        </w:tc>
        <w:tc>
          <w:tcPr>
            <w:tcW w:w="60" w:type="dxa"/>
            <w:tcBorders/>
            <w:shd w:fill="CCEEFF" w:val="clear"/>
            <w:vAlign w:val="bottom"/>
          </w:tcPr>
          <w:p>
            <w:pPr>
              <w:pStyle w:val="TableContents"/>
              <w:bidi w:val="0"/>
              <w:spacing w:before="0" w:after="283"/>
              <w:jc w:val="right"/>
              <w:rPr/>
            </w:pPr>
            <w:r>
              <w:rPr/>
              <w:t> </w:t>
            </w:r>
          </w:p>
        </w:tc>
        <w:tc>
          <w:tcPr>
            <w:tcW w:w="143"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927"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17,254</w:t>
            </w:r>
          </w:p>
        </w:tc>
        <w:tc>
          <w:tcPr>
            <w:tcW w:w="97"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right"/>
              <w:rPr/>
            </w:pPr>
            <w:r>
              <w:rPr/>
              <w:t> </w:t>
            </w:r>
          </w:p>
        </w:tc>
        <w:tc>
          <w:tcPr>
            <w:tcW w:w="143"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927"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13,133</w:t>
            </w:r>
          </w:p>
        </w:tc>
        <w:tc>
          <w:tcPr>
            <w:tcW w:w="110" w:type="dxa"/>
            <w:tcBorders/>
            <w:shd w:fill="CCEEFF" w:val="clear"/>
            <w:vAlign w:val="bottom"/>
          </w:tcPr>
          <w:p>
            <w:pPr>
              <w:pStyle w:val="TableContents"/>
              <w:bidi w:val="0"/>
              <w:spacing w:before="0" w:after="283"/>
              <w:jc w:val="left"/>
              <w:rPr/>
            </w:pPr>
            <w:r>
              <w:rPr/>
              <w:t> </w:t>
            </w:r>
          </w:p>
        </w:tc>
      </w:tr>
      <w:tr>
        <w:trPr/>
        <w:tc>
          <w:tcPr>
            <w:tcW w:w="7115" w:type="dxa"/>
            <w:tcBorders/>
            <w:vAlign w:val="bottom"/>
          </w:tcPr>
          <w:p>
            <w:pPr>
              <w:pStyle w:val="TableContents"/>
              <w:bidi w:val="0"/>
              <w:spacing w:before="0" w:after="0"/>
              <w:ind w:left="144" w:right="0" w:hanging="144"/>
              <w:jc w:val="left"/>
              <w:rPr>
                <w:rFonts w:ascii="Times New Roman" w:hAnsi="Times New Roman"/>
                <w:b/>
                <w:sz w:val="20"/>
              </w:rPr>
            </w:pPr>
            <w:r>
              <w:rPr>
                <w:rFonts w:ascii="Times New Roman" w:hAnsi="Times New Roman"/>
                <w:b/>
                <w:sz w:val="20"/>
              </w:rPr>
              <w:t>Cash Flows From Investing Activities</w:t>
            </w:r>
          </w:p>
        </w:tc>
        <w:tc>
          <w:tcPr>
            <w:tcW w:w="60" w:type="dxa"/>
            <w:tcBorders/>
            <w:vAlign w:val="bottom"/>
          </w:tcPr>
          <w:p>
            <w:pPr>
              <w:pStyle w:val="TableContents"/>
              <w:bidi w:val="0"/>
              <w:spacing w:before="0" w:after="283"/>
              <w:jc w:val="right"/>
              <w:rPr/>
            </w:pPr>
            <w:r>
              <w:rPr/>
              <w:t> </w:t>
            </w:r>
          </w:p>
        </w:tc>
        <w:tc>
          <w:tcPr>
            <w:tcW w:w="143" w:type="dxa"/>
            <w:tcBorders/>
            <w:vAlign w:val="bottom"/>
          </w:tcPr>
          <w:p>
            <w:pPr>
              <w:pStyle w:val="TableContents"/>
              <w:bidi w:val="0"/>
              <w:spacing w:before="0" w:after="283"/>
              <w:jc w:val="left"/>
              <w:rPr/>
            </w:pPr>
            <w:r>
              <w:rPr/>
              <w:t> </w:t>
            </w:r>
          </w:p>
        </w:tc>
        <w:tc>
          <w:tcPr>
            <w:tcW w:w="927" w:type="dxa"/>
            <w:tcBorders/>
            <w:vAlign w:val="bottom"/>
          </w:tcPr>
          <w:p>
            <w:pPr>
              <w:pStyle w:val="TableContents"/>
              <w:bidi w:val="0"/>
              <w:spacing w:before="0" w:after="283"/>
              <w:jc w:val="right"/>
              <w:rPr/>
            </w:pPr>
            <w:r>
              <w:rPr/>
              <w:t> </w:t>
            </w:r>
          </w:p>
        </w:tc>
        <w:tc>
          <w:tcPr>
            <w:tcW w:w="97"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right"/>
              <w:rPr/>
            </w:pPr>
            <w:r>
              <w:rPr/>
              <w:t> </w:t>
            </w:r>
          </w:p>
        </w:tc>
        <w:tc>
          <w:tcPr>
            <w:tcW w:w="143" w:type="dxa"/>
            <w:tcBorders/>
            <w:vAlign w:val="bottom"/>
          </w:tcPr>
          <w:p>
            <w:pPr>
              <w:pStyle w:val="TableContents"/>
              <w:bidi w:val="0"/>
              <w:spacing w:before="0" w:after="283"/>
              <w:jc w:val="left"/>
              <w:rPr/>
            </w:pPr>
            <w:r>
              <w:rPr/>
              <w:t> </w:t>
            </w:r>
          </w:p>
        </w:tc>
        <w:tc>
          <w:tcPr>
            <w:tcW w:w="927"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r>
      <w:tr>
        <w:trPr/>
        <w:tc>
          <w:tcPr>
            <w:tcW w:w="7115" w:type="dxa"/>
            <w:tcBorders/>
            <w:shd w:fill="CCEEFF" w:val="clear"/>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Purchase of RMBS</w:t>
            </w:r>
          </w:p>
        </w:tc>
        <w:tc>
          <w:tcPr>
            <w:tcW w:w="60" w:type="dxa"/>
            <w:tcBorders/>
            <w:shd w:fill="CCEEFF" w:val="clear"/>
            <w:vAlign w:val="bottom"/>
          </w:tcPr>
          <w:p>
            <w:pPr>
              <w:pStyle w:val="TableContents"/>
              <w:bidi w:val="0"/>
              <w:spacing w:before="0" w:after="283"/>
              <w:jc w:val="right"/>
              <w:rPr/>
            </w:pPr>
            <w:r>
              <w:rPr/>
              <w:t> </w:t>
            </w:r>
          </w:p>
        </w:tc>
        <w:tc>
          <w:tcPr>
            <w:tcW w:w="143" w:type="dxa"/>
            <w:tcBorders/>
            <w:shd w:fill="CCEEFF" w:val="clear"/>
            <w:vAlign w:val="bottom"/>
          </w:tcPr>
          <w:p>
            <w:pPr>
              <w:pStyle w:val="TableContents"/>
              <w:bidi w:val="0"/>
              <w:spacing w:before="0" w:after="283"/>
              <w:jc w:val="left"/>
              <w:rPr/>
            </w:pPr>
            <w:r>
              <w:rPr/>
              <w:t> </w:t>
            </w:r>
          </w:p>
        </w:tc>
        <w:tc>
          <w:tcPr>
            <w:tcW w:w="92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(45,125</w:t>
            </w:r>
          </w:p>
        </w:tc>
        <w:tc>
          <w:tcPr>
            <w:tcW w:w="9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1" w:type="dxa"/>
            <w:tcBorders/>
            <w:shd w:fill="CCEEFF" w:val="clear"/>
            <w:vAlign w:val="bottom"/>
          </w:tcPr>
          <w:p>
            <w:pPr>
              <w:pStyle w:val="TableContents"/>
              <w:bidi w:val="0"/>
              <w:spacing w:before="0" w:after="283"/>
              <w:jc w:val="right"/>
              <w:rPr/>
            </w:pPr>
            <w:r>
              <w:rPr/>
              <w:t> </w:t>
            </w:r>
          </w:p>
        </w:tc>
        <w:tc>
          <w:tcPr>
            <w:tcW w:w="143" w:type="dxa"/>
            <w:tcBorders/>
            <w:shd w:fill="CCEEFF" w:val="clear"/>
            <w:vAlign w:val="bottom"/>
          </w:tcPr>
          <w:p>
            <w:pPr>
              <w:pStyle w:val="TableContents"/>
              <w:bidi w:val="0"/>
              <w:spacing w:before="0" w:after="283"/>
              <w:jc w:val="left"/>
              <w:rPr/>
            </w:pPr>
            <w:r>
              <w:rPr/>
              <w:t> </w:t>
            </w:r>
          </w:p>
        </w:tc>
        <w:tc>
          <w:tcPr>
            <w:tcW w:w="92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(154,377</w:t>
            </w:r>
          </w:p>
        </w:tc>
        <w:tc>
          <w:tcPr>
            <w:tcW w:w="11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7115" w:type="dxa"/>
            <w:tcBorders/>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Principal paydown of RMBS</w:t>
            </w:r>
          </w:p>
        </w:tc>
        <w:tc>
          <w:tcPr>
            <w:tcW w:w="60" w:type="dxa"/>
            <w:tcBorders/>
            <w:vAlign w:val="bottom"/>
          </w:tcPr>
          <w:p>
            <w:pPr>
              <w:pStyle w:val="TableContents"/>
              <w:bidi w:val="0"/>
              <w:spacing w:before="0" w:after="283"/>
              <w:jc w:val="right"/>
              <w:rPr/>
            </w:pPr>
            <w:r>
              <w:rPr/>
              <w:t> </w:t>
            </w:r>
          </w:p>
        </w:tc>
        <w:tc>
          <w:tcPr>
            <w:tcW w:w="143" w:type="dxa"/>
            <w:tcBorders/>
            <w:vAlign w:val="bottom"/>
          </w:tcPr>
          <w:p>
            <w:pPr>
              <w:pStyle w:val="TableContents"/>
              <w:bidi w:val="0"/>
              <w:spacing w:before="0" w:after="283"/>
              <w:jc w:val="left"/>
              <w:rPr/>
            </w:pPr>
            <w:r>
              <w:rPr/>
              <w:t> </w:t>
            </w:r>
          </w:p>
        </w:tc>
        <w:tc>
          <w:tcPr>
            <w:tcW w:w="92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68,477</w:t>
            </w:r>
          </w:p>
        </w:tc>
        <w:tc>
          <w:tcPr>
            <w:tcW w:w="97"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right"/>
              <w:rPr/>
            </w:pPr>
            <w:r>
              <w:rPr/>
              <w:t> </w:t>
            </w:r>
          </w:p>
        </w:tc>
        <w:tc>
          <w:tcPr>
            <w:tcW w:w="143" w:type="dxa"/>
            <w:tcBorders/>
            <w:vAlign w:val="bottom"/>
          </w:tcPr>
          <w:p>
            <w:pPr>
              <w:pStyle w:val="TableContents"/>
              <w:bidi w:val="0"/>
              <w:spacing w:before="0" w:after="283"/>
              <w:jc w:val="left"/>
              <w:rPr/>
            </w:pPr>
            <w:r>
              <w:rPr/>
              <w:t> </w:t>
            </w:r>
          </w:p>
        </w:tc>
        <w:tc>
          <w:tcPr>
            <w:tcW w:w="92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45,415</w:t>
            </w:r>
          </w:p>
        </w:tc>
        <w:tc>
          <w:tcPr>
            <w:tcW w:w="110" w:type="dxa"/>
            <w:tcBorders/>
            <w:vAlign w:val="bottom"/>
          </w:tcPr>
          <w:p>
            <w:pPr>
              <w:pStyle w:val="TableContents"/>
              <w:bidi w:val="0"/>
              <w:spacing w:before="0" w:after="283"/>
              <w:jc w:val="left"/>
              <w:rPr/>
            </w:pPr>
            <w:r>
              <w:rPr/>
              <w:t> </w:t>
            </w:r>
          </w:p>
        </w:tc>
      </w:tr>
      <w:tr>
        <w:trPr/>
        <w:tc>
          <w:tcPr>
            <w:tcW w:w="7115" w:type="dxa"/>
            <w:tcBorders/>
            <w:shd w:fill="CCEEFF" w:val="clear"/>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Proceeds from sale of RMBS</w:t>
            </w:r>
          </w:p>
        </w:tc>
        <w:tc>
          <w:tcPr>
            <w:tcW w:w="60" w:type="dxa"/>
            <w:tcBorders/>
            <w:shd w:fill="CCEEFF" w:val="clear"/>
            <w:vAlign w:val="bottom"/>
          </w:tcPr>
          <w:p>
            <w:pPr>
              <w:pStyle w:val="TableContents"/>
              <w:bidi w:val="0"/>
              <w:spacing w:before="0" w:after="283"/>
              <w:jc w:val="right"/>
              <w:rPr/>
            </w:pPr>
            <w:r>
              <w:rPr/>
              <w:t> </w:t>
            </w:r>
          </w:p>
        </w:tc>
        <w:tc>
          <w:tcPr>
            <w:tcW w:w="143" w:type="dxa"/>
            <w:tcBorders/>
            <w:shd w:fill="CCEEFF" w:val="clear"/>
            <w:vAlign w:val="bottom"/>
          </w:tcPr>
          <w:p>
            <w:pPr>
              <w:pStyle w:val="TableContents"/>
              <w:bidi w:val="0"/>
              <w:spacing w:before="0" w:after="283"/>
              <w:jc w:val="left"/>
              <w:rPr/>
            </w:pPr>
            <w:r>
              <w:rPr/>
              <w:t> </w:t>
            </w:r>
          </w:p>
        </w:tc>
        <w:tc>
          <w:tcPr>
            <w:tcW w:w="92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96,090</w:t>
            </w:r>
          </w:p>
        </w:tc>
        <w:tc>
          <w:tcPr>
            <w:tcW w:w="97"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right"/>
              <w:rPr/>
            </w:pPr>
            <w:r>
              <w:rPr/>
              <w:t> </w:t>
            </w:r>
          </w:p>
        </w:tc>
        <w:tc>
          <w:tcPr>
            <w:tcW w:w="143" w:type="dxa"/>
            <w:tcBorders/>
            <w:shd w:fill="CCEEFF" w:val="clear"/>
            <w:vAlign w:val="bottom"/>
          </w:tcPr>
          <w:p>
            <w:pPr>
              <w:pStyle w:val="TableContents"/>
              <w:bidi w:val="0"/>
              <w:spacing w:before="0" w:after="283"/>
              <w:jc w:val="left"/>
              <w:rPr/>
            </w:pPr>
            <w:r>
              <w:rPr/>
              <w:t> </w:t>
            </w:r>
          </w:p>
        </w:tc>
        <w:tc>
          <w:tcPr>
            <w:tcW w:w="92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99,844</w:t>
            </w:r>
          </w:p>
        </w:tc>
        <w:tc>
          <w:tcPr>
            <w:tcW w:w="110" w:type="dxa"/>
            <w:tcBorders/>
            <w:shd w:fill="CCEEFF" w:val="clear"/>
            <w:vAlign w:val="bottom"/>
          </w:tcPr>
          <w:p>
            <w:pPr>
              <w:pStyle w:val="TableContents"/>
              <w:bidi w:val="0"/>
              <w:spacing w:before="0" w:after="283"/>
              <w:jc w:val="left"/>
              <w:rPr/>
            </w:pPr>
            <w:r>
              <w:rPr/>
              <w:t> </w:t>
            </w:r>
          </w:p>
        </w:tc>
      </w:tr>
      <w:tr>
        <w:trPr/>
        <w:tc>
          <w:tcPr>
            <w:tcW w:w="7115" w:type="dxa"/>
            <w:tcBorders/>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Acquisition of MSRs</w:t>
            </w:r>
          </w:p>
        </w:tc>
        <w:tc>
          <w:tcPr>
            <w:tcW w:w="60" w:type="dxa"/>
            <w:tcBorders/>
            <w:vAlign w:val="bottom"/>
          </w:tcPr>
          <w:p>
            <w:pPr>
              <w:pStyle w:val="TableContents"/>
              <w:bidi w:val="0"/>
              <w:spacing w:before="0" w:after="283"/>
              <w:jc w:val="right"/>
              <w:rPr/>
            </w:pPr>
            <w:r>
              <w:rPr/>
              <w:t> </w:t>
            </w:r>
          </w:p>
        </w:tc>
        <w:tc>
          <w:tcPr>
            <w:tcW w:w="143" w:type="dxa"/>
            <w:tcBorders/>
            <w:vAlign w:val="bottom"/>
          </w:tcPr>
          <w:p>
            <w:pPr>
              <w:pStyle w:val="TableContents"/>
              <w:bidi w:val="0"/>
              <w:spacing w:before="0" w:after="283"/>
              <w:jc w:val="left"/>
              <w:rPr/>
            </w:pPr>
            <w:r>
              <w:rPr/>
              <w:t> </w:t>
            </w:r>
          </w:p>
        </w:tc>
        <w:tc>
          <w:tcPr>
            <w:tcW w:w="927" w:type="dxa"/>
            <w:tcBorders/>
            <w:vAlign w:val="bottom"/>
          </w:tcPr>
          <w:p>
            <w:pPr>
              <w:pStyle w:val="TableContents"/>
              <w:bidi w:val="0"/>
              <w:spacing w:before="0" w:after="283"/>
              <w:jc w:val="right"/>
              <w:rPr/>
            </w:pPr>
            <w:r>
              <w:rPr/>
              <w:t>15</w:t>
            </w:r>
          </w:p>
        </w:tc>
        <w:tc>
          <w:tcPr>
            <w:tcW w:w="97"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right"/>
              <w:rPr/>
            </w:pPr>
            <w:r>
              <w:rPr/>
              <w:t> </w:t>
            </w:r>
          </w:p>
        </w:tc>
        <w:tc>
          <w:tcPr>
            <w:tcW w:w="143" w:type="dxa"/>
            <w:tcBorders/>
            <w:vAlign w:val="bottom"/>
          </w:tcPr>
          <w:p>
            <w:pPr>
              <w:pStyle w:val="TableContents"/>
              <w:bidi w:val="0"/>
              <w:spacing w:before="0" w:after="283"/>
              <w:jc w:val="left"/>
              <w:rPr/>
            </w:pPr>
            <w:r>
              <w:rPr/>
              <w:t> </w:t>
            </w:r>
          </w:p>
        </w:tc>
        <w:tc>
          <w:tcPr>
            <w:tcW w:w="927" w:type="dxa"/>
            <w:tcBorders/>
            <w:vAlign w:val="bottom"/>
          </w:tcPr>
          <w:p>
            <w:pPr>
              <w:pStyle w:val="TableContents"/>
              <w:bidi w:val="0"/>
              <w:spacing w:before="0" w:after="283"/>
              <w:jc w:val="right"/>
              <w:rPr/>
            </w:pPr>
            <w:r>
              <w:rPr/>
              <w:t>-</w:t>
            </w:r>
          </w:p>
        </w:tc>
        <w:tc>
          <w:tcPr>
            <w:tcW w:w="110" w:type="dxa"/>
            <w:tcBorders/>
            <w:vAlign w:val="bottom"/>
          </w:tcPr>
          <w:p>
            <w:pPr>
              <w:pStyle w:val="TableContents"/>
              <w:bidi w:val="0"/>
              <w:spacing w:before="0" w:after="283"/>
              <w:jc w:val="left"/>
              <w:rPr/>
            </w:pPr>
            <w:r>
              <w:rPr/>
              <w:t> </w:t>
            </w:r>
          </w:p>
        </w:tc>
      </w:tr>
      <w:tr>
        <w:trPr/>
        <w:tc>
          <w:tcPr>
            <w:tcW w:w="7115" w:type="dxa"/>
            <w:tcBorders/>
            <w:shd w:fill="CCEEFF" w:val="clear"/>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Proceeds from settlement of derivatives</w:t>
            </w:r>
          </w:p>
        </w:tc>
        <w:tc>
          <w:tcPr>
            <w:tcW w:w="60" w:type="dxa"/>
            <w:tcBorders/>
            <w:shd w:fill="CCEEFF" w:val="clear"/>
            <w:vAlign w:val="bottom"/>
          </w:tcPr>
          <w:p>
            <w:pPr>
              <w:pStyle w:val="TableContents"/>
              <w:bidi w:val="0"/>
              <w:spacing w:before="0" w:after="283"/>
              <w:jc w:val="right"/>
              <w:rPr/>
            </w:pPr>
            <w:r>
              <w:rPr/>
              <w:t> </w:t>
            </w:r>
          </w:p>
        </w:tc>
        <w:tc>
          <w:tcPr>
            <w:tcW w:w="14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27"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23,491</w:t>
            </w:r>
          </w:p>
        </w:tc>
        <w:tc>
          <w:tcPr>
            <w:tcW w:w="97"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right"/>
              <w:rPr/>
            </w:pPr>
            <w:r>
              <w:rPr/>
              <w:t> </w:t>
            </w:r>
          </w:p>
        </w:tc>
        <w:tc>
          <w:tcPr>
            <w:tcW w:w="14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27"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9,556</w:t>
            </w:r>
          </w:p>
        </w:tc>
        <w:tc>
          <w:tcPr>
            <w:tcW w:w="110" w:type="dxa"/>
            <w:tcBorders/>
            <w:shd w:fill="CCEEFF" w:val="clear"/>
            <w:vAlign w:val="bottom"/>
          </w:tcPr>
          <w:p>
            <w:pPr>
              <w:pStyle w:val="TableContents"/>
              <w:bidi w:val="0"/>
              <w:spacing w:before="0" w:after="283"/>
              <w:jc w:val="left"/>
              <w:rPr/>
            </w:pPr>
            <w:r>
              <w:rPr/>
              <w:t> </w:t>
            </w:r>
          </w:p>
        </w:tc>
      </w:tr>
      <w:tr>
        <w:trPr/>
        <w:tc>
          <w:tcPr>
            <w:tcW w:w="7115" w:type="dxa"/>
            <w:tcBorders/>
            <w:vAlign w:val="bottom"/>
          </w:tcPr>
          <w:p>
            <w:pPr>
              <w:pStyle w:val="TableContents"/>
              <w:bidi w:val="0"/>
              <w:spacing w:before="0" w:after="0"/>
              <w:ind w:left="288" w:right="0" w:hanging="144"/>
              <w:jc w:val="left"/>
              <w:rPr>
                <w:rFonts w:ascii="Times New Roman" w:hAnsi="Times New Roman"/>
                <w:b/>
                <w:color w:val="000000"/>
                <w:sz w:val="20"/>
              </w:rPr>
            </w:pPr>
            <w:r>
              <w:rPr>
                <w:rFonts w:ascii="Times New Roman" w:hAnsi="Times New Roman"/>
                <w:b/>
                <w:color w:val="000000"/>
                <w:sz w:val="20"/>
              </w:rPr>
              <w:t>Net cash provided by investing activities</w:t>
            </w:r>
          </w:p>
        </w:tc>
        <w:tc>
          <w:tcPr>
            <w:tcW w:w="60" w:type="dxa"/>
            <w:tcBorders/>
            <w:vAlign w:val="bottom"/>
          </w:tcPr>
          <w:p>
            <w:pPr>
              <w:pStyle w:val="TableContents"/>
              <w:bidi w:val="0"/>
              <w:spacing w:before="0" w:after="283"/>
              <w:jc w:val="right"/>
              <w:rPr/>
            </w:pPr>
            <w:r>
              <w:rPr/>
              <w:t> </w:t>
            </w:r>
          </w:p>
        </w:tc>
        <w:tc>
          <w:tcPr>
            <w:tcW w:w="143"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927"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142,948</w:t>
            </w:r>
          </w:p>
        </w:tc>
        <w:tc>
          <w:tcPr>
            <w:tcW w:w="97"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right"/>
              <w:rPr/>
            </w:pPr>
            <w:r>
              <w:rPr/>
              <w:t> </w:t>
            </w:r>
          </w:p>
        </w:tc>
        <w:tc>
          <w:tcPr>
            <w:tcW w:w="143"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927"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438</w:t>
            </w:r>
          </w:p>
        </w:tc>
        <w:tc>
          <w:tcPr>
            <w:tcW w:w="110" w:type="dxa"/>
            <w:tcBorders/>
            <w:vAlign w:val="bottom"/>
          </w:tcPr>
          <w:p>
            <w:pPr>
              <w:pStyle w:val="TableContents"/>
              <w:bidi w:val="0"/>
              <w:spacing w:before="0" w:after="283"/>
              <w:jc w:val="left"/>
              <w:rPr/>
            </w:pPr>
            <w:r>
              <w:rPr/>
              <w:t> </w:t>
            </w:r>
          </w:p>
        </w:tc>
      </w:tr>
      <w:tr>
        <w:trPr/>
        <w:tc>
          <w:tcPr>
            <w:tcW w:w="7115" w:type="dxa"/>
            <w:tcBorders/>
            <w:shd w:fill="CCEEFF" w:val="clear"/>
            <w:vAlign w:val="bottom"/>
          </w:tcPr>
          <w:p>
            <w:pPr>
              <w:pStyle w:val="TableContents"/>
              <w:bidi w:val="0"/>
              <w:spacing w:before="0" w:after="0"/>
              <w:ind w:left="144" w:right="0" w:hanging="144"/>
              <w:jc w:val="left"/>
              <w:rPr>
                <w:rFonts w:ascii="Times New Roman" w:hAnsi="Times New Roman"/>
                <w:b/>
                <w:sz w:val="20"/>
              </w:rPr>
            </w:pPr>
            <w:r>
              <w:rPr>
                <w:rFonts w:ascii="Times New Roman" w:hAnsi="Times New Roman"/>
                <w:b/>
                <w:sz w:val="20"/>
              </w:rPr>
              <w:t>Cash Flows From Financing Activities</w:t>
            </w:r>
          </w:p>
        </w:tc>
        <w:tc>
          <w:tcPr>
            <w:tcW w:w="60" w:type="dxa"/>
            <w:tcBorders/>
            <w:shd w:fill="CCEEFF" w:val="clear"/>
            <w:vAlign w:val="bottom"/>
          </w:tcPr>
          <w:p>
            <w:pPr>
              <w:pStyle w:val="TableContents"/>
              <w:bidi w:val="0"/>
              <w:spacing w:before="0" w:after="283"/>
              <w:jc w:val="right"/>
              <w:rPr/>
            </w:pPr>
            <w:r>
              <w:rPr/>
              <w:t> </w:t>
            </w:r>
          </w:p>
        </w:tc>
        <w:tc>
          <w:tcPr>
            <w:tcW w:w="143" w:type="dxa"/>
            <w:tcBorders/>
            <w:shd w:fill="CCEEFF" w:val="clear"/>
            <w:vAlign w:val="bottom"/>
          </w:tcPr>
          <w:p>
            <w:pPr>
              <w:pStyle w:val="TableContents"/>
              <w:bidi w:val="0"/>
              <w:spacing w:before="0" w:after="283"/>
              <w:jc w:val="left"/>
              <w:rPr/>
            </w:pPr>
            <w:r>
              <w:rPr/>
              <w:t> </w:t>
            </w:r>
          </w:p>
        </w:tc>
        <w:tc>
          <w:tcPr>
            <w:tcW w:w="927" w:type="dxa"/>
            <w:tcBorders/>
            <w:shd w:fill="CCEEFF" w:val="clear"/>
            <w:vAlign w:val="bottom"/>
          </w:tcPr>
          <w:p>
            <w:pPr>
              <w:pStyle w:val="TableContents"/>
              <w:bidi w:val="0"/>
              <w:spacing w:before="0" w:after="283"/>
              <w:jc w:val="right"/>
              <w:rPr/>
            </w:pPr>
            <w:r>
              <w:rPr/>
              <w:t> </w:t>
            </w:r>
          </w:p>
        </w:tc>
        <w:tc>
          <w:tcPr>
            <w:tcW w:w="97"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right"/>
              <w:rPr/>
            </w:pPr>
            <w:r>
              <w:rPr/>
              <w:t> </w:t>
            </w:r>
          </w:p>
        </w:tc>
        <w:tc>
          <w:tcPr>
            <w:tcW w:w="143" w:type="dxa"/>
            <w:tcBorders/>
            <w:shd w:fill="CCEEFF" w:val="clear"/>
            <w:vAlign w:val="bottom"/>
          </w:tcPr>
          <w:p>
            <w:pPr>
              <w:pStyle w:val="TableContents"/>
              <w:bidi w:val="0"/>
              <w:spacing w:before="0" w:after="283"/>
              <w:jc w:val="left"/>
              <w:rPr/>
            </w:pPr>
            <w:r>
              <w:rPr/>
              <w:t> </w:t>
            </w:r>
          </w:p>
        </w:tc>
        <w:tc>
          <w:tcPr>
            <w:tcW w:w="927"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r>
      <w:tr>
        <w:trPr/>
        <w:tc>
          <w:tcPr>
            <w:tcW w:w="7115" w:type="dxa"/>
            <w:tcBorders/>
            <w:vAlign w:val="bottom"/>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Borrowings under repurchase agreements</w:t>
            </w:r>
          </w:p>
        </w:tc>
        <w:tc>
          <w:tcPr>
            <w:tcW w:w="60" w:type="dxa"/>
            <w:tcBorders/>
            <w:vAlign w:val="bottom"/>
          </w:tcPr>
          <w:p>
            <w:pPr>
              <w:pStyle w:val="TableContents"/>
              <w:bidi w:val="0"/>
              <w:spacing w:before="0" w:after="283"/>
              <w:jc w:val="right"/>
              <w:rPr/>
            </w:pPr>
            <w:r>
              <w:rPr/>
              <w:t> </w:t>
            </w:r>
          </w:p>
        </w:tc>
        <w:tc>
          <w:tcPr>
            <w:tcW w:w="143" w:type="dxa"/>
            <w:tcBorders/>
            <w:vAlign w:val="bottom"/>
          </w:tcPr>
          <w:p>
            <w:pPr>
              <w:pStyle w:val="TableContents"/>
              <w:bidi w:val="0"/>
              <w:spacing w:before="0" w:after="283"/>
              <w:jc w:val="left"/>
              <w:rPr/>
            </w:pPr>
            <w:r>
              <w:rPr/>
              <w:t> </w:t>
            </w:r>
          </w:p>
        </w:tc>
        <w:tc>
          <w:tcPr>
            <w:tcW w:w="92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5,840,236</w:t>
            </w:r>
          </w:p>
        </w:tc>
        <w:tc>
          <w:tcPr>
            <w:tcW w:w="97"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right"/>
              <w:rPr/>
            </w:pPr>
            <w:r>
              <w:rPr/>
              <w:t> </w:t>
            </w:r>
          </w:p>
        </w:tc>
        <w:tc>
          <w:tcPr>
            <w:tcW w:w="143" w:type="dxa"/>
            <w:tcBorders/>
            <w:vAlign w:val="bottom"/>
          </w:tcPr>
          <w:p>
            <w:pPr>
              <w:pStyle w:val="TableContents"/>
              <w:bidi w:val="0"/>
              <w:spacing w:before="0" w:after="283"/>
              <w:jc w:val="left"/>
              <w:rPr/>
            </w:pPr>
            <w:r>
              <w:rPr/>
              <w:t> </w:t>
            </w:r>
          </w:p>
        </w:tc>
        <w:tc>
          <w:tcPr>
            <w:tcW w:w="92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5,392,822</w:t>
            </w:r>
          </w:p>
        </w:tc>
        <w:tc>
          <w:tcPr>
            <w:tcW w:w="110" w:type="dxa"/>
            <w:tcBorders/>
            <w:vAlign w:val="bottom"/>
          </w:tcPr>
          <w:p>
            <w:pPr>
              <w:pStyle w:val="TableContents"/>
              <w:bidi w:val="0"/>
              <w:spacing w:before="0" w:after="283"/>
              <w:jc w:val="left"/>
              <w:rPr/>
            </w:pPr>
            <w:r>
              <w:rPr/>
              <w:t> </w:t>
            </w:r>
          </w:p>
        </w:tc>
      </w:tr>
      <w:tr>
        <w:trPr/>
        <w:tc>
          <w:tcPr>
            <w:tcW w:w="7115" w:type="dxa"/>
            <w:tcBorders/>
            <w:shd w:fill="CCEEFF" w:val="clear"/>
            <w:vAlign w:val="bottom"/>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Repayments of repurchase agreements</w:t>
            </w:r>
          </w:p>
        </w:tc>
        <w:tc>
          <w:tcPr>
            <w:tcW w:w="60" w:type="dxa"/>
            <w:tcBorders/>
            <w:shd w:fill="CCEEFF" w:val="clear"/>
            <w:vAlign w:val="bottom"/>
          </w:tcPr>
          <w:p>
            <w:pPr>
              <w:pStyle w:val="TableContents"/>
              <w:bidi w:val="0"/>
              <w:spacing w:before="0" w:after="283"/>
              <w:jc w:val="right"/>
              <w:rPr/>
            </w:pPr>
            <w:r>
              <w:rPr/>
              <w:t> </w:t>
            </w:r>
          </w:p>
        </w:tc>
        <w:tc>
          <w:tcPr>
            <w:tcW w:w="143" w:type="dxa"/>
            <w:tcBorders/>
            <w:shd w:fill="CCEEFF" w:val="clear"/>
            <w:vAlign w:val="bottom"/>
          </w:tcPr>
          <w:p>
            <w:pPr>
              <w:pStyle w:val="TableContents"/>
              <w:bidi w:val="0"/>
              <w:spacing w:before="0" w:after="283"/>
              <w:jc w:val="left"/>
              <w:rPr/>
            </w:pPr>
            <w:r>
              <w:rPr/>
              <w:t> </w:t>
            </w:r>
          </w:p>
        </w:tc>
        <w:tc>
          <w:tcPr>
            <w:tcW w:w="92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(5,968,698</w:t>
            </w:r>
          </w:p>
        </w:tc>
        <w:tc>
          <w:tcPr>
            <w:tcW w:w="9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1" w:type="dxa"/>
            <w:tcBorders/>
            <w:shd w:fill="CCEEFF" w:val="clear"/>
            <w:vAlign w:val="bottom"/>
          </w:tcPr>
          <w:p>
            <w:pPr>
              <w:pStyle w:val="TableContents"/>
              <w:bidi w:val="0"/>
              <w:spacing w:before="0" w:after="283"/>
              <w:jc w:val="right"/>
              <w:rPr/>
            </w:pPr>
            <w:r>
              <w:rPr/>
              <w:t> </w:t>
            </w:r>
          </w:p>
        </w:tc>
        <w:tc>
          <w:tcPr>
            <w:tcW w:w="143" w:type="dxa"/>
            <w:tcBorders/>
            <w:shd w:fill="CCEEFF" w:val="clear"/>
            <w:vAlign w:val="bottom"/>
          </w:tcPr>
          <w:p>
            <w:pPr>
              <w:pStyle w:val="TableContents"/>
              <w:bidi w:val="0"/>
              <w:spacing w:before="0" w:after="283"/>
              <w:jc w:val="left"/>
              <w:rPr/>
            </w:pPr>
            <w:r>
              <w:rPr/>
              <w:t> </w:t>
            </w:r>
          </w:p>
        </w:tc>
        <w:tc>
          <w:tcPr>
            <w:tcW w:w="92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(5,397,785</w:t>
            </w:r>
          </w:p>
        </w:tc>
        <w:tc>
          <w:tcPr>
            <w:tcW w:w="11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7115" w:type="dxa"/>
            <w:tcBorders/>
            <w:vAlign w:val="bottom"/>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Proceeds from derivative financing</w:t>
            </w:r>
          </w:p>
        </w:tc>
        <w:tc>
          <w:tcPr>
            <w:tcW w:w="60" w:type="dxa"/>
            <w:tcBorders/>
            <w:vAlign w:val="bottom"/>
          </w:tcPr>
          <w:p>
            <w:pPr>
              <w:pStyle w:val="TableContents"/>
              <w:bidi w:val="0"/>
              <w:spacing w:before="0" w:after="283"/>
              <w:jc w:val="right"/>
              <w:rPr/>
            </w:pPr>
            <w:r>
              <w:rPr/>
              <w:t> </w:t>
            </w:r>
          </w:p>
        </w:tc>
        <w:tc>
          <w:tcPr>
            <w:tcW w:w="143" w:type="dxa"/>
            <w:tcBorders/>
            <w:vAlign w:val="bottom"/>
          </w:tcPr>
          <w:p>
            <w:pPr>
              <w:pStyle w:val="TableContents"/>
              <w:bidi w:val="0"/>
              <w:spacing w:before="0" w:after="283"/>
              <w:jc w:val="left"/>
              <w:rPr/>
            </w:pPr>
            <w:r>
              <w:rPr/>
              <w:t> </w:t>
            </w:r>
          </w:p>
        </w:tc>
        <w:tc>
          <w:tcPr>
            <w:tcW w:w="92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97"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right"/>
              <w:rPr/>
            </w:pPr>
            <w:r>
              <w:rPr/>
              <w:t> </w:t>
            </w:r>
          </w:p>
        </w:tc>
        <w:tc>
          <w:tcPr>
            <w:tcW w:w="143" w:type="dxa"/>
            <w:tcBorders/>
            <w:vAlign w:val="bottom"/>
          </w:tcPr>
          <w:p>
            <w:pPr>
              <w:pStyle w:val="TableContents"/>
              <w:bidi w:val="0"/>
              <w:spacing w:before="0" w:after="283"/>
              <w:jc w:val="left"/>
              <w:rPr/>
            </w:pPr>
            <w:r>
              <w:rPr/>
              <w:t> </w:t>
            </w:r>
          </w:p>
        </w:tc>
        <w:tc>
          <w:tcPr>
            <w:tcW w:w="92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(6,997</w:t>
            </w:r>
          </w:p>
        </w:tc>
        <w:tc>
          <w:tcPr>
            <w:tcW w:w="11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7115" w:type="dxa"/>
            <w:tcBorders/>
            <w:shd w:fill="CCEEFF" w:val="clear"/>
            <w:vAlign w:val="bottom"/>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Principal paydown of bank loans</w:t>
            </w:r>
          </w:p>
        </w:tc>
        <w:tc>
          <w:tcPr>
            <w:tcW w:w="60" w:type="dxa"/>
            <w:tcBorders/>
            <w:shd w:fill="CCEEFF" w:val="clear"/>
            <w:vAlign w:val="bottom"/>
          </w:tcPr>
          <w:p>
            <w:pPr>
              <w:pStyle w:val="TableContents"/>
              <w:bidi w:val="0"/>
              <w:spacing w:before="0" w:after="283"/>
              <w:jc w:val="right"/>
              <w:rPr/>
            </w:pPr>
            <w:r>
              <w:rPr/>
              <w:t> </w:t>
            </w:r>
          </w:p>
        </w:tc>
        <w:tc>
          <w:tcPr>
            <w:tcW w:w="143" w:type="dxa"/>
            <w:tcBorders/>
            <w:shd w:fill="CCEEFF" w:val="clear"/>
            <w:vAlign w:val="bottom"/>
          </w:tcPr>
          <w:p>
            <w:pPr>
              <w:pStyle w:val="TableContents"/>
              <w:bidi w:val="0"/>
              <w:spacing w:before="0" w:after="283"/>
              <w:jc w:val="left"/>
              <w:rPr/>
            </w:pPr>
            <w:r>
              <w:rPr/>
              <w:t> </w:t>
            </w:r>
          </w:p>
        </w:tc>
        <w:tc>
          <w:tcPr>
            <w:tcW w:w="927" w:type="dxa"/>
            <w:tcBorders/>
            <w:shd w:fill="CCEEFF" w:val="clear"/>
            <w:vAlign w:val="bottom"/>
          </w:tcPr>
          <w:p>
            <w:pPr>
              <w:pStyle w:val="TableContents"/>
              <w:bidi w:val="0"/>
              <w:spacing w:before="0" w:after="283"/>
              <w:jc w:val="right"/>
              <w:rPr/>
            </w:pPr>
            <w:r>
              <w:rPr/>
              <w:t>(4,750</w:t>
            </w:r>
          </w:p>
        </w:tc>
        <w:tc>
          <w:tcPr>
            <w:tcW w:w="97" w:type="dxa"/>
            <w:tcBorders/>
            <w:shd w:fill="CCEEFF" w:val="clear"/>
            <w:vAlign w:val="bottom"/>
          </w:tcPr>
          <w:p>
            <w:pPr>
              <w:pStyle w:val="TableContents"/>
              <w:bidi w:val="0"/>
              <w:spacing w:before="0" w:after="283"/>
              <w:jc w:val="left"/>
              <w:rPr/>
            </w:pPr>
            <w:r>
              <w:rPr/>
              <w:t>)</w:t>
            </w:r>
          </w:p>
        </w:tc>
        <w:tc>
          <w:tcPr>
            <w:tcW w:w="61" w:type="dxa"/>
            <w:tcBorders/>
            <w:shd w:fill="CCEEFF" w:val="clear"/>
            <w:vAlign w:val="bottom"/>
          </w:tcPr>
          <w:p>
            <w:pPr>
              <w:pStyle w:val="TableContents"/>
              <w:bidi w:val="0"/>
              <w:spacing w:before="0" w:after="283"/>
              <w:jc w:val="right"/>
              <w:rPr/>
            </w:pPr>
            <w:r>
              <w:rPr/>
              <w:t> </w:t>
            </w:r>
          </w:p>
        </w:tc>
        <w:tc>
          <w:tcPr>
            <w:tcW w:w="143" w:type="dxa"/>
            <w:tcBorders/>
            <w:shd w:fill="CCEEFF" w:val="clear"/>
            <w:vAlign w:val="bottom"/>
          </w:tcPr>
          <w:p>
            <w:pPr>
              <w:pStyle w:val="TableContents"/>
              <w:bidi w:val="0"/>
              <w:spacing w:before="0" w:after="283"/>
              <w:jc w:val="left"/>
              <w:rPr/>
            </w:pPr>
            <w:r>
              <w:rPr/>
              <w:t> </w:t>
            </w:r>
          </w:p>
        </w:tc>
        <w:tc>
          <w:tcPr>
            <w:tcW w:w="927" w:type="dxa"/>
            <w:tcBorders/>
            <w:shd w:fill="CCEEFF" w:val="clear"/>
            <w:vAlign w:val="bottom"/>
          </w:tcPr>
          <w:p>
            <w:pPr>
              <w:pStyle w:val="TableContents"/>
              <w:bidi w:val="0"/>
              <w:spacing w:before="0" w:after="283"/>
              <w:jc w:val="right"/>
              <w:rPr/>
            </w:pPr>
            <w:r>
              <w:rPr/>
              <w:t>(2,000</w:t>
            </w:r>
          </w:p>
        </w:tc>
        <w:tc>
          <w:tcPr>
            <w:tcW w:w="110" w:type="dxa"/>
            <w:tcBorders/>
            <w:shd w:fill="CCEEFF" w:val="clear"/>
            <w:vAlign w:val="bottom"/>
          </w:tcPr>
          <w:p>
            <w:pPr>
              <w:pStyle w:val="TableContents"/>
              <w:bidi w:val="0"/>
              <w:spacing w:before="0" w:after="283"/>
              <w:jc w:val="left"/>
              <w:rPr/>
            </w:pPr>
            <w:r>
              <w:rPr/>
              <w:t>)</w:t>
            </w:r>
          </w:p>
        </w:tc>
      </w:tr>
      <w:tr>
        <w:trPr/>
        <w:tc>
          <w:tcPr>
            <w:tcW w:w="7115" w:type="dxa"/>
            <w:tcBorders/>
            <w:vAlign w:val="bottom"/>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Dividends paid</w:t>
            </w:r>
          </w:p>
        </w:tc>
        <w:tc>
          <w:tcPr>
            <w:tcW w:w="60" w:type="dxa"/>
            <w:tcBorders/>
            <w:vAlign w:val="bottom"/>
          </w:tcPr>
          <w:p>
            <w:pPr>
              <w:pStyle w:val="TableContents"/>
              <w:bidi w:val="0"/>
              <w:spacing w:before="0" w:after="283"/>
              <w:jc w:val="right"/>
              <w:rPr/>
            </w:pPr>
            <w:r>
              <w:rPr/>
              <w:t> </w:t>
            </w:r>
          </w:p>
        </w:tc>
        <w:tc>
          <w:tcPr>
            <w:tcW w:w="143" w:type="dxa"/>
            <w:tcBorders/>
            <w:vAlign w:val="bottom"/>
          </w:tcPr>
          <w:p>
            <w:pPr>
              <w:pStyle w:val="TableContents"/>
              <w:bidi w:val="0"/>
              <w:spacing w:before="0" w:after="283"/>
              <w:jc w:val="left"/>
              <w:rPr/>
            </w:pPr>
            <w:r>
              <w:rPr/>
              <w:t> </w:t>
            </w:r>
          </w:p>
        </w:tc>
        <w:tc>
          <w:tcPr>
            <w:tcW w:w="92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(12,235</w:t>
            </w:r>
          </w:p>
        </w:tc>
        <w:tc>
          <w:tcPr>
            <w:tcW w:w="9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1" w:type="dxa"/>
            <w:tcBorders/>
            <w:vAlign w:val="bottom"/>
          </w:tcPr>
          <w:p>
            <w:pPr>
              <w:pStyle w:val="TableContents"/>
              <w:bidi w:val="0"/>
              <w:spacing w:before="0" w:after="283"/>
              <w:jc w:val="right"/>
              <w:rPr/>
            </w:pPr>
            <w:r>
              <w:rPr/>
              <w:t> </w:t>
            </w:r>
          </w:p>
        </w:tc>
        <w:tc>
          <w:tcPr>
            <w:tcW w:w="143" w:type="dxa"/>
            <w:tcBorders/>
            <w:vAlign w:val="bottom"/>
          </w:tcPr>
          <w:p>
            <w:pPr>
              <w:pStyle w:val="TableContents"/>
              <w:bidi w:val="0"/>
              <w:spacing w:before="0" w:after="283"/>
              <w:jc w:val="left"/>
              <w:rPr/>
            </w:pPr>
            <w:r>
              <w:rPr/>
              <w:t> </w:t>
            </w:r>
          </w:p>
        </w:tc>
        <w:tc>
          <w:tcPr>
            <w:tcW w:w="92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(14,634</w:t>
            </w:r>
          </w:p>
        </w:tc>
        <w:tc>
          <w:tcPr>
            <w:tcW w:w="11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7115" w:type="dxa"/>
            <w:tcBorders/>
            <w:shd w:fill="CCEEFF" w:val="clear"/>
            <w:vAlign w:val="bottom"/>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LTIP-OP Units distributions paid</w:t>
            </w:r>
          </w:p>
        </w:tc>
        <w:tc>
          <w:tcPr>
            <w:tcW w:w="60" w:type="dxa"/>
            <w:tcBorders/>
            <w:shd w:fill="CCEEFF" w:val="clear"/>
            <w:vAlign w:val="bottom"/>
          </w:tcPr>
          <w:p>
            <w:pPr>
              <w:pStyle w:val="TableContents"/>
              <w:bidi w:val="0"/>
              <w:spacing w:before="0" w:after="283"/>
              <w:jc w:val="right"/>
              <w:rPr/>
            </w:pPr>
            <w:r>
              <w:rPr/>
              <w:t> </w:t>
            </w:r>
          </w:p>
        </w:tc>
        <w:tc>
          <w:tcPr>
            <w:tcW w:w="143" w:type="dxa"/>
            <w:tcBorders/>
            <w:shd w:fill="CCEEFF" w:val="clear"/>
            <w:vAlign w:val="bottom"/>
          </w:tcPr>
          <w:p>
            <w:pPr>
              <w:pStyle w:val="TableContents"/>
              <w:bidi w:val="0"/>
              <w:spacing w:before="0" w:after="283"/>
              <w:jc w:val="left"/>
              <w:rPr/>
            </w:pPr>
            <w:r>
              <w:rPr/>
              <w:t> </w:t>
            </w:r>
          </w:p>
        </w:tc>
        <w:tc>
          <w:tcPr>
            <w:tcW w:w="92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(106</w:t>
            </w:r>
          </w:p>
        </w:tc>
        <w:tc>
          <w:tcPr>
            <w:tcW w:w="9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1" w:type="dxa"/>
            <w:tcBorders/>
            <w:shd w:fill="CCEEFF" w:val="clear"/>
            <w:vAlign w:val="bottom"/>
          </w:tcPr>
          <w:p>
            <w:pPr>
              <w:pStyle w:val="TableContents"/>
              <w:bidi w:val="0"/>
              <w:spacing w:before="0" w:after="283"/>
              <w:jc w:val="right"/>
              <w:rPr/>
            </w:pPr>
            <w:r>
              <w:rPr/>
              <w:t> </w:t>
            </w:r>
          </w:p>
        </w:tc>
        <w:tc>
          <w:tcPr>
            <w:tcW w:w="143" w:type="dxa"/>
            <w:tcBorders/>
            <w:shd w:fill="CCEEFF" w:val="clear"/>
            <w:vAlign w:val="bottom"/>
          </w:tcPr>
          <w:p>
            <w:pPr>
              <w:pStyle w:val="TableContents"/>
              <w:bidi w:val="0"/>
              <w:spacing w:before="0" w:after="283"/>
              <w:jc w:val="left"/>
              <w:rPr/>
            </w:pPr>
            <w:r>
              <w:rPr/>
              <w:t> </w:t>
            </w:r>
          </w:p>
        </w:tc>
        <w:tc>
          <w:tcPr>
            <w:tcW w:w="92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(180</w:t>
            </w:r>
          </w:p>
        </w:tc>
        <w:tc>
          <w:tcPr>
            <w:tcW w:w="11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7115" w:type="dxa"/>
            <w:tcBorders/>
            <w:vAlign w:val="bottom"/>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Redemption of OP units</w:t>
            </w:r>
          </w:p>
        </w:tc>
        <w:tc>
          <w:tcPr>
            <w:tcW w:w="60" w:type="dxa"/>
            <w:tcBorders/>
            <w:vAlign w:val="bottom"/>
          </w:tcPr>
          <w:p>
            <w:pPr>
              <w:pStyle w:val="TableContents"/>
              <w:bidi w:val="0"/>
              <w:spacing w:before="0" w:after="283"/>
              <w:jc w:val="right"/>
              <w:rPr/>
            </w:pPr>
            <w:r>
              <w:rPr/>
              <w:t> </w:t>
            </w:r>
          </w:p>
        </w:tc>
        <w:tc>
          <w:tcPr>
            <w:tcW w:w="143" w:type="dxa"/>
            <w:tcBorders/>
            <w:vAlign w:val="bottom"/>
          </w:tcPr>
          <w:p>
            <w:pPr>
              <w:pStyle w:val="TableContents"/>
              <w:bidi w:val="0"/>
              <w:spacing w:before="0" w:after="283"/>
              <w:jc w:val="left"/>
              <w:rPr/>
            </w:pPr>
            <w:r>
              <w:rPr/>
              <w:t> </w:t>
            </w:r>
          </w:p>
        </w:tc>
        <w:tc>
          <w:tcPr>
            <w:tcW w:w="927" w:type="dxa"/>
            <w:tcBorders/>
            <w:vAlign w:val="bottom"/>
          </w:tcPr>
          <w:p>
            <w:pPr>
              <w:pStyle w:val="TableContents"/>
              <w:bidi w:val="0"/>
              <w:spacing w:before="0" w:after="283"/>
              <w:jc w:val="right"/>
              <w:rPr/>
            </w:pPr>
            <w:r>
              <w:rPr/>
              <w:t>-</w:t>
            </w:r>
          </w:p>
        </w:tc>
        <w:tc>
          <w:tcPr>
            <w:tcW w:w="97"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right"/>
              <w:rPr/>
            </w:pPr>
            <w:r>
              <w:rPr/>
              <w:t> </w:t>
            </w:r>
          </w:p>
        </w:tc>
        <w:tc>
          <w:tcPr>
            <w:tcW w:w="143" w:type="dxa"/>
            <w:tcBorders/>
            <w:vAlign w:val="bottom"/>
          </w:tcPr>
          <w:p>
            <w:pPr>
              <w:pStyle w:val="TableContents"/>
              <w:bidi w:val="0"/>
              <w:spacing w:before="0" w:after="283"/>
              <w:jc w:val="left"/>
              <w:rPr/>
            </w:pPr>
            <w:r>
              <w:rPr/>
              <w:t> </w:t>
            </w:r>
          </w:p>
        </w:tc>
        <w:tc>
          <w:tcPr>
            <w:tcW w:w="927" w:type="dxa"/>
            <w:tcBorders/>
            <w:vAlign w:val="bottom"/>
          </w:tcPr>
          <w:p>
            <w:pPr>
              <w:pStyle w:val="TableContents"/>
              <w:bidi w:val="0"/>
              <w:spacing w:before="0" w:after="283"/>
              <w:jc w:val="right"/>
              <w:rPr/>
            </w:pPr>
            <w:r>
              <w:rPr/>
              <w:t>(102</w:t>
            </w:r>
          </w:p>
        </w:tc>
        <w:tc>
          <w:tcPr>
            <w:tcW w:w="110" w:type="dxa"/>
            <w:tcBorders/>
            <w:vAlign w:val="bottom"/>
          </w:tcPr>
          <w:p>
            <w:pPr>
              <w:pStyle w:val="TableContents"/>
              <w:bidi w:val="0"/>
              <w:spacing w:before="0" w:after="283"/>
              <w:jc w:val="left"/>
              <w:rPr/>
            </w:pPr>
            <w:r>
              <w:rPr/>
              <w:t>)</w:t>
            </w:r>
          </w:p>
        </w:tc>
      </w:tr>
      <w:tr>
        <w:trPr/>
        <w:tc>
          <w:tcPr>
            <w:tcW w:w="7115" w:type="dxa"/>
            <w:tcBorders/>
            <w:shd w:fill="CCEEFF" w:val="clear"/>
            <w:vAlign w:val="bottom"/>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Issuance of common stock, net of offering costs</w:t>
            </w:r>
          </w:p>
        </w:tc>
        <w:tc>
          <w:tcPr>
            <w:tcW w:w="60" w:type="dxa"/>
            <w:tcBorders/>
            <w:shd w:fill="CCEEFF" w:val="clear"/>
            <w:vAlign w:val="bottom"/>
          </w:tcPr>
          <w:p>
            <w:pPr>
              <w:pStyle w:val="TableContents"/>
              <w:bidi w:val="0"/>
              <w:spacing w:before="0" w:after="283"/>
              <w:jc w:val="right"/>
              <w:rPr/>
            </w:pPr>
            <w:r>
              <w:rPr/>
              <w:t> </w:t>
            </w:r>
          </w:p>
        </w:tc>
        <w:tc>
          <w:tcPr>
            <w:tcW w:w="14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27"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378</w:t>
            </w:r>
          </w:p>
        </w:tc>
        <w:tc>
          <w:tcPr>
            <w:tcW w:w="97"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right"/>
              <w:rPr/>
            </w:pPr>
            <w:r>
              <w:rPr/>
              <w:t> </w:t>
            </w:r>
          </w:p>
        </w:tc>
        <w:tc>
          <w:tcPr>
            <w:tcW w:w="14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27"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12,541</w:t>
            </w:r>
          </w:p>
        </w:tc>
        <w:tc>
          <w:tcPr>
            <w:tcW w:w="110" w:type="dxa"/>
            <w:tcBorders/>
            <w:shd w:fill="CCEEFF" w:val="clear"/>
            <w:vAlign w:val="bottom"/>
          </w:tcPr>
          <w:p>
            <w:pPr>
              <w:pStyle w:val="TableContents"/>
              <w:bidi w:val="0"/>
              <w:spacing w:before="0" w:after="283"/>
              <w:jc w:val="left"/>
              <w:rPr/>
            </w:pPr>
            <w:r>
              <w:rPr/>
              <w:t> </w:t>
            </w:r>
          </w:p>
        </w:tc>
      </w:tr>
      <w:tr>
        <w:trPr/>
        <w:tc>
          <w:tcPr>
            <w:tcW w:w="7115" w:type="dxa"/>
            <w:tcBorders/>
            <w:vAlign w:val="bottom"/>
          </w:tcPr>
          <w:p>
            <w:pPr>
              <w:pStyle w:val="TableContents"/>
              <w:bidi w:val="0"/>
              <w:spacing w:before="0" w:after="0"/>
              <w:ind w:left="360" w:right="0" w:hanging="180"/>
              <w:jc w:val="left"/>
              <w:rPr>
                <w:rFonts w:ascii="Times New Roman" w:hAnsi="Times New Roman"/>
                <w:b/>
                <w:color w:val="000000"/>
                <w:sz w:val="20"/>
              </w:rPr>
            </w:pPr>
            <w:r>
              <w:rPr>
                <w:rFonts w:ascii="Times New Roman" w:hAnsi="Times New Roman"/>
                <w:b/>
                <w:color w:val="000000"/>
                <w:sz w:val="20"/>
              </w:rPr>
              <w:t>Net cash used in financing activities</w:t>
            </w:r>
          </w:p>
        </w:tc>
        <w:tc>
          <w:tcPr>
            <w:tcW w:w="60" w:type="dxa"/>
            <w:tcBorders/>
            <w:vAlign w:val="bottom"/>
          </w:tcPr>
          <w:p>
            <w:pPr>
              <w:pStyle w:val="TableContents"/>
              <w:bidi w:val="0"/>
              <w:spacing w:before="0" w:after="283"/>
              <w:jc w:val="right"/>
              <w:rPr/>
            </w:pPr>
            <w:r>
              <w:rPr/>
              <w:t> </w:t>
            </w:r>
          </w:p>
        </w:tc>
        <w:tc>
          <w:tcPr>
            <w:tcW w:w="143"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927"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(145,175</w:t>
            </w:r>
          </w:p>
        </w:tc>
        <w:tc>
          <w:tcPr>
            <w:tcW w:w="97"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1" w:type="dxa"/>
            <w:tcBorders/>
            <w:vAlign w:val="bottom"/>
          </w:tcPr>
          <w:p>
            <w:pPr>
              <w:pStyle w:val="TableContents"/>
              <w:bidi w:val="0"/>
              <w:spacing w:before="0" w:after="283"/>
              <w:jc w:val="right"/>
              <w:rPr/>
            </w:pPr>
            <w:r>
              <w:rPr/>
              <w:t> </w:t>
            </w:r>
          </w:p>
        </w:tc>
        <w:tc>
          <w:tcPr>
            <w:tcW w:w="143"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927"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(16,335</w:t>
            </w:r>
          </w:p>
        </w:tc>
        <w:tc>
          <w:tcPr>
            <w:tcW w:w="11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r>
      <w:tr>
        <w:trPr/>
        <w:tc>
          <w:tcPr>
            <w:tcW w:w="7115" w:type="dxa"/>
            <w:tcBorders/>
            <w:shd w:fill="CCEEFF" w:val="clear"/>
            <w:vAlign w:val="bottom"/>
          </w:tcPr>
          <w:p>
            <w:pPr>
              <w:pStyle w:val="TableContents"/>
              <w:bidi w:val="0"/>
              <w:spacing w:before="0" w:after="0"/>
              <w:ind w:left="144" w:right="0" w:hanging="144"/>
              <w:jc w:val="left"/>
              <w:rPr>
                <w:rFonts w:ascii="Times New Roman" w:hAnsi="Times New Roman"/>
                <w:b/>
                <w:color w:val="000000"/>
                <w:sz w:val="20"/>
              </w:rPr>
            </w:pPr>
            <w:r>
              <w:rPr>
                <w:rFonts w:ascii="Times New Roman" w:hAnsi="Times New Roman"/>
                <w:b/>
                <w:color w:val="000000"/>
                <w:sz w:val="20"/>
              </w:rPr>
              <w:t>Net Increase (Decrease) in Cash, Cash Equivalents and Restricted Cash</w:t>
            </w:r>
          </w:p>
        </w:tc>
        <w:tc>
          <w:tcPr>
            <w:tcW w:w="60" w:type="dxa"/>
            <w:tcBorders/>
            <w:shd w:fill="CCEEFF" w:val="clear"/>
            <w:vAlign w:val="bottom"/>
          </w:tcPr>
          <w:p>
            <w:pPr>
              <w:pStyle w:val="TableContents"/>
              <w:bidi w:val="0"/>
              <w:spacing w:before="0" w:after="283"/>
              <w:jc w:val="right"/>
              <w:rPr/>
            </w:pPr>
            <w:r>
              <w:rPr/>
              <w:t> </w:t>
            </w:r>
          </w:p>
        </w:tc>
        <w:tc>
          <w:tcPr>
            <w:tcW w:w="143"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927"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15,027</w:t>
            </w:r>
          </w:p>
        </w:tc>
        <w:tc>
          <w:tcPr>
            <w:tcW w:w="97"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right"/>
              <w:rPr/>
            </w:pPr>
            <w:r>
              <w:rPr/>
              <w:t> </w:t>
            </w:r>
          </w:p>
        </w:tc>
        <w:tc>
          <w:tcPr>
            <w:tcW w:w="143"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927"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(2,764</w:t>
            </w:r>
          </w:p>
        </w:tc>
        <w:tc>
          <w:tcPr>
            <w:tcW w:w="11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r>
      <w:tr>
        <w:trPr/>
        <w:tc>
          <w:tcPr>
            <w:tcW w:w="7115" w:type="dxa"/>
            <w:tcBorders/>
            <w:vAlign w:val="bottom"/>
          </w:tcPr>
          <w:p>
            <w:pPr>
              <w:pStyle w:val="TableContents"/>
              <w:bidi w:val="0"/>
              <w:spacing w:before="0" w:after="0"/>
              <w:ind w:left="144" w:right="0" w:hanging="144"/>
              <w:jc w:val="left"/>
              <w:rPr>
                <w:rFonts w:ascii="Times New Roman" w:hAnsi="Times New Roman"/>
                <w:b/>
                <w:sz w:val="20"/>
              </w:rPr>
            </w:pPr>
            <w:r>
              <w:rPr>
                <w:rFonts w:ascii="Times New Roman" w:hAnsi="Times New Roman"/>
                <w:b/>
                <w:sz w:val="20"/>
              </w:rPr>
              <w:t>Cash, Cash Equivalents and Restricted Cash, Beginning of Period</w:t>
            </w:r>
          </w:p>
        </w:tc>
        <w:tc>
          <w:tcPr>
            <w:tcW w:w="60" w:type="dxa"/>
            <w:tcBorders/>
            <w:vAlign w:val="bottom"/>
          </w:tcPr>
          <w:p>
            <w:pPr>
              <w:pStyle w:val="TableContents"/>
              <w:bidi w:val="0"/>
              <w:spacing w:before="0" w:after="283"/>
              <w:jc w:val="right"/>
              <w:rPr/>
            </w:pPr>
            <w:r>
              <w:rPr/>
              <w:t> </w:t>
            </w:r>
          </w:p>
        </w:tc>
        <w:tc>
          <w:tcPr>
            <w:tcW w:w="143" w:type="dxa"/>
            <w:tcBorders>
              <w:bottom w:val="single" w:sz="12" w:space="0" w:color="000000"/>
            </w:tcBorders>
            <w:tcMar>
              <w:bottom w:w="28" w:type="dxa"/>
            </w:tcMar>
            <w:vAlign w:val="bottom"/>
          </w:tcPr>
          <w:p>
            <w:pPr>
              <w:pStyle w:val="TableContents"/>
              <w:bidi w:val="0"/>
              <w:spacing w:before="0" w:after="283"/>
              <w:jc w:val="left"/>
              <w:rPr/>
            </w:pPr>
            <w:r>
              <w:rPr/>
              <w:t> </w:t>
            </w:r>
          </w:p>
        </w:tc>
        <w:tc>
          <w:tcPr>
            <w:tcW w:w="927"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62,469</w:t>
            </w:r>
          </w:p>
        </w:tc>
        <w:tc>
          <w:tcPr>
            <w:tcW w:w="97"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right"/>
              <w:rPr/>
            </w:pPr>
            <w:r>
              <w:rPr/>
              <w:t> </w:t>
            </w:r>
          </w:p>
        </w:tc>
        <w:tc>
          <w:tcPr>
            <w:tcW w:w="143" w:type="dxa"/>
            <w:tcBorders>
              <w:bottom w:val="single" w:sz="12" w:space="0" w:color="000000"/>
            </w:tcBorders>
            <w:tcMar>
              <w:bottom w:w="28" w:type="dxa"/>
            </w:tcMar>
            <w:vAlign w:val="bottom"/>
          </w:tcPr>
          <w:p>
            <w:pPr>
              <w:pStyle w:val="TableContents"/>
              <w:bidi w:val="0"/>
              <w:spacing w:before="0" w:after="283"/>
              <w:jc w:val="left"/>
              <w:rPr/>
            </w:pPr>
            <w:r>
              <w:rPr/>
              <w:t> </w:t>
            </w:r>
          </w:p>
        </w:tc>
        <w:tc>
          <w:tcPr>
            <w:tcW w:w="927"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70,759</w:t>
            </w:r>
          </w:p>
        </w:tc>
        <w:tc>
          <w:tcPr>
            <w:tcW w:w="110" w:type="dxa"/>
            <w:tcBorders/>
            <w:vAlign w:val="bottom"/>
          </w:tcPr>
          <w:p>
            <w:pPr>
              <w:pStyle w:val="TableContents"/>
              <w:bidi w:val="0"/>
              <w:spacing w:before="0" w:after="283"/>
              <w:jc w:val="left"/>
              <w:rPr/>
            </w:pPr>
            <w:r>
              <w:rPr/>
              <w:t> </w:t>
            </w:r>
          </w:p>
        </w:tc>
      </w:tr>
      <w:tr>
        <w:trPr/>
        <w:tc>
          <w:tcPr>
            <w:tcW w:w="7115" w:type="dxa"/>
            <w:tcBorders/>
            <w:shd w:fill="CCEEFF" w:val="clear"/>
            <w:vAlign w:val="bottom"/>
          </w:tcPr>
          <w:p>
            <w:pPr>
              <w:pStyle w:val="TableContents"/>
              <w:bidi w:val="0"/>
              <w:spacing w:before="0" w:after="0"/>
              <w:ind w:left="144" w:right="0" w:hanging="144"/>
              <w:jc w:val="left"/>
              <w:rPr>
                <w:rFonts w:ascii="Times New Roman" w:hAnsi="Times New Roman"/>
                <w:b/>
                <w:sz w:val="20"/>
              </w:rPr>
            </w:pPr>
            <w:r>
              <w:rPr>
                <w:rFonts w:ascii="Times New Roman" w:hAnsi="Times New Roman"/>
                <w:b/>
                <w:sz w:val="20"/>
              </w:rPr>
              <w:t>Cash, Cash Equivalents and Restricted Cash, End of Period</w:t>
            </w:r>
          </w:p>
        </w:tc>
        <w:tc>
          <w:tcPr>
            <w:tcW w:w="60" w:type="dxa"/>
            <w:tcBorders/>
            <w:shd w:fill="CCEEFF" w:val="clear"/>
            <w:vAlign w:val="bottom"/>
          </w:tcPr>
          <w:p>
            <w:pPr>
              <w:pStyle w:val="TableContents"/>
              <w:bidi w:val="0"/>
              <w:spacing w:before="0" w:after="283"/>
              <w:jc w:val="right"/>
              <w:rPr/>
            </w:pPr>
            <w:r>
              <w:rPr/>
              <w:t> </w:t>
            </w:r>
          </w:p>
        </w:tc>
        <w:tc>
          <w:tcPr>
            <w:tcW w:w="143"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927"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77,496</w:t>
            </w:r>
          </w:p>
        </w:tc>
        <w:tc>
          <w:tcPr>
            <w:tcW w:w="97"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right"/>
              <w:rPr/>
            </w:pPr>
            <w:r>
              <w:rPr/>
              <w:t> </w:t>
            </w:r>
          </w:p>
        </w:tc>
        <w:tc>
          <w:tcPr>
            <w:tcW w:w="143"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927"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67,995</w:t>
            </w:r>
          </w:p>
        </w:tc>
        <w:tc>
          <w:tcPr>
            <w:tcW w:w="110" w:type="dxa"/>
            <w:tcBorders/>
            <w:shd w:fill="CCEEFF" w:val="clear"/>
            <w:vAlign w:val="bottom"/>
          </w:tcPr>
          <w:p>
            <w:pPr>
              <w:pStyle w:val="TableContents"/>
              <w:bidi w:val="0"/>
              <w:spacing w:before="0" w:after="283"/>
              <w:jc w:val="left"/>
              <w:rPr/>
            </w:pPr>
            <w:r>
              <w:rPr/>
              <w:t> </w:t>
            </w:r>
          </w:p>
        </w:tc>
      </w:tr>
      <w:tr>
        <w:trPr/>
        <w:tc>
          <w:tcPr>
            <w:tcW w:w="71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3" w:type="dxa"/>
            <w:tcBorders/>
            <w:vAlign w:val="bottom"/>
          </w:tcPr>
          <w:p>
            <w:pPr>
              <w:pStyle w:val="TableContents"/>
              <w:bidi w:val="0"/>
              <w:spacing w:before="0" w:after="283"/>
              <w:jc w:val="left"/>
              <w:rPr/>
            </w:pPr>
            <w:r>
              <w:rPr/>
              <w:t> </w:t>
            </w:r>
          </w:p>
        </w:tc>
        <w:tc>
          <w:tcPr>
            <w:tcW w:w="927" w:type="dxa"/>
            <w:tcBorders/>
            <w:vAlign w:val="bottom"/>
          </w:tcPr>
          <w:p>
            <w:pPr>
              <w:pStyle w:val="TableContents"/>
              <w:bidi w:val="0"/>
              <w:spacing w:before="0" w:after="283"/>
              <w:jc w:val="right"/>
              <w:rPr/>
            </w:pPr>
            <w:r>
              <w:rPr/>
              <w:t> </w:t>
            </w:r>
          </w:p>
        </w:tc>
        <w:tc>
          <w:tcPr>
            <w:tcW w:w="97"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right"/>
              <w:rPr/>
            </w:pPr>
            <w:r>
              <w:rPr/>
              <w:t> </w:t>
            </w:r>
          </w:p>
        </w:tc>
        <w:tc>
          <w:tcPr>
            <w:tcW w:w="143" w:type="dxa"/>
            <w:tcBorders/>
            <w:vAlign w:val="bottom"/>
          </w:tcPr>
          <w:p>
            <w:pPr>
              <w:pStyle w:val="TableContents"/>
              <w:bidi w:val="0"/>
              <w:spacing w:before="0" w:after="283"/>
              <w:jc w:val="left"/>
              <w:rPr/>
            </w:pPr>
            <w:r>
              <w:rPr/>
              <w:t> </w:t>
            </w:r>
          </w:p>
        </w:tc>
        <w:tc>
          <w:tcPr>
            <w:tcW w:w="927"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r>
      <w:tr>
        <w:trPr/>
        <w:tc>
          <w:tcPr>
            <w:tcW w:w="7115" w:type="dxa"/>
            <w:tcBorders/>
            <w:shd w:fill="CCEEFF" w:val="clear"/>
            <w:vAlign w:val="bottom"/>
          </w:tcPr>
          <w:p>
            <w:pPr>
              <w:pStyle w:val="TableContents"/>
              <w:bidi w:val="0"/>
              <w:spacing w:before="0" w:after="283"/>
              <w:jc w:val="left"/>
              <w:rPr>
                <w:b/>
              </w:rPr>
            </w:pPr>
            <w:r>
              <w:rPr>
                <w:b/>
              </w:rPr>
              <w:t xml:space="preserve">Reconciliation of cash and cash equivalents and restricted cash </w:t>
            </w:r>
          </w:p>
        </w:tc>
        <w:tc>
          <w:tcPr>
            <w:tcW w:w="60" w:type="dxa"/>
            <w:tcBorders/>
            <w:shd w:fill="CCEEFF" w:val="clear"/>
            <w:vAlign w:val="bottom"/>
          </w:tcPr>
          <w:p>
            <w:pPr>
              <w:pStyle w:val="TableContents"/>
              <w:bidi w:val="0"/>
              <w:spacing w:before="0" w:after="283"/>
              <w:jc w:val="right"/>
              <w:rPr/>
            </w:pPr>
            <w:r>
              <w:rPr/>
              <w:t> </w:t>
            </w:r>
          </w:p>
        </w:tc>
        <w:tc>
          <w:tcPr>
            <w:tcW w:w="143" w:type="dxa"/>
            <w:tcBorders/>
            <w:shd w:fill="CCEEFF" w:val="clear"/>
            <w:vAlign w:val="bottom"/>
          </w:tcPr>
          <w:p>
            <w:pPr>
              <w:pStyle w:val="TableContents"/>
              <w:bidi w:val="0"/>
              <w:spacing w:before="0" w:after="283"/>
              <w:jc w:val="left"/>
              <w:rPr/>
            </w:pPr>
            <w:r>
              <w:rPr/>
              <w:t> </w:t>
            </w:r>
          </w:p>
        </w:tc>
        <w:tc>
          <w:tcPr>
            <w:tcW w:w="927" w:type="dxa"/>
            <w:tcBorders/>
            <w:shd w:fill="CCEEFF" w:val="clear"/>
            <w:vAlign w:val="bottom"/>
          </w:tcPr>
          <w:p>
            <w:pPr>
              <w:pStyle w:val="TableContents"/>
              <w:bidi w:val="0"/>
              <w:spacing w:before="0" w:after="283"/>
              <w:jc w:val="right"/>
              <w:rPr/>
            </w:pPr>
            <w:r>
              <w:rPr/>
              <w:t> </w:t>
            </w:r>
          </w:p>
        </w:tc>
        <w:tc>
          <w:tcPr>
            <w:tcW w:w="97"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right"/>
              <w:rPr/>
            </w:pPr>
            <w:r>
              <w:rPr/>
              <w:t> </w:t>
            </w:r>
          </w:p>
        </w:tc>
        <w:tc>
          <w:tcPr>
            <w:tcW w:w="143" w:type="dxa"/>
            <w:tcBorders/>
            <w:shd w:fill="CCEEFF" w:val="clear"/>
            <w:vAlign w:val="bottom"/>
          </w:tcPr>
          <w:p>
            <w:pPr>
              <w:pStyle w:val="TableContents"/>
              <w:bidi w:val="0"/>
              <w:spacing w:before="0" w:after="283"/>
              <w:jc w:val="left"/>
              <w:rPr/>
            </w:pPr>
            <w:r>
              <w:rPr/>
              <w:t> </w:t>
            </w:r>
          </w:p>
        </w:tc>
        <w:tc>
          <w:tcPr>
            <w:tcW w:w="927"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r>
      <w:tr>
        <w:trPr/>
        <w:tc>
          <w:tcPr>
            <w:tcW w:w="7115" w:type="dxa"/>
            <w:tcBorders/>
            <w:vAlign w:val="bottom"/>
          </w:tcPr>
          <w:p>
            <w:pPr>
              <w:pStyle w:val="TableContents"/>
              <w:bidi w:val="0"/>
              <w:spacing w:before="0" w:after="0"/>
              <w:ind w:left="0" w:right="0" w:firstLine="144"/>
              <w:jc w:val="left"/>
              <w:rPr/>
            </w:pPr>
            <w:r>
              <w:rPr/>
              <w:t xml:space="preserve">Cash and cash equivalents </w:t>
            </w:r>
          </w:p>
        </w:tc>
        <w:tc>
          <w:tcPr>
            <w:tcW w:w="60" w:type="dxa"/>
            <w:tcBorders/>
            <w:vAlign w:val="bottom"/>
          </w:tcPr>
          <w:p>
            <w:pPr>
              <w:pStyle w:val="TableContents"/>
              <w:bidi w:val="0"/>
              <w:spacing w:before="0" w:after="283"/>
              <w:jc w:val="right"/>
              <w:rPr/>
            </w:pPr>
            <w:r>
              <w:rPr/>
              <w:t> </w:t>
            </w:r>
          </w:p>
        </w:tc>
        <w:tc>
          <w:tcPr>
            <w:tcW w:w="143" w:type="dxa"/>
            <w:tcBorders/>
            <w:vAlign w:val="bottom"/>
          </w:tcPr>
          <w:p>
            <w:pPr>
              <w:pStyle w:val="TableContents"/>
              <w:bidi w:val="0"/>
              <w:spacing w:before="0" w:after="283"/>
              <w:jc w:val="left"/>
              <w:rPr/>
            </w:pPr>
            <w:r>
              <w:rPr/>
              <w:t>$</w:t>
            </w:r>
          </w:p>
        </w:tc>
        <w:tc>
          <w:tcPr>
            <w:tcW w:w="927" w:type="dxa"/>
            <w:tcBorders/>
            <w:vAlign w:val="bottom"/>
          </w:tcPr>
          <w:p>
            <w:pPr>
              <w:pStyle w:val="TableContents"/>
              <w:bidi w:val="0"/>
              <w:spacing w:before="0" w:after="283"/>
              <w:jc w:val="right"/>
              <w:rPr/>
            </w:pPr>
            <w:r>
              <w:rPr/>
              <w:t>52,062</w:t>
            </w:r>
          </w:p>
        </w:tc>
        <w:tc>
          <w:tcPr>
            <w:tcW w:w="97"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right"/>
              <w:rPr/>
            </w:pPr>
            <w:r>
              <w:rPr/>
              <w:t> </w:t>
            </w:r>
          </w:p>
        </w:tc>
        <w:tc>
          <w:tcPr>
            <w:tcW w:w="143" w:type="dxa"/>
            <w:tcBorders/>
            <w:vAlign w:val="bottom"/>
          </w:tcPr>
          <w:p>
            <w:pPr>
              <w:pStyle w:val="TableContents"/>
              <w:bidi w:val="0"/>
              <w:spacing w:before="0" w:after="283"/>
              <w:jc w:val="left"/>
              <w:rPr/>
            </w:pPr>
            <w:r>
              <w:rPr/>
              <w:t>$</w:t>
            </w:r>
          </w:p>
        </w:tc>
        <w:tc>
          <w:tcPr>
            <w:tcW w:w="927" w:type="dxa"/>
            <w:tcBorders/>
            <w:vAlign w:val="bottom"/>
          </w:tcPr>
          <w:p>
            <w:pPr>
              <w:pStyle w:val="TableContents"/>
              <w:bidi w:val="0"/>
              <w:spacing w:before="0" w:after="283"/>
              <w:jc w:val="right"/>
              <w:rPr/>
            </w:pPr>
            <w:r>
              <w:rPr/>
              <w:t>58,042</w:t>
            </w:r>
          </w:p>
        </w:tc>
        <w:tc>
          <w:tcPr>
            <w:tcW w:w="110" w:type="dxa"/>
            <w:tcBorders/>
            <w:vAlign w:val="bottom"/>
          </w:tcPr>
          <w:p>
            <w:pPr>
              <w:pStyle w:val="TableContents"/>
              <w:bidi w:val="0"/>
              <w:spacing w:before="0" w:after="283"/>
              <w:jc w:val="left"/>
              <w:rPr/>
            </w:pPr>
            <w:r>
              <w:rPr/>
              <w:t> </w:t>
            </w:r>
          </w:p>
        </w:tc>
      </w:tr>
      <w:tr>
        <w:trPr/>
        <w:tc>
          <w:tcPr>
            <w:tcW w:w="7115" w:type="dxa"/>
            <w:tcBorders/>
            <w:shd w:fill="CCEEFF" w:val="clear"/>
            <w:vAlign w:val="bottom"/>
          </w:tcPr>
          <w:p>
            <w:pPr>
              <w:pStyle w:val="TableContents"/>
              <w:bidi w:val="0"/>
              <w:spacing w:before="0" w:after="0"/>
              <w:ind w:left="0" w:right="0" w:firstLine="144"/>
              <w:jc w:val="left"/>
              <w:rPr/>
            </w:pPr>
            <w:r>
              <w:rPr/>
              <w:t xml:space="preserve">Restricted cash </w:t>
            </w:r>
          </w:p>
        </w:tc>
        <w:tc>
          <w:tcPr>
            <w:tcW w:w="60" w:type="dxa"/>
            <w:tcBorders/>
            <w:shd w:fill="CCEEFF" w:val="clear"/>
            <w:vAlign w:val="bottom"/>
          </w:tcPr>
          <w:p>
            <w:pPr>
              <w:pStyle w:val="TableContents"/>
              <w:bidi w:val="0"/>
              <w:spacing w:before="0" w:after="283"/>
              <w:jc w:val="right"/>
              <w:rPr/>
            </w:pPr>
            <w:r>
              <w:rPr/>
              <w:t> </w:t>
            </w:r>
          </w:p>
        </w:tc>
        <w:tc>
          <w:tcPr>
            <w:tcW w:w="14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27" w:type="dxa"/>
            <w:tcBorders>
              <w:bottom w:val="single" w:sz="12" w:space="0" w:color="000000"/>
            </w:tcBorders>
            <w:shd w:fill="CCEEFF" w:val="clear"/>
            <w:tcMar>
              <w:bottom w:w="28" w:type="dxa"/>
            </w:tcMar>
            <w:vAlign w:val="bottom"/>
          </w:tcPr>
          <w:p>
            <w:pPr>
              <w:pStyle w:val="TableContents"/>
              <w:bidi w:val="0"/>
              <w:spacing w:before="0" w:after="283"/>
              <w:jc w:val="right"/>
              <w:rPr/>
            </w:pPr>
            <w:r>
              <w:rPr/>
              <w:t>25,434</w:t>
            </w:r>
          </w:p>
        </w:tc>
        <w:tc>
          <w:tcPr>
            <w:tcW w:w="97"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right"/>
              <w:rPr/>
            </w:pPr>
            <w:r>
              <w:rPr/>
              <w:t> </w:t>
            </w:r>
          </w:p>
        </w:tc>
        <w:tc>
          <w:tcPr>
            <w:tcW w:w="14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27" w:type="dxa"/>
            <w:tcBorders>
              <w:bottom w:val="single" w:sz="12" w:space="0" w:color="000000"/>
            </w:tcBorders>
            <w:shd w:fill="CCEEFF" w:val="clear"/>
            <w:tcMar>
              <w:bottom w:w="28" w:type="dxa"/>
            </w:tcMar>
            <w:vAlign w:val="bottom"/>
          </w:tcPr>
          <w:p>
            <w:pPr>
              <w:pStyle w:val="TableContents"/>
              <w:bidi w:val="0"/>
              <w:spacing w:before="0" w:after="283"/>
              <w:jc w:val="right"/>
              <w:rPr/>
            </w:pPr>
            <w:r>
              <w:rPr/>
              <w:t>9,953</w:t>
            </w:r>
          </w:p>
        </w:tc>
        <w:tc>
          <w:tcPr>
            <w:tcW w:w="110" w:type="dxa"/>
            <w:tcBorders/>
            <w:shd w:fill="CCEEFF" w:val="clear"/>
            <w:vAlign w:val="bottom"/>
          </w:tcPr>
          <w:p>
            <w:pPr>
              <w:pStyle w:val="TableContents"/>
              <w:bidi w:val="0"/>
              <w:spacing w:before="0" w:after="283"/>
              <w:jc w:val="left"/>
              <w:rPr/>
            </w:pPr>
            <w:r>
              <w:rPr/>
              <w:t> </w:t>
            </w:r>
          </w:p>
        </w:tc>
      </w:tr>
      <w:tr>
        <w:trPr/>
        <w:tc>
          <w:tcPr>
            <w:tcW w:w="7115" w:type="dxa"/>
            <w:tcBorders/>
            <w:vAlign w:val="bottom"/>
          </w:tcPr>
          <w:p>
            <w:pPr>
              <w:pStyle w:val="TableContents"/>
              <w:bidi w:val="0"/>
              <w:spacing w:before="0" w:after="0"/>
              <w:ind w:left="0" w:right="0" w:firstLine="144"/>
              <w:jc w:val="left"/>
              <w:rPr>
                <w:b/>
              </w:rPr>
            </w:pPr>
            <w:r>
              <w:rPr>
                <w:b/>
              </w:rPr>
              <w:t xml:space="preserve">Total cash and cash equivalents and restricted cash </w:t>
            </w:r>
          </w:p>
        </w:tc>
        <w:tc>
          <w:tcPr>
            <w:tcW w:w="60" w:type="dxa"/>
            <w:tcBorders/>
            <w:vAlign w:val="bottom"/>
          </w:tcPr>
          <w:p>
            <w:pPr>
              <w:pStyle w:val="TableContents"/>
              <w:bidi w:val="0"/>
              <w:spacing w:before="0" w:after="283"/>
              <w:jc w:val="right"/>
              <w:rPr/>
            </w:pPr>
            <w:r>
              <w:rPr/>
              <w:t> </w:t>
            </w:r>
          </w:p>
        </w:tc>
        <w:tc>
          <w:tcPr>
            <w:tcW w:w="143" w:type="dxa"/>
            <w:tcBorders/>
            <w:vAlign w:val="bottom"/>
          </w:tcPr>
          <w:p>
            <w:pPr>
              <w:pStyle w:val="TableContents"/>
              <w:bidi w:val="0"/>
              <w:spacing w:before="0" w:after="283"/>
              <w:jc w:val="left"/>
              <w:rPr>
                <w:b/>
              </w:rPr>
            </w:pPr>
            <w:r>
              <w:rPr>
                <w:b/>
              </w:rPr>
              <w:t>$</w:t>
            </w:r>
          </w:p>
        </w:tc>
        <w:tc>
          <w:tcPr>
            <w:tcW w:w="927" w:type="dxa"/>
            <w:tcBorders/>
            <w:vAlign w:val="bottom"/>
          </w:tcPr>
          <w:p>
            <w:pPr>
              <w:pStyle w:val="TableContents"/>
              <w:bidi w:val="0"/>
              <w:spacing w:before="0" w:after="283"/>
              <w:jc w:val="right"/>
              <w:rPr>
                <w:b/>
              </w:rPr>
            </w:pPr>
            <w:r>
              <w:rPr>
                <w:b/>
              </w:rPr>
              <w:t>77,496</w:t>
            </w:r>
          </w:p>
        </w:tc>
        <w:tc>
          <w:tcPr>
            <w:tcW w:w="97"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right"/>
              <w:rPr/>
            </w:pPr>
            <w:r>
              <w:rPr/>
              <w:t> </w:t>
            </w:r>
          </w:p>
        </w:tc>
        <w:tc>
          <w:tcPr>
            <w:tcW w:w="143" w:type="dxa"/>
            <w:tcBorders/>
            <w:vAlign w:val="bottom"/>
          </w:tcPr>
          <w:p>
            <w:pPr>
              <w:pStyle w:val="TableContents"/>
              <w:bidi w:val="0"/>
              <w:spacing w:before="0" w:after="283"/>
              <w:jc w:val="left"/>
              <w:rPr>
                <w:b/>
              </w:rPr>
            </w:pPr>
            <w:r>
              <w:rPr>
                <w:b/>
              </w:rPr>
              <w:t>$</w:t>
            </w:r>
          </w:p>
        </w:tc>
        <w:tc>
          <w:tcPr>
            <w:tcW w:w="927" w:type="dxa"/>
            <w:tcBorders/>
            <w:vAlign w:val="bottom"/>
          </w:tcPr>
          <w:p>
            <w:pPr>
              <w:pStyle w:val="TableContents"/>
              <w:bidi w:val="0"/>
              <w:spacing w:before="0" w:after="283"/>
              <w:jc w:val="right"/>
              <w:rPr>
                <w:b/>
              </w:rPr>
            </w:pPr>
            <w:r>
              <w:rPr>
                <w:b/>
              </w:rPr>
              <w:t>67,995</w:t>
            </w:r>
          </w:p>
        </w:tc>
        <w:tc>
          <w:tcPr>
            <w:tcW w:w="110" w:type="dxa"/>
            <w:tcBorders/>
            <w:vAlign w:val="bottom"/>
          </w:tcPr>
          <w:p>
            <w:pPr>
              <w:pStyle w:val="TableContents"/>
              <w:bidi w:val="0"/>
              <w:spacing w:before="0" w:after="283"/>
              <w:jc w:val="left"/>
              <w:rPr/>
            </w:pPr>
            <w:r>
              <w:rPr/>
              <w:t> </w:t>
            </w:r>
          </w:p>
        </w:tc>
      </w:tr>
      <w:tr>
        <w:trPr/>
        <w:tc>
          <w:tcPr>
            <w:tcW w:w="71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3" w:type="dxa"/>
            <w:tcBorders/>
            <w:shd w:fill="CCEEFF" w:val="clear"/>
            <w:vAlign w:val="bottom"/>
          </w:tcPr>
          <w:p>
            <w:pPr>
              <w:pStyle w:val="TableContents"/>
              <w:bidi w:val="0"/>
              <w:spacing w:before="0" w:after="283"/>
              <w:jc w:val="left"/>
              <w:rPr/>
            </w:pPr>
            <w:r>
              <w:rPr/>
              <w:t> </w:t>
            </w:r>
          </w:p>
        </w:tc>
        <w:tc>
          <w:tcPr>
            <w:tcW w:w="927" w:type="dxa"/>
            <w:tcBorders/>
            <w:shd w:fill="CCEEFF" w:val="clear"/>
            <w:vAlign w:val="bottom"/>
          </w:tcPr>
          <w:p>
            <w:pPr>
              <w:pStyle w:val="TableContents"/>
              <w:bidi w:val="0"/>
              <w:spacing w:before="0" w:after="283"/>
              <w:jc w:val="right"/>
              <w:rPr/>
            </w:pPr>
            <w:r>
              <w:rPr/>
              <w:t> </w:t>
            </w:r>
          </w:p>
        </w:tc>
        <w:tc>
          <w:tcPr>
            <w:tcW w:w="97"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right"/>
              <w:rPr/>
            </w:pPr>
            <w:r>
              <w:rPr/>
              <w:t> </w:t>
            </w:r>
          </w:p>
        </w:tc>
        <w:tc>
          <w:tcPr>
            <w:tcW w:w="143" w:type="dxa"/>
            <w:tcBorders/>
            <w:shd w:fill="CCEEFF" w:val="clear"/>
            <w:vAlign w:val="bottom"/>
          </w:tcPr>
          <w:p>
            <w:pPr>
              <w:pStyle w:val="TableContents"/>
              <w:bidi w:val="0"/>
              <w:spacing w:before="0" w:after="283"/>
              <w:jc w:val="left"/>
              <w:rPr/>
            </w:pPr>
            <w:r>
              <w:rPr/>
              <w:t> </w:t>
            </w:r>
          </w:p>
        </w:tc>
        <w:tc>
          <w:tcPr>
            <w:tcW w:w="927"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r>
      <w:tr>
        <w:trPr/>
        <w:tc>
          <w:tcPr>
            <w:tcW w:w="7115" w:type="dxa"/>
            <w:tcBorders/>
            <w:vAlign w:val="bottom"/>
          </w:tcPr>
          <w:p>
            <w:pPr>
              <w:pStyle w:val="TableContents"/>
              <w:bidi w:val="0"/>
              <w:spacing w:before="0" w:after="0"/>
              <w:ind w:left="144" w:right="0" w:hanging="144"/>
              <w:jc w:val="left"/>
              <w:rPr>
                <w:rFonts w:ascii="Times New Roman" w:hAnsi="Times New Roman"/>
                <w:b/>
                <w:sz w:val="20"/>
              </w:rPr>
            </w:pPr>
            <w:r>
              <w:rPr>
                <w:rFonts w:ascii="Times New Roman" w:hAnsi="Times New Roman"/>
                <w:b/>
                <w:sz w:val="20"/>
              </w:rPr>
              <w:t>Supplemental Disclosure of Cash Flow Information</w:t>
            </w:r>
          </w:p>
        </w:tc>
        <w:tc>
          <w:tcPr>
            <w:tcW w:w="60" w:type="dxa"/>
            <w:tcBorders/>
            <w:vAlign w:val="bottom"/>
          </w:tcPr>
          <w:p>
            <w:pPr>
              <w:pStyle w:val="TableContents"/>
              <w:bidi w:val="0"/>
              <w:spacing w:before="0" w:after="283"/>
              <w:jc w:val="right"/>
              <w:rPr/>
            </w:pPr>
            <w:r>
              <w:rPr/>
              <w:t> </w:t>
            </w:r>
          </w:p>
        </w:tc>
        <w:tc>
          <w:tcPr>
            <w:tcW w:w="143" w:type="dxa"/>
            <w:tcBorders/>
            <w:vAlign w:val="bottom"/>
          </w:tcPr>
          <w:p>
            <w:pPr>
              <w:pStyle w:val="TableContents"/>
              <w:bidi w:val="0"/>
              <w:spacing w:before="0" w:after="283"/>
              <w:jc w:val="left"/>
              <w:rPr/>
            </w:pPr>
            <w:r>
              <w:rPr/>
              <w:t> </w:t>
            </w:r>
          </w:p>
        </w:tc>
        <w:tc>
          <w:tcPr>
            <w:tcW w:w="927" w:type="dxa"/>
            <w:tcBorders/>
            <w:vAlign w:val="bottom"/>
          </w:tcPr>
          <w:p>
            <w:pPr>
              <w:pStyle w:val="TableContents"/>
              <w:bidi w:val="0"/>
              <w:spacing w:before="0" w:after="283"/>
              <w:jc w:val="right"/>
              <w:rPr/>
            </w:pPr>
            <w:r>
              <w:rPr/>
              <w:t> </w:t>
            </w:r>
          </w:p>
        </w:tc>
        <w:tc>
          <w:tcPr>
            <w:tcW w:w="97"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right"/>
              <w:rPr/>
            </w:pPr>
            <w:r>
              <w:rPr/>
              <w:t> </w:t>
            </w:r>
          </w:p>
        </w:tc>
        <w:tc>
          <w:tcPr>
            <w:tcW w:w="143" w:type="dxa"/>
            <w:tcBorders/>
            <w:vAlign w:val="bottom"/>
          </w:tcPr>
          <w:p>
            <w:pPr>
              <w:pStyle w:val="TableContents"/>
              <w:bidi w:val="0"/>
              <w:spacing w:before="0" w:after="283"/>
              <w:jc w:val="left"/>
              <w:rPr/>
            </w:pPr>
            <w:r>
              <w:rPr/>
              <w:t> </w:t>
            </w:r>
          </w:p>
        </w:tc>
        <w:tc>
          <w:tcPr>
            <w:tcW w:w="927"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r>
      <w:tr>
        <w:trPr/>
        <w:tc>
          <w:tcPr>
            <w:tcW w:w="7115" w:type="dxa"/>
            <w:tcBorders/>
            <w:shd w:fill="CCEEFF" w:val="clear"/>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Cash paid during the period for interest expense</w:t>
            </w:r>
          </w:p>
        </w:tc>
        <w:tc>
          <w:tcPr>
            <w:tcW w:w="60" w:type="dxa"/>
            <w:tcBorders/>
            <w:shd w:fill="CCEEFF" w:val="clear"/>
            <w:vAlign w:val="bottom"/>
          </w:tcPr>
          <w:p>
            <w:pPr>
              <w:pStyle w:val="TableContents"/>
              <w:bidi w:val="0"/>
              <w:spacing w:before="0" w:after="283"/>
              <w:jc w:val="right"/>
              <w:rPr/>
            </w:pPr>
            <w:r>
              <w:rPr/>
              <w:t> </w:t>
            </w:r>
          </w:p>
        </w:tc>
        <w:tc>
          <w:tcPr>
            <w:tcW w:w="14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2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27,275</w:t>
            </w:r>
          </w:p>
        </w:tc>
        <w:tc>
          <w:tcPr>
            <w:tcW w:w="97"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right"/>
              <w:rPr/>
            </w:pPr>
            <w:r>
              <w:rPr/>
              <w:t> </w:t>
            </w:r>
          </w:p>
        </w:tc>
        <w:tc>
          <w:tcPr>
            <w:tcW w:w="14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2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18,008</w:t>
            </w:r>
          </w:p>
        </w:tc>
        <w:tc>
          <w:tcPr>
            <w:tcW w:w="110" w:type="dxa"/>
            <w:tcBorders/>
            <w:shd w:fill="CCEEFF" w:val="clear"/>
            <w:vAlign w:val="bottom"/>
          </w:tcPr>
          <w:p>
            <w:pPr>
              <w:pStyle w:val="TableContents"/>
              <w:bidi w:val="0"/>
              <w:spacing w:before="0" w:after="283"/>
              <w:jc w:val="left"/>
              <w:rPr/>
            </w:pPr>
            <w:r>
              <w:rPr/>
              <w:t> </w:t>
            </w:r>
          </w:p>
        </w:tc>
      </w:tr>
      <w:tr>
        <w:trPr/>
        <w:tc>
          <w:tcPr>
            <w:tcW w:w="7115" w:type="dxa"/>
            <w:tcBorders/>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Cash paid during the period for income taxes</w:t>
            </w:r>
          </w:p>
        </w:tc>
        <w:tc>
          <w:tcPr>
            <w:tcW w:w="60" w:type="dxa"/>
            <w:tcBorders/>
            <w:vAlign w:val="bottom"/>
          </w:tcPr>
          <w:p>
            <w:pPr>
              <w:pStyle w:val="TableContents"/>
              <w:bidi w:val="0"/>
              <w:spacing w:before="0" w:after="283"/>
              <w:jc w:val="right"/>
              <w:rPr/>
            </w:pPr>
            <w:r>
              <w:rPr/>
              <w:t> </w:t>
            </w:r>
          </w:p>
        </w:tc>
        <w:tc>
          <w:tcPr>
            <w:tcW w:w="143" w:type="dxa"/>
            <w:tcBorders/>
            <w:vAlign w:val="bottom"/>
          </w:tcPr>
          <w:p>
            <w:pPr>
              <w:pStyle w:val="TableContents"/>
              <w:bidi w:val="0"/>
              <w:spacing w:before="0" w:after="283"/>
              <w:jc w:val="left"/>
              <w:rPr/>
            </w:pPr>
            <w:r>
              <w:rPr/>
              <w:t>$</w:t>
            </w:r>
          </w:p>
        </w:tc>
        <w:tc>
          <w:tcPr>
            <w:tcW w:w="927" w:type="dxa"/>
            <w:tcBorders/>
            <w:vAlign w:val="bottom"/>
          </w:tcPr>
          <w:p>
            <w:pPr>
              <w:pStyle w:val="TableContents"/>
              <w:bidi w:val="0"/>
              <w:spacing w:before="0" w:after="283"/>
              <w:jc w:val="right"/>
              <w:rPr/>
            </w:pPr>
            <w:r>
              <w:rPr/>
              <w:t>29</w:t>
            </w:r>
          </w:p>
        </w:tc>
        <w:tc>
          <w:tcPr>
            <w:tcW w:w="97"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right"/>
              <w:rPr/>
            </w:pPr>
            <w:r>
              <w:rPr/>
              <w:t> </w:t>
            </w:r>
          </w:p>
        </w:tc>
        <w:tc>
          <w:tcPr>
            <w:tcW w:w="143" w:type="dxa"/>
            <w:tcBorders/>
            <w:vAlign w:val="bottom"/>
          </w:tcPr>
          <w:p>
            <w:pPr>
              <w:pStyle w:val="TableContents"/>
              <w:bidi w:val="0"/>
              <w:spacing w:before="0" w:after="283"/>
              <w:jc w:val="left"/>
              <w:rPr/>
            </w:pPr>
            <w:r>
              <w:rPr/>
              <w:t>$</w:t>
            </w:r>
          </w:p>
        </w:tc>
        <w:tc>
          <w:tcPr>
            <w:tcW w:w="927" w:type="dxa"/>
            <w:tcBorders/>
            <w:vAlign w:val="bottom"/>
          </w:tcPr>
          <w:p>
            <w:pPr>
              <w:pStyle w:val="TableContents"/>
              <w:bidi w:val="0"/>
              <w:spacing w:before="0" w:after="283"/>
              <w:jc w:val="right"/>
              <w:rPr/>
            </w:pPr>
            <w:r>
              <w:rPr/>
              <w:t>36</w:t>
            </w:r>
          </w:p>
        </w:tc>
        <w:tc>
          <w:tcPr>
            <w:tcW w:w="110" w:type="dxa"/>
            <w:tcBorders/>
            <w:vAlign w:val="bottom"/>
          </w:tcPr>
          <w:p>
            <w:pPr>
              <w:pStyle w:val="TableContents"/>
              <w:bidi w:val="0"/>
              <w:spacing w:before="0" w:after="283"/>
              <w:jc w:val="left"/>
              <w:rPr/>
            </w:pPr>
            <w:r>
              <w:rPr/>
              <w:t> </w:t>
            </w:r>
          </w:p>
        </w:tc>
      </w:tr>
      <w:tr>
        <w:trPr/>
        <w:tc>
          <w:tcPr>
            <w:tcW w:w="7115" w:type="dxa"/>
            <w:tcBorders/>
            <w:shd w:fill="CCEEFF" w:val="clear"/>
            <w:vAlign w:val="bottom"/>
          </w:tcPr>
          <w:p>
            <w:pPr>
              <w:pStyle w:val="TableContents"/>
              <w:bidi w:val="0"/>
              <w:spacing w:before="0" w:after="0"/>
              <w:ind w:left="144" w:right="0" w:hanging="144"/>
              <w:jc w:val="left"/>
              <w:rPr>
                <w:rFonts w:ascii="Times New Roman" w:hAnsi="Times New Roman"/>
                <w:b/>
                <w:sz w:val="20"/>
              </w:rPr>
            </w:pPr>
            <w:r>
              <w:rPr>
                <w:rFonts w:ascii="Times New Roman" w:hAnsi="Times New Roman"/>
                <w:b/>
                <w:sz w:val="20"/>
              </w:rPr>
              <w:t>Supplemental Schedule of Non-Cash Investing and Financing Activities</w:t>
            </w:r>
          </w:p>
        </w:tc>
        <w:tc>
          <w:tcPr>
            <w:tcW w:w="60" w:type="dxa"/>
            <w:tcBorders/>
            <w:shd w:fill="CCEEFF" w:val="clear"/>
            <w:vAlign w:val="bottom"/>
          </w:tcPr>
          <w:p>
            <w:pPr>
              <w:pStyle w:val="TableContents"/>
              <w:bidi w:val="0"/>
              <w:spacing w:before="0" w:after="283"/>
              <w:jc w:val="right"/>
              <w:rPr/>
            </w:pPr>
            <w:r>
              <w:rPr/>
              <w:t> </w:t>
            </w:r>
          </w:p>
        </w:tc>
        <w:tc>
          <w:tcPr>
            <w:tcW w:w="143" w:type="dxa"/>
            <w:tcBorders/>
            <w:shd w:fill="CCEEFF" w:val="clear"/>
            <w:vAlign w:val="bottom"/>
          </w:tcPr>
          <w:p>
            <w:pPr>
              <w:pStyle w:val="TableContents"/>
              <w:bidi w:val="0"/>
              <w:spacing w:before="0" w:after="283"/>
              <w:jc w:val="left"/>
              <w:rPr/>
            </w:pPr>
            <w:r>
              <w:rPr/>
              <w:t> </w:t>
            </w:r>
          </w:p>
        </w:tc>
        <w:tc>
          <w:tcPr>
            <w:tcW w:w="927" w:type="dxa"/>
            <w:tcBorders/>
            <w:shd w:fill="CCEEFF" w:val="clear"/>
            <w:vAlign w:val="bottom"/>
          </w:tcPr>
          <w:p>
            <w:pPr>
              <w:pStyle w:val="TableContents"/>
              <w:bidi w:val="0"/>
              <w:spacing w:before="0" w:after="283"/>
              <w:jc w:val="right"/>
              <w:rPr/>
            </w:pPr>
            <w:r>
              <w:rPr/>
              <w:t> </w:t>
            </w:r>
          </w:p>
        </w:tc>
        <w:tc>
          <w:tcPr>
            <w:tcW w:w="97"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right"/>
              <w:rPr/>
            </w:pPr>
            <w:r>
              <w:rPr/>
              <w:t> </w:t>
            </w:r>
          </w:p>
        </w:tc>
        <w:tc>
          <w:tcPr>
            <w:tcW w:w="143" w:type="dxa"/>
            <w:tcBorders/>
            <w:shd w:fill="CCEEFF" w:val="clear"/>
            <w:vAlign w:val="bottom"/>
          </w:tcPr>
          <w:p>
            <w:pPr>
              <w:pStyle w:val="TableContents"/>
              <w:bidi w:val="0"/>
              <w:spacing w:before="0" w:after="283"/>
              <w:jc w:val="left"/>
              <w:rPr/>
            </w:pPr>
            <w:r>
              <w:rPr/>
              <w:t> </w:t>
            </w:r>
          </w:p>
        </w:tc>
        <w:tc>
          <w:tcPr>
            <w:tcW w:w="927"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r>
      <w:tr>
        <w:trPr/>
        <w:tc>
          <w:tcPr>
            <w:tcW w:w="7115" w:type="dxa"/>
            <w:tcBorders/>
            <w:vAlign w:val="bottom"/>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Dividends declared but not paid</w:t>
            </w:r>
          </w:p>
        </w:tc>
        <w:tc>
          <w:tcPr>
            <w:tcW w:w="60" w:type="dxa"/>
            <w:tcBorders/>
            <w:vAlign w:val="bottom"/>
          </w:tcPr>
          <w:p>
            <w:pPr>
              <w:pStyle w:val="TableContents"/>
              <w:bidi w:val="0"/>
              <w:spacing w:before="0" w:after="283"/>
              <w:jc w:val="right"/>
              <w:rPr/>
            </w:pPr>
            <w:r>
              <w:rPr/>
              <w:t> </w:t>
            </w:r>
          </w:p>
        </w:tc>
        <w:tc>
          <w:tcPr>
            <w:tcW w:w="14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2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5,910</w:t>
            </w:r>
          </w:p>
        </w:tc>
        <w:tc>
          <w:tcPr>
            <w:tcW w:w="97"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right"/>
              <w:rPr/>
            </w:pPr>
            <w:r>
              <w:rPr/>
              <w:t> </w:t>
            </w:r>
          </w:p>
        </w:tc>
        <w:tc>
          <w:tcPr>
            <w:tcW w:w="14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2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7,643</w:t>
            </w:r>
          </w:p>
        </w:tc>
        <w:tc>
          <w:tcPr>
            <w:tcW w:w="110"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See accompanying notes to consolidated financial statements.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9</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Cherry Hill Mortgage Investment Corporation and Subsidiaries</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Notes to Consolidated Financial Statements</w:t>
      </w:r>
      <w:bookmarkStart w:id="15" w:name="FinancialStatements"/>
      <w:bookmarkEnd w:id="15"/>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June 30, 2026</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(Unaudited)</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Note 1 — Organization and Operations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Cherry Hill Mortgage Investment Corporation (together with its consolidated subsidiaries, the “Company”) was incorporated in Maryland on October 31, 2012 and was organized to invest in residential mortgage assets in the United States. Under the Company’s charter, the Company is authorized to issue up to 500,000,000 shares of common stock and 100,000,000 shares of preferred stock, each with a par value of $0.01 per share.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accompanying consolidated financial statements include the accounts of the Company’s subsidiaries, Cherry Hill Operating Partnership, LP (the “Operating Partnership”), CHMI Sub-REIT, Inc. (the “Sub-REIT”), Cherry Hill QRS I, LLC, Cherry Hill QRS II, LLC, Cherry Hill QRS III, LLC (“QRS III”), Cherry Hill QRS IV, LLC (“QRS IV”), Cherry Hill QRS V, LLC (“QRS V”), CHMI Solutions, Inc. (“CHMI Solutions”) and Aurora Financial Group, Inc. (“Aurora”).</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Company has elected to be taxed as a real estate investment trust (“REIT”), as defined under the Internal Revenue Code of 1986, as amended (the “Code”), commencing with its short taxable year ended December 31, 2013. As long as the Company continues to comply with a number of requirements under federal tax law and maintains its qualification as a REIT, the Company generally will not be subject to U.S. federal income taxes to the extent that the Company distributes its taxable income to its stockholders on an annual basis and does not engage in prohibited transactions. However, certain activities that the Company may perform may cause it to earn income that will not be qualifying income for REIT purposes.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sz w:val="20"/>
        </w:rPr>
      </w:pPr>
      <w:r>
        <w:rPr>
          <w:rFonts w:ascii="Times New Roman" w:hAnsi="Times New Roman"/>
          <w:sz w:val="20"/>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Company conducts substantially all of its operations and owns substantially all of its assets through its Operating Partnership. The Company is the sole general partner of its Operating Partnership. As of June 30, 2026, the Company owned 98.5% of the Operating Partnership. The Operating Partnership, in turn, owns all of the outstanding common stock of the Sub-REIT. The Sub-REIT elected to be taxed as a REIT under the Code commencing with the taxable year ended December 31, 2020.</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10</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Note 2 — Basis of Presentation and Significant Accounting Policies</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Basis of Accounting</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accompanying consolidated financial statements are prepared in accordance with U.S. generally accepted accounting principles (“GAAP”) for financial information and pursuant to the requirements for reporting on Form 10-Q and Article 10 of Regulation S-X. The consolidated financial statements include the accounts of the Company and its consolidated subsidiaries. All intercompany transactions and balances have been eliminated. The Company consolidates those entities in which it has an investment of 50% or more and has control over significant operating, financial and investing decisions of the entity. The consolidated financial statements reflect all necessary and recurring adjustments for fair presentation of the results for the periods presented herein.</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Use of Estimates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preparation of financial statements in conformity with GAAP requires management to make a number of significant estimates and assumptions. These include estimates of the fair value of mortgage servicing rights (“MSRs” or “Servicing Related Assets”); residential mortgage-backed securities (“RMBS” or “securities”) and derivatives; credit losses and other estimates that affect the reported amounts of certain assets, revenues, liabilities and expenses as of the date of, and for the periods covered by, the consolidated financial statements. It is likely that changes in these estimates will occur in the near term. The Company’s estimates are inherently subjective. Actual results could differ from the Company’s estimates, and the differences may be material.</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Risks and Uncertainties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In the normal course of business, the Company encounters primarily two significant types of economic risk: credit and market. Credit risk is the risk of default on the Company’s investments in RMBS, Servicing Related Assets and derivatives that results from a borrower’s or derivative counterparty’s inability or unwillingness to make contractually required payments. Market risk reflects changes in the value of investments in RMBS, Servicing Related Assets and derivatives due to changes in interest rates, spreads or other market factors, including prepayment speeds on the Company’s RMBS and Servicing Related Assets. The Company is subject to the risks involved with real estate and real estate-related debt instruments. These include, among others, the risks normally associated with changes in the general economic climate, changes in the mortgage market, changes in tax laws, interest rate levels, and the availability of financing.</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Company also is subject to certain risks relating to its status as a REIT for U.S. federal income tax purposes. If the Company were to fail to qualify as a REIT in any taxable year, the Company would be subject to U.S. federal income tax on its REIT income, which could be material. Unless entitled to relief under certain statutory provisions, the Company would also be disqualified from treatment as a REIT for the four taxable years following the year during which qualification is lost.</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Investments in RMBS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u w:val="single"/>
          <w:shd w:fill="FFFFFF" w:val="clear"/>
        </w:rPr>
        <w:t>Classification</w:t>
      </w:r>
      <w:r>
        <w:rPr>
          <w:rFonts w:ascii="Times New Roman" w:hAnsi="Times New Roman"/>
          <w:color w:val="000000"/>
          <w:sz w:val="20"/>
          <w:shd w:fill="FFFFFF" w:val="clear"/>
        </w:rPr>
        <w:t xml:space="preserve"> – The Company reports all of its investments in RMBS at fair value on its consolidated balance sheets. Pursuant to Accounting Standards Codification (“ASC”) 320, Investments – Debt and Equity Securities, the Company may designate a security as held-to-maturity, available-for-sale or trading, at the time of purchase, depending on the Company’s ability and intent to hold the security to maturity. Alternatively, the Company may elect the fair value option of accounting for securities pursuant to ASC 825, Financial Instruments. Prior to January 1, 2023, the Company designated its RMBS as available-for sale. On January 1, 2023, the Company elected the fair value option of accounting for all RMBS acquired after such date. Unrealized gains and losses on securities classified as available-for sale are reported in “Other comprehensive income (loss)” within the consolidated statements of comprehensive income (loss), whereas unrealized gains and losses on securities for which the Company elected the fair value option are reported in “Unrealized gain (loss) on RMBS, measured at fair value through earnings, net” within the consolidated statements of income (loss).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11</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Fair value is determined under the guidance of ASC 820, Fair Value Measurements and Disclosures (“ASC 820”). Management’s judgment is used to arrive at the fair value of the Company’s RMBS investments, taking into account prices obtained from third-party pricing providers and other applicable market data. The third-party pricing providers use pricing models that generally incorporate such factors as coupons, primary and secondary mortgage rates, rate reset periods, issuer, prepayment speeds, credit enhancements and expected life of the security. The Company’s application of ASC 820 guidance is discussed in further detail in Note 8.</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Investment securities transactions are recorded on the trade date. At disposition, the net realized gain or loss on securities is determined on the basis of the cost of the specific investment and for securities designated as available-for-sale, the unrealized gain or loss is reclassified out of accumulated other comprehensive income into earnings. All RMBS purchased and sold during the six-month period ended June 30, 2026 and the year ended December 31, 2025, were settled prior to period-end.</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u w:val="single"/>
          <w:shd w:fill="FFFFFF" w:val="clear"/>
        </w:rPr>
        <w:t>Revenue Recognition</w:t>
      </w:r>
      <w:r>
        <w:rPr>
          <w:rFonts w:ascii="Times New Roman" w:hAnsi="Times New Roman"/>
          <w:color w:val="000000"/>
          <w:sz w:val="20"/>
          <w:shd w:fill="FFFFFF" w:val="clear"/>
        </w:rPr>
        <w:t xml:space="preserve"> – Interest income from coupon payments is accrued based on the outstanding principal amount of the RMBS and their contractual terms. Premiums and discounts associated with the purchase of the RMBS are amortized and accreted, respectively, into interest income over the projected lives of the securities using the effective interest method. The Company’s policy for estimating prepayment speeds for calculating the effective yield is to evaluate historical performance, consensus on prepayment speeds, and current market conditions. Adjustments are made for actual prepayment activity. We recognized interest receivable of approximately $4.6 million and $5.0 million at June 30, 2026 and December 31, 2025, respectively. Interest income receivable has been classified within “Receivables and other assets” on the consolidated balance sheets. For further discussion of Receivables and other assets, see Note 12.</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u w:val="single"/>
          <w:shd w:fill="FFFFFF" w:val="clear"/>
        </w:rPr>
        <w:t>Impairment</w:t>
      </w:r>
      <w:r>
        <w:rPr>
          <w:rFonts w:ascii="Times New Roman" w:hAnsi="Times New Roman"/>
          <w:color w:val="000000"/>
          <w:sz w:val="20"/>
          <w:shd w:fill="FFFFFF" w:val="clear"/>
        </w:rPr>
        <w:t xml:space="preserve"> – When the fair value of an available-for-sale designated security is less than its amortized cost basis as of the balance sheet date, the security’s cost basis is considered impaired. If the Company determines that it intends to sell the security or it is more likely than not that it will be required to sell before recovery, the Company recognizes the difference between the fair value and amortized cost as a loss in the consolidated statements of income (loss). If the Company determines it does not intend to sell the security or it is more likely than not it will not be required to sell the security before recovery, the Company must evaluate the decline in the fair value of the impaired security and determine whether such decline resulted from a credit loss or non-credit related factors. In its assessment of whether a credit loss exists, the Company performs a qualitative assessment around whether a credit loss exists and if necessary, it compares the present value of estimated future cash flows of the impaired security with the amortized cost basis of such security. The estimated future cash flows reflect those that a “market participant” would use and typically include assumptions related to fluctuations in interest rates, prepayment speeds, default rates, collateral performance, and the timing and amount of projected credit losses, as well as incorporating observations of current market developments and events. Cash flows are discounted at an interest rate equal to the current yield used to accrete interest income. If the present value of estimated future cash flows is less than the amortized cost basis of the security, an expected credit loss exists and is included in provision for credit losses on securities in the consolidated statements of income (loss). The Company’s RMBS do not require an allowance for credit losses because the Company has the ability and intent to hold the investments to maturity or for a period of time sufficient for a forecasted market price recovery up to or beyond the cost of the investments, and it is not more likely than not that the Company will be required to sell the investments before recovery of the amortized cost basis, which may be maturity. The Company is also guaranteed payment of principal and interest amounts of the securities by the respective issuing agency.</w:t>
      </w:r>
    </w:p>
    <w:p>
      <w:pPr>
        <w:pStyle w:val="TextBody"/>
        <w:bidi w:val="0"/>
        <w:spacing w:before="0" w:after="0"/>
        <w:jc w:val="left"/>
        <w:rPr/>
      </w:pPr>
      <w:r>
        <w:rPr/>
      </w:r>
    </w:p>
    <w:p>
      <w:pPr>
        <w:pStyle w:val="TextBody"/>
        <w:bidi w:val="0"/>
        <w:spacing w:before="0" w:after="0"/>
        <w:jc w:val="left"/>
        <w:rPr>
          <w:rFonts w:ascii="Times New Roman" w:hAnsi="Times New Roman"/>
          <w:b/>
          <w:i/>
          <w:caps w:val="false"/>
          <w:smallCaps w:val="false"/>
          <w:color w:val="000000"/>
          <w:sz w:val="20"/>
          <w:shd w:fill="FFFFFF" w:val="clear"/>
        </w:rPr>
      </w:pPr>
      <w:r>
        <w:rPr>
          <w:rFonts w:ascii="Times New Roman" w:hAnsi="Times New Roman"/>
          <w:b/>
          <w:i/>
          <w:caps w:val="false"/>
          <w:smallCaps w:val="false"/>
          <w:color w:val="000000"/>
          <w:sz w:val="20"/>
          <w:shd w:fill="FFFFFF" w:val="clear"/>
        </w:rPr>
        <w:t>Impairment Loss</w:t>
      </w:r>
    </w:p>
    <w:p>
      <w:pPr>
        <w:pStyle w:val="TextBody"/>
        <w:bidi w:val="0"/>
        <w:spacing w:before="0" w:after="0"/>
        <w:jc w:val="left"/>
        <w:rPr>
          <w:b/>
          <w:i/>
        </w:rPr>
      </w:pPr>
      <w:r>
        <w:rPr>
          <w:b/>
          <w:i/>
        </w:rPr>
      </w:r>
    </w:p>
    <w:p>
      <w:pPr>
        <w:pStyle w:val="TextBody"/>
        <w:bidi w:val="0"/>
        <w:spacing w:before="0" w:after="0"/>
        <w:jc w:val="both"/>
        <w:rPr/>
      </w:pPr>
      <w:r>
        <w:rPr/>
      </w:r>
    </w:p>
    <w:p>
      <w:pPr>
        <w:pStyle w:val="TextBody"/>
        <w:bidi w:val="0"/>
        <w:spacing w:before="0" w:after="0"/>
        <w:ind w:left="0" w:right="0" w:firstLine="72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Equity method and other strategic investments are evaluated for impairment whenever events or changes in circumstances indicate that the carrying value of the investment may not be recoverable. If the decline in value is determined to be other than temporary, the investment is written down to its estimated fair value, with the impairment loss recognized in earnings. Management’s impairment analysis requires significant judgment and considers a variety of factors, including the investee’s operating performance, liquidity, financial condition, access to capital, and estimated recoverable value.</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ind w:left="0" w:right="0" w:firstLine="72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During the period, the Company recognized a $0.5 million impairment charge related to a strategic investment in preferred equity units based on management’s assessment of the investment’s estimated recoverable value.</w:t>
      </w:r>
    </w:p>
    <w:p>
      <w:pPr>
        <w:pStyle w:val="TextBody"/>
        <w:bidi w:val="0"/>
        <w:spacing w:before="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r>
    </w:p>
    <w:p>
      <w:pPr>
        <w:pStyle w:val="TextBody"/>
        <w:bidi w:val="0"/>
        <w:spacing w:before="0" w:after="0"/>
        <w:jc w:val="both"/>
        <w:rPr>
          <w:rFonts w:ascii="Times New Roman" w:hAnsi="Times New Roman"/>
          <w:b/>
          <w:i/>
          <w:caps w:val="false"/>
          <w:smallCaps w:val="false"/>
          <w:color w:val="000000"/>
          <w:sz w:val="20"/>
          <w:shd w:fill="FFFFFF" w:val="clear"/>
        </w:rPr>
      </w:pPr>
      <w:r>
        <w:rPr>
          <w:rFonts w:ascii="Times New Roman" w:hAnsi="Times New Roman"/>
          <w:b/>
          <w:i/>
          <w:caps w:val="false"/>
          <w:smallCaps w:val="false"/>
          <w:color w:val="000000"/>
          <w:sz w:val="20"/>
          <w:shd w:fill="FFFFFF" w:val="clear"/>
        </w:rPr>
        <w:t>Credit Loss</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ind w:left="0" w:right="0" w:firstLine="72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ASC 326, Financial Instruments --Credit Losses, establishes the current expected credit loss (“CECL”) methodology for estimating lifetime expected credit losses on financial assets measured at amortized cost. The Company applies the CECL model to its held-for-investment promissory note receivable and estimates expected credit losses by considering relevant quantitative and qualitative factors, including historical loss experience, current economic conditions, reasonable and supportable forecasts, and expected recoveries. Expected recoveries may be estimated using collateral values, liquidation analyses, or other recovery methodologies, as appropriate based on the nature of the asset. The Company has elected the practical expedient permitted under ASC 326 not to measure an allowance for accrued interest receivable and instead writes off accrued interest deemed uncollectible through the reversal of interest income and/or the suspension of further interest accruals. There were no accrued interest write-offs during the three and six-months ended June 30, 2026.</w:t>
      </w:r>
    </w:p>
    <w:p>
      <w:pPr>
        <w:pStyle w:val="TextBody"/>
        <w:bidi w:val="0"/>
        <w:spacing w:before="0" w:after="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As a result of management’s reassessment of the estimated recoverable value of the promissory note receivable and related recovery expectations, the Company recorded a $2.3 million provision for credit losses during the quarter ended June 30, 2026.</w:t>
      </w:r>
    </w:p>
    <w:p>
      <w:pPr>
        <w:pStyle w:val="TextBody"/>
        <w:bidi w:val="0"/>
        <w:spacing w:before="0" w:after="0"/>
        <w:jc w:val="left"/>
        <w:rPr>
          <w:color w:val="000000"/>
        </w:rPr>
      </w:pPr>
      <w:r>
        <w:rPr>
          <w:color w:val="000000"/>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below table summarizes information about the allowance for credit losses for the periods indicated (dollars in thousands):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Allowance for Credit Losses</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r>
    </w:p>
    <w:tbl>
      <w:tblPr>
        <w:tblW w:w="6418" w:type="dxa"/>
        <w:jc w:val="left"/>
        <w:tblInd w:w="0" w:type="dxa"/>
        <w:tblLayout w:type="fixed"/>
        <w:tblCellMar>
          <w:top w:w="0" w:type="dxa"/>
          <w:left w:w="0" w:type="dxa"/>
          <w:bottom w:w="0" w:type="dxa"/>
          <w:right w:w="0" w:type="dxa"/>
        </w:tblCellMar>
      </w:tblPr>
      <w:tblGrid>
        <w:gridCol w:w="3335"/>
        <w:gridCol w:w="60"/>
        <w:gridCol w:w="243"/>
        <w:gridCol w:w="946"/>
        <w:gridCol w:w="60"/>
        <w:gridCol w:w="60"/>
        <w:gridCol w:w="998"/>
        <w:gridCol w:w="641"/>
        <w:gridCol w:w="75"/>
      </w:tblGrid>
      <w:tr>
        <w:trPr/>
        <w:tc>
          <w:tcPr>
            <w:tcW w:w="33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118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June 30, 2026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color w:val="000000"/>
              </w:rPr>
            </w:pPr>
            <w:r>
              <w:rPr>
                <w:color w:val="000000"/>
              </w:rPr>
              <w:t> </w:t>
            </w:r>
          </w:p>
        </w:tc>
        <w:tc>
          <w:tcPr>
            <w:tcW w:w="163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December 31, 2025</w:t>
            </w:r>
          </w:p>
        </w:tc>
        <w:tc>
          <w:tcPr>
            <w:tcW w:w="75" w:type="dxa"/>
            <w:tcBorders/>
            <w:vAlign w:val="bottom"/>
          </w:tcPr>
          <w:p>
            <w:pPr>
              <w:pStyle w:val="TableContents"/>
              <w:bidi w:val="0"/>
              <w:spacing w:before="0" w:after="283"/>
              <w:jc w:val="left"/>
              <w:rPr>
                <w:color w:val="000000"/>
              </w:rPr>
            </w:pPr>
            <w:r>
              <w:rPr>
                <w:color w:val="000000"/>
              </w:rPr>
              <w:t> </w:t>
            </w:r>
          </w:p>
        </w:tc>
      </w:tr>
      <w:tr>
        <w:trPr/>
        <w:tc>
          <w:tcPr>
            <w:tcW w:w="3335" w:type="dxa"/>
            <w:tcBorders/>
            <w:shd w:fill="CCEEFF" w:val="cle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Balance at beginning of period</w:t>
            </w:r>
          </w:p>
        </w:tc>
        <w:tc>
          <w:tcPr>
            <w:tcW w:w="60" w:type="dxa"/>
            <w:tcBorders/>
            <w:shd w:fill="CCEEFF" w:val="clear"/>
            <w:vAlign w:val="bottom"/>
          </w:tcPr>
          <w:p>
            <w:pPr>
              <w:pStyle w:val="TableContents"/>
              <w:bidi w:val="0"/>
              <w:spacing w:before="0" w:after="283"/>
              <w:jc w:val="right"/>
              <w:rPr/>
            </w:pPr>
            <w:r>
              <w:rPr/>
              <w:t> </w:t>
            </w:r>
          </w:p>
        </w:tc>
        <w:tc>
          <w:tcPr>
            <w:tcW w:w="243"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94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998"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41"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75" w:type="dxa"/>
            <w:tcBorders/>
            <w:shd w:fill="CCEEFF" w:val="clear"/>
            <w:vAlign w:val="bottom"/>
          </w:tcPr>
          <w:p>
            <w:pPr>
              <w:pStyle w:val="TableContents"/>
              <w:bidi w:val="0"/>
              <w:spacing w:before="0" w:after="283"/>
              <w:jc w:val="left"/>
              <w:rPr/>
            </w:pPr>
            <w:r>
              <w:rPr/>
              <w:t> </w:t>
            </w:r>
          </w:p>
        </w:tc>
      </w:tr>
      <w:tr>
        <w:trPr/>
        <w:tc>
          <w:tcPr>
            <w:tcW w:w="333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Provision for expected credit losses</w:t>
            </w:r>
          </w:p>
        </w:tc>
        <w:tc>
          <w:tcPr>
            <w:tcW w:w="60" w:type="dxa"/>
            <w:tcBorders/>
            <w:vAlign w:val="bottom"/>
          </w:tcPr>
          <w:p>
            <w:pPr>
              <w:pStyle w:val="TableContents"/>
              <w:bidi w:val="0"/>
              <w:spacing w:before="0" w:after="283"/>
              <w:jc w:val="right"/>
              <w:rPr/>
            </w:pPr>
            <w:r>
              <w:rPr/>
              <w:t> </w:t>
            </w:r>
          </w:p>
        </w:tc>
        <w:tc>
          <w:tcPr>
            <w:tcW w:w="243"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2,315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998" w:type="dxa"/>
            <w:tcBorders/>
            <w:vAlign w:val="bottom"/>
          </w:tcPr>
          <w:p>
            <w:pPr>
              <w:pStyle w:val="TableContents"/>
              <w:bidi w:val="0"/>
              <w:spacing w:before="0" w:after="283"/>
              <w:jc w:val="left"/>
              <w:rPr/>
            </w:pPr>
            <w:r>
              <w:rPr/>
              <w:t> </w:t>
            </w:r>
          </w:p>
        </w:tc>
        <w:tc>
          <w:tcPr>
            <w:tcW w:w="641"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75" w:type="dxa"/>
            <w:tcBorders/>
            <w:vAlign w:val="bottom"/>
          </w:tcPr>
          <w:p>
            <w:pPr>
              <w:pStyle w:val="TableContents"/>
              <w:bidi w:val="0"/>
              <w:spacing w:before="0" w:after="283"/>
              <w:jc w:val="left"/>
              <w:rPr/>
            </w:pPr>
            <w:r>
              <w:rPr/>
              <w:t> </w:t>
            </w:r>
          </w:p>
        </w:tc>
      </w:tr>
      <w:tr>
        <w:trPr/>
        <w:tc>
          <w:tcPr>
            <w:tcW w:w="333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Write-offs charged against the allowance</w:t>
            </w:r>
          </w:p>
        </w:tc>
        <w:tc>
          <w:tcPr>
            <w:tcW w:w="60" w:type="dxa"/>
            <w:tcBorders/>
            <w:shd w:fill="CCEEFF" w:val="clear"/>
            <w:vAlign w:val="bottom"/>
          </w:tcPr>
          <w:p>
            <w:pPr>
              <w:pStyle w:val="TableContents"/>
              <w:bidi w:val="0"/>
              <w:spacing w:before="0" w:after="283"/>
              <w:jc w:val="right"/>
              <w:rPr/>
            </w:pPr>
            <w:r>
              <w:rPr/>
              <w:t> </w:t>
            </w:r>
          </w:p>
        </w:tc>
        <w:tc>
          <w:tcPr>
            <w:tcW w:w="243"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998" w:type="dxa"/>
            <w:tcBorders/>
            <w:shd w:fill="CCEEFF" w:val="clear"/>
            <w:vAlign w:val="bottom"/>
          </w:tcPr>
          <w:p>
            <w:pPr>
              <w:pStyle w:val="TableContents"/>
              <w:bidi w:val="0"/>
              <w:spacing w:before="0" w:after="283"/>
              <w:jc w:val="left"/>
              <w:rPr/>
            </w:pPr>
            <w:r>
              <w:rPr/>
              <w:t> </w:t>
            </w:r>
          </w:p>
        </w:tc>
        <w:tc>
          <w:tcPr>
            <w:tcW w:w="641"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75" w:type="dxa"/>
            <w:tcBorders/>
            <w:shd w:fill="CCEEFF" w:val="clear"/>
            <w:vAlign w:val="bottom"/>
          </w:tcPr>
          <w:p>
            <w:pPr>
              <w:pStyle w:val="TableContents"/>
              <w:bidi w:val="0"/>
              <w:spacing w:before="0" w:after="283"/>
              <w:jc w:val="left"/>
              <w:rPr/>
            </w:pPr>
            <w:r>
              <w:rPr/>
              <w:t> </w:t>
            </w:r>
          </w:p>
        </w:tc>
      </w:tr>
      <w:tr>
        <w:trPr/>
        <w:tc>
          <w:tcPr>
            <w:tcW w:w="333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Recoveries collected</w:t>
            </w:r>
          </w:p>
        </w:tc>
        <w:tc>
          <w:tcPr>
            <w:tcW w:w="60" w:type="dxa"/>
            <w:tcBorders/>
            <w:vAlign w:val="bottom"/>
          </w:tcPr>
          <w:p>
            <w:pPr>
              <w:pStyle w:val="TableContents"/>
              <w:bidi w:val="0"/>
              <w:spacing w:before="0" w:after="283"/>
              <w:jc w:val="right"/>
              <w:rPr/>
            </w:pPr>
            <w:r>
              <w:rPr/>
              <w:t> </w:t>
            </w:r>
          </w:p>
        </w:tc>
        <w:tc>
          <w:tcPr>
            <w:tcW w:w="243" w:type="dxa"/>
            <w:tcBorders>
              <w:bottom w:val="single" w:sz="12" w:space="0" w:color="000000"/>
            </w:tcBorders>
            <w:tcMar>
              <w:bottom w:w="28" w:type="dxa"/>
            </w:tcMar>
            <w:vAlign w:val="bottom"/>
          </w:tcPr>
          <w:p>
            <w:pPr>
              <w:pStyle w:val="TableContents"/>
              <w:bidi w:val="0"/>
              <w:spacing w:before="0" w:after="283"/>
              <w:jc w:val="left"/>
              <w:rPr/>
            </w:pPr>
            <w:r>
              <w:rPr/>
              <w:t> </w:t>
            </w:r>
          </w:p>
        </w:tc>
        <w:tc>
          <w:tcPr>
            <w:tcW w:w="946"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998" w:type="dxa"/>
            <w:tcBorders>
              <w:bottom w:val="single" w:sz="12" w:space="0" w:color="000000"/>
            </w:tcBorders>
            <w:tcMar>
              <w:bottom w:w="28" w:type="dxa"/>
            </w:tcMar>
            <w:vAlign w:val="bottom"/>
          </w:tcPr>
          <w:p>
            <w:pPr>
              <w:pStyle w:val="TableContents"/>
              <w:bidi w:val="0"/>
              <w:spacing w:before="0" w:after="283"/>
              <w:jc w:val="left"/>
              <w:rPr/>
            </w:pPr>
            <w:r>
              <w:rPr/>
              <w:t> </w:t>
            </w:r>
          </w:p>
        </w:tc>
        <w:tc>
          <w:tcPr>
            <w:tcW w:w="641"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75" w:type="dxa"/>
            <w:tcBorders/>
            <w:vAlign w:val="bottom"/>
          </w:tcPr>
          <w:p>
            <w:pPr>
              <w:pStyle w:val="TableContents"/>
              <w:bidi w:val="0"/>
              <w:spacing w:before="0" w:after="283"/>
              <w:jc w:val="left"/>
              <w:rPr/>
            </w:pPr>
            <w:r>
              <w:rPr/>
              <w:t> </w:t>
            </w:r>
          </w:p>
        </w:tc>
      </w:tr>
      <w:tr>
        <w:trPr/>
        <w:tc>
          <w:tcPr>
            <w:tcW w:w="3335" w:type="dxa"/>
            <w:tcBorders/>
            <w:shd w:fill="CCEEFF" w:val="cle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Balance at end of period</w:t>
            </w:r>
          </w:p>
        </w:tc>
        <w:tc>
          <w:tcPr>
            <w:tcW w:w="60" w:type="dxa"/>
            <w:tcBorders/>
            <w:shd w:fill="CCEEFF" w:val="clear"/>
            <w:vAlign w:val="bottom"/>
          </w:tcPr>
          <w:p>
            <w:pPr>
              <w:pStyle w:val="TableContents"/>
              <w:bidi w:val="0"/>
              <w:spacing w:before="0" w:after="283"/>
              <w:jc w:val="right"/>
              <w:rPr/>
            </w:pPr>
            <w:r>
              <w:rPr/>
              <w:t> </w:t>
            </w:r>
          </w:p>
        </w:tc>
        <w:tc>
          <w:tcPr>
            <w:tcW w:w="243" w:type="dxa"/>
            <w:tcBorders/>
            <w:shd w:fill="CCEEFF" w:val="cle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946" w:type="dxa"/>
            <w:tcBorders/>
            <w:shd w:fill="CCEEFF" w:val="cle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2,315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998" w:type="dxa"/>
            <w:tcBorders/>
            <w:shd w:fill="CCEEFF" w:val="cle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641" w:type="dxa"/>
            <w:tcBorders/>
            <w:shd w:fill="CCEEFF" w:val="cle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Investments in MSRs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u w:val="single"/>
          <w:shd w:fill="FFFFFF" w:val="clear"/>
        </w:rPr>
        <w:t>Classification</w:t>
      </w:r>
      <w:r>
        <w:rPr>
          <w:rFonts w:ascii="Times New Roman" w:hAnsi="Times New Roman"/>
          <w:color w:val="000000"/>
          <w:sz w:val="20"/>
          <w:shd w:fill="FFFFFF" w:val="clear"/>
        </w:rPr>
        <w:t xml:space="preserve"> – MSRs represent the contractual right to service mortgage loans. The Company has elected the fair value option to record its investments in MSRs in order to provide users of the consolidated financial statements with better information regarding the effects of prepayment risk and other market factors on the MSRs. Under this election, the Company records a valuation adjustment on its investments in MSRs on a quarterly basis to recognize the changes in fair value of its MSRs in net income as described below.</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12</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Although transactions in MSRs are observable in the marketplace, the valuation includes unobservable market data inputs (prepayment speeds, costs to service and discount rates). Changes in the fair value of MSRs are reported on the consolidated statements of income (loss). Fluctuations in the fair value of MSRs are recorded within “Unrealized gain (loss) on investments in Servicing Related Assets” on the consolidated statements of income (loss). Fair value is generally determined by discounting the expected future cash flows using discount rates that incorporate the market risks and liquidity premium specific to the MSRs and, therefore, may differ from their effective yields. In determining the valuation of MSRs in accordance with ASC 820, management uses internally developed pricing models that are based on certain unobservable market-based inputs. The Company classifies these valuations as Level 3 in the fair value hierarchy. The Company’s application of ASC 820 guidance is discussed in further detail in Note 8.</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u w:val="single"/>
          <w:shd w:fill="FFFFFF" w:val="clear"/>
        </w:rPr>
        <w:t>Revenue Recognition</w:t>
      </w:r>
      <w:r>
        <w:rPr>
          <w:rFonts w:ascii="Times New Roman" w:hAnsi="Times New Roman"/>
          <w:color w:val="000000"/>
          <w:sz w:val="20"/>
          <w:shd w:fill="FFFFFF" w:val="clear"/>
        </w:rPr>
        <w:t xml:space="preserve"> – </w:t>
      </w:r>
      <w:r>
        <w:rPr>
          <w:rFonts w:ascii="Times New Roman" w:hAnsi="Times New Roman"/>
          <w:b w:val="false"/>
          <w:i w:val="false"/>
          <w:caps w:val="false"/>
          <w:smallCaps w:val="false"/>
          <w:color w:val="000000"/>
          <w:sz w:val="20"/>
          <w:shd w:fill="FFFFFF" w:val="clear"/>
        </w:rPr>
        <w:t>Mortgage servicing fee income represents revenue earned for servicing mortgage loans. The servicing fees are based on a contractual percentage of the outstanding principal balance and are recognized as revenue as the related mortgage payments are collected. Corresponding costs to service are charged to expense as incurred. Servicing fee income received and servicing expenses incurred are reported on the consolidated statements of income (loss). Float income from custodial accounts associated with MSRs is included in “Net interest income” on the consolidated statements of income (loss). Late fees and ancillary income are included in “Servicing fee income” on the consolidated statements of income (loss).</w:t>
      </w:r>
    </w:p>
    <w:p>
      <w:pPr>
        <w:pStyle w:val="TextBody"/>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As an owner of MSRs, the Company may be obligated to fund advances of principal and interest payments due to third-party owners of the loans underlying the MSRs but not yet received from the individual borrowers. These advances are reported as servicing advances within the “Receivables and other assets” line item on the consolidated balance sheets. Reimbursable servicing advances, other than principal and interest advances, also have been classified within “Receivables and other assets” on the consolidated balance sheets. Advances on Federal National Mortgage Association (“Fannie Mae”) and Federal Home Loan Mortgage Corporation (“Freddie Mac”) MSRs made in accordance with the relevant guidelines are generally recoverable. The Company’s Servicing Related Assets were composed entirely of Fannie Mae and Freddie Mac MSRs as of June 30, 2026 and December 31, 2025. As a result, the Company has determined that no reserves for unrecoverable advances for the related underlying loans are necessary at June 30, 2026 and December 31, 2025. For further discussion on the Company’s receivables and other assets, including the Company’s servicing advances, see Note 12.</w:t>
      </w:r>
    </w:p>
    <w:p>
      <w:pPr>
        <w:pStyle w:val="TextBody"/>
        <w:bidi w:val="0"/>
        <w:spacing w:before="0" w:after="0"/>
        <w:jc w:val="left"/>
        <w:rPr/>
      </w:pPr>
      <w:r>
        <w:rPr/>
      </w:r>
    </w:p>
    <w:p>
      <w:pPr>
        <w:pStyle w:val="TextBody"/>
        <w:bidi w:val="0"/>
        <w:spacing w:before="0" w:after="0"/>
        <w:jc w:val="left"/>
        <w:rPr>
          <w:rFonts w:ascii="Times New Roman" w:hAnsi="Times New Roman"/>
          <w:b/>
          <w:i/>
          <w:caps w:val="false"/>
          <w:smallCaps w:val="false"/>
          <w:color w:val="000000"/>
          <w:sz w:val="20"/>
          <w:shd w:fill="FFFFFF" w:val="clear"/>
        </w:rPr>
      </w:pPr>
      <w:r>
        <w:rPr>
          <w:rFonts w:ascii="Times New Roman" w:hAnsi="Times New Roman"/>
          <w:b/>
          <w:i/>
          <w:caps w:val="false"/>
          <w:smallCaps w:val="false"/>
          <w:color w:val="000000"/>
          <w:sz w:val="20"/>
          <w:shd w:fill="FFFFFF" w:val="clear"/>
        </w:rPr>
        <w:t>Derivatives and Hedging Activities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Derivative transactions include swaps, swaptions, Eris SOFR swap futures, U.S. Treasury futures and “to-be-announced” securities (“TBAs”). A TBA contract is an agreement to purchase or sell, for future delivery, an Agency RMBS with a specified issuer, term and coupon. Swaps, swaptions, and Eris SOFR swap futures are entered into by the Company solely for interest rate risk management purposes. Eris SOFR Swap futures are exchange-traded futures contracts that economically replicate the cash flows of SOFR-indexed interest rate swaps and are used as an alternative to over-the-counter swaps to manage exposure to changes in interest rates. TBAs and U.S. Treasury futures are used to manage duration risk as well as basis risk and pricing risk on the Company’s financing facilities for MSRs. The decision as to whether or not a given transaction/position (or portion thereof) is economically hedged is made on a case-by-case basis, based on the risks involved and other factors as determined by senior management, including restrictions imposed by the Code on REITs. In determining whether to economically hedge a risk, the Company may consider whether other assets, liabilities, firm commitments and anticipated transactions already offset or reduce the risk. All transactions undertaken as economic hedges are entered into with a view towards minimizing the potential for economic losses that could be incurred by the Company. Derivatives entered into are not intended to qualify as hedges under GAAP, unless specifically stated otherwise.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 xml:space="preserve">From </w:t>
      </w:r>
      <w:r>
        <w:rPr>
          <w:rFonts w:ascii="Times New Roman" w:hAnsi="Times New Roman"/>
          <w:b w:val="false"/>
          <w:i w:val="false"/>
          <w:caps w:val="false"/>
          <w:smallCaps w:val="false"/>
          <w:color w:val="000000"/>
          <w:spacing w:val="0"/>
          <w:sz w:val="20"/>
          <w:shd w:fill="FFFFFF" w:val="clear"/>
        </w:rPr>
        <w:t>time to time, the Company enters into a TBA dollar roll which represents a transaction where TBA contracts with the same terms but different settlement dates are simultaneously bought and sold. The TBA contract settling in the later month typically prices at a discount to the earlier month contract with the difference in price commonly referred to as the “drop”. The drop is a reflection of the expected net interest income from an investment in similar Agency RMBS, net of an implied financing cost, that would be foregone as a result of settling the contract in the later month rather than in the earlier month. The drop between the current settlement month price and the forward settlement month price occurs because in the TBA dollar roll market, the party providing the financing retains all principal and interest payments accrued during the financing period. Accordingly, drop income on TBA dollar rolls generally represents the economic equivalent of the net interest income earned on the underlying Agency RMBS less an implied financing cost. TBA dollar roll transactions are accounted for under GAAP as a series of derivatives transactions.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Company’s bi-lateral derivative financial instruments contain credit risk to the extent that its counterparties may be unable to meet the terms of the agreements. The Company reduces such risk by limiting its exposure to any one counterparty. In addition, the potential risk of loss with any one party resulting from this type of credit risk is monitored. The Company’s interest rate swaps, Eris SOFR swap futures and U.S. Treasury futures are required to be cleared on an exchange, which further mitigates, but does not eliminate, credit risk. Management does not expect any material losses as a result of default by other parties to its derivative financial instruments.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13</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b w:val="false"/>
          <w:i w:val="false"/>
          <w:caps w:val="false"/>
          <w:smallCaps w:val="false"/>
          <w:color w:val="000000"/>
          <w:sz w:val="20"/>
          <w:u w:val="single"/>
          <w:shd w:fill="FFFFFF" w:val="clear"/>
        </w:rPr>
        <w:t>Classification</w:t>
      </w:r>
      <w:r>
        <w:rPr>
          <w:rFonts w:ascii="Times New Roman" w:hAnsi="Times New Roman"/>
          <w:color w:val="000000"/>
          <w:sz w:val="20"/>
          <w:shd w:fill="FFFFFF" w:val="clear"/>
        </w:rPr>
        <w:t xml:space="preserve"> – </w:t>
      </w:r>
      <w:r>
        <w:rPr>
          <w:rFonts w:ascii="Times New Roman" w:hAnsi="Times New Roman"/>
          <w:b w:val="false"/>
          <w:i w:val="false"/>
          <w:caps w:val="false"/>
          <w:smallCaps w:val="false"/>
          <w:color w:val="000000"/>
          <w:sz w:val="20"/>
          <w:shd w:fill="FFFFFF" w:val="clear"/>
        </w:rPr>
        <w:t xml:space="preserve">All derivatives, including TBAs, are recognized as either assets or liabilities on the consolidated balance sheets and measured at fair value. </w:t>
      </w:r>
      <w:r>
        <w:rPr>
          <w:rFonts w:ascii="Times New Roman" w:hAnsi="Times New Roman"/>
          <w:b w:val="false"/>
          <w:i w:val="false"/>
          <w:caps w:val="false"/>
          <w:smallCaps w:val="false"/>
          <w:color w:val="000000"/>
          <w:spacing w:val="0"/>
          <w:sz w:val="20"/>
          <w:shd w:fill="FFFFFF" w:val="clear"/>
        </w:rPr>
        <w:t xml:space="preserve">The fair value of TBA derivatives is determined using methods similar to those used to value Agency RMBS. </w:t>
      </w:r>
      <w:r>
        <w:rPr>
          <w:rFonts w:ascii="Times New Roman" w:hAnsi="Times New Roman"/>
          <w:b w:val="false"/>
          <w:i w:val="false"/>
          <w:caps w:val="false"/>
          <w:smallCaps w:val="false"/>
          <w:color w:val="000000"/>
          <w:sz w:val="20"/>
          <w:shd w:fill="FFFFFF" w:val="clear"/>
        </w:rPr>
        <w:t>Due to the nature of these instruments, they may be in a receivable/asset position or a payable/liability position at the end of an accounting period. Derivative amounts payable to, and receivable from, the same party under a contract may be offset as long as the following conditions are met: (i) each of the two parties owes the other determinable amounts; (ii) the reporting party has the right to offset the amount owed with the amount owed by the other party; (iii) the reporting party intends to offset; and (iv) the right to offset is enforceable by law. The Company reports derivative instruments at fair value, gross of cash paid or received pursuant to credit support agreements. For further discussion on offsetting assets and liabilities, see Note 7.</w:t>
      </w:r>
    </w:p>
    <w:p>
      <w:pPr>
        <w:pStyle w:val="TextBody"/>
        <w:bidi w:val="0"/>
        <w:spacing w:before="0" w:after="0"/>
        <w:jc w:val="left"/>
        <w:rPr/>
      </w:pPr>
      <w:r>
        <w:rPr/>
      </w:r>
    </w:p>
    <w:p>
      <w:pPr>
        <w:pStyle w:val="TextBody"/>
        <w:bidi w:val="0"/>
        <w:spacing w:before="0" w:after="0"/>
        <w:ind w:left="0" w:right="0" w:firstLine="72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u w:val="single"/>
          <w:shd w:fill="FFFFFF" w:val="clear"/>
        </w:rPr>
        <w:t>Revenue Recognition</w:t>
      </w:r>
      <w:r>
        <w:rPr>
          <w:rFonts w:ascii="Times New Roman" w:hAnsi="Times New Roman"/>
          <w:color w:val="000000"/>
          <w:sz w:val="20"/>
          <w:shd w:fill="FFFFFF" w:val="clear"/>
        </w:rPr>
        <w:t xml:space="preserve"> – </w:t>
      </w:r>
      <w:r>
        <w:rPr>
          <w:rFonts w:ascii="Times New Roman" w:hAnsi="Times New Roman"/>
          <w:b w:val="false"/>
          <w:i w:val="false"/>
          <w:caps w:val="false"/>
          <w:smallCaps w:val="false"/>
          <w:color w:val="000000"/>
          <w:sz w:val="20"/>
          <w:shd w:fill="FFFFFF" w:val="clear"/>
        </w:rPr>
        <w:t>With respect to derivatives that have not been designated as hedges, any payments under, or fluctuations in the fair value of, such derivatives have been recognized currently in “Realized gain (loss) on derivatives, net” and “Unrealized gain (loss) on derivatives, net”, respectively, in the consolidated statements of income (loss).</w:t>
      </w:r>
      <w:r>
        <w:rPr>
          <w:rFonts w:ascii="Times New Roman" w:hAnsi="Times New Roman"/>
          <w:color w:val="000000"/>
          <w:sz w:val="20"/>
          <w:shd w:fill="FFFFFF" w:val="clear"/>
        </w:rPr>
        <w:t xml:space="preserve"> </w:t>
      </w:r>
      <w:r>
        <w:rPr>
          <w:rFonts w:ascii="Times New Roman" w:hAnsi="Times New Roman"/>
          <w:b w:val="false"/>
          <w:i w:val="false"/>
          <w:caps w:val="false"/>
          <w:smallCaps w:val="false"/>
          <w:color w:val="000000"/>
          <w:sz w:val="20"/>
          <w:shd w:fill="FFFFFF" w:val="clear"/>
        </w:rPr>
        <w:t>Interest rate swap periodic interest income (expense) is included in “Realized gain (loss) on derivatives, net” in the consolidated statements of income (loss).</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Cash and Cash Equivalents and Restricted Cash</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Company considers all highly liquid short-term investments with maturities of 90 days or less when purchased to be cash equivalents. Substantially all amounts on deposit with major financial institutions exceed insured limits. Restricted cash represents the Company’s cash held by counterparties which primarily consists of (i) as collateral against the Company’s derivatives (approximately $21.3 million and $4.7 million at June 30, 2026 and December 31, 2025, respectively) and (ii) as collateral for borrowings under its repurchase agreements (approximately $2.3 million and $2.9 million at June 30, 2026 and December 31, 2025, respectively).</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Company’s centrally cleared interest rate swaps require that the Company post an “initial margin” amount determined by the clearing exchange, which is generally intended to be set at a level sufficient to protect the exchange from the interest rate swap’s maximum estimated single-day price movement. The Company also exchanges “variation margin” based upon daily changes in fair value, as measured by the exchange. As a result of amendments to rules governing certain central clearing activities, the exchange of variation margin is a settlement of the interest rate swap, as opposed to pledged collateral. The Company has accounted for the receipt or payment of variation margin on interest rate swaps as a direct reduction or increase to the carrying value of the interest rate swap asset or liability. At June 30, 2026 and December 31, 2025, approximately $33.9 million and $34.3 million, respectively, of variation margin was reported as a decrease to the interest rate swap asset, at fair value. The receipt or payment of initial margin is accounted for separate from the derivative asset or liability and is netted on a counterparty basis and classified within restricted cash or due to counterparty on the Company’s consolidated balance sheets.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14</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Income Taxes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 xml:space="preserve">The Company elected to be taxed as a REIT under Code Sections 856 through 860 beginning with its short taxable year ended December 31, 2013. U.S. federal income tax law generally requires that a REIT distribute annually at least 90% of its REIT taxable income, without regard to the deduction for dividends paid and excluding net capital gains, and that it pay tax at regular corporate income tax rates to the extent that it annually distributes less than 100% of its taxable income. The Company’s taxable REIT subsidiary (“TRS”), CHMI Solutions, as well as CHMI Solutions’ wholly-owned subsidiary, Aurora, are subject to U.S. federal income taxes on their taxable income. To maintain qualification as a REIT, the Company must distribute at least 90% of its annual REIT taxable income to its stockholders and meet certain other requirements such as assets it may hold, income it may generate and its stockholder composition. In 2017, the Internal Revenue Service issued a revenue procedure permitting “publicly offered” REITs to make elective stock dividends (i.e., dividends paid in a mixture of stock and cash), with at least 20% of the total distribution being paid in cash, to satisfy their REIT distribution requirements. In December 2021, the Internal Revenue Service issued a revenue procedure that temporarily reduced the minimum amount of the total distribution that must be paid in cash to 10% for distributions declared on or after </w:t>
      </w:r>
      <w:r>
        <w:rPr>
          <w:rFonts w:ascii="Times New Roman" w:hAnsi="Times New Roman"/>
          <w:b w:val="false"/>
          <w:i w:val="false"/>
          <w:caps w:val="false"/>
          <w:smallCaps w:val="false"/>
          <w:color w:val="000000"/>
          <w:sz w:val="20"/>
          <w:shd w:fill="FFFFFF" w:val="clear"/>
        </w:rPr>
        <w:t>November 1, 2021, and on or before June 30, 2022, provided certain other parameters detailed in the Revenue Procedure are satisfied. Pursuant to these revenue procedures, the Company has in the past electe</w:t>
      </w:r>
      <w:r>
        <w:rPr>
          <w:rFonts w:ascii="Times New Roman" w:hAnsi="Times New Roman"/>
          <w:color w:val="000000"/>
          <w:sz w:val="20"/>
          <w:shd w:fill="FFFFFF" w:val="clear"/>
        </w:rPr>
        <w:t>d to make distributions of its taxable income in a mixture of stock and cash.</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 xml:space="preserve">The Company accounts for income taxes in accordance with ASC 740, </w:t>
      </w:r>
      <w:r>
        <w:rPr>
          <w:rFonts w:ascii="Times New Roman" w:hAnsi="Times New Roman"/>
          <w:i/>
          <w:color w:val="000000"/>
          <w:sz w:val="20"/>
          <w:shd w:fill="FFFFFF" w:val="clear"/>
        </w:rPr>
        <w:t>Income Taxes</w:t>
      </w:r>
      <w:r>
        <w:rPr>
          <w:rFonts w:ascii="Times New Roman" w:hAnsi="Times New Roman"/>
          <w:color w:val="000000"/>
          <w:sz w:val="20"/>
          <w:shd w:fill="FFFFFF" w:val="clear"/>
        </w:rPr>
        <w:t>. ASC 740 requires the recording of deferred income taxes that reflect the net tax effect of temporary differences between the carrying amounts of the Company’s assets and liabilities for financial reporting purposes and the amounts used for income tax purposes, including operating loss carry forwards. Deferred tax assets and liabilities are measured using enacted tax rates expected to apply to taxable income in the years in which those temporary differences are expected to be recovered or settled. The effect of a change in tax rates on deferred tax assets and liabilities is recognized in earnings in the period that includes the enactment date. The Company assesses its tax positions for all open tax years and determines if it has any material unrecognized liabilities in accordance with ASC 740. The Company records these liabilities to the extent it deems them more-likely-than-not to be incurred. The Company records interest and penalties related to income taxes within the provision for income taxes in the consolidated statements of income (loss). The Company has not incurred any interest or penalties.</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Realized Gain (Loss) on RMBS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 presents realized gains or losses on RMBS for the periods indicated (dollars in thousands):</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5151"/>
        <w:gridCol w:w="60"/>
        <w:gridCol w:w="187"/>
        <w:gridCol w:w="819"/>
        <w:gridCol w:w="142"/>
        <w:gridCol w:w="90"/>
        <w:gridCol w:w="187"/>
        <w:gridCol w:w="954"/>
        <w:gridCol w:w="95"/>
        <w:gridCol w:w="60"/>
        <w:gridCol w:w="171"/>
        <w:gridCol w:w="749"/>
        <w:gridCol w:w="130"/>
        <w:gridCol w:w="82"/>
        <w:gridCol w:w="171"/>
        <w:gridCol w:w="874"/>
        <w:gridCol w:w="283"/>
      </w:tblGrid>
      <w:tr>
        <w:trPr/>
        <w:tc>
          <w:tcPr>
            <w:tcW w:w="5151" w:type="dxa"/>
            <w:tcBorders/>
            <w:vAlign w:val="bottom"/>
          </w:tcPr>
          <w:p>
            <w:pPr>
              <w:pStyle w:val="TableContents"/>
              <w:bidi w:val="0"/>
              <w:spacing w:before="0" w:after="0"/>
              <w:ind w:left="144" w:right="0" w:hanging="144"/>
              <w:jc w:val="left"/>
              <w:rPr/>
            </w:pPr>
            <w:r>
              <w:rPr/>
              <w:t> </w:t>
            </w:r>
          </w:p>
        </w:tc>
        <w:tc>
          <w:tcPr>
            <w:tcW w:w="60" w:type="dxa"/>
            <w:tcBorders/>
            <w:vAlign w:val="bottom"/>
          </w:tcPr>
          <w:p>
            <w:pPr>
              <w:pStyle w:val="TableContents"/>
              <w:bidi w:val="0"/>
              <w:spacing w:before="0" w:after="283"/>
              <w:jc w:val="left"/>
              <w:rPr/>
            </w:pPr>
            <w:r>
              <w:rPr/>
              <w:t> </w:t>
            </w:r>
          </w:p>
        </w:tc>
        <w:tc>
          <w:tcPr>
            <w:tcW w:w="2379"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Three Months Ended June 30,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77" w:type="dxa"/>
            <w:gridSpan w:val="6"/>
            <w:tcBorders>
              <w:bottom w:val="single" w:sz="12" w:space="0" w:color="000000"/>
            </w:tcBorders>
            <w:tcMar>
              <w:bottom w:w="28" w:type="dxa"/>
            </w:tcMar>
            <w:vAlign w:val="bottom"/>
          </w:tcPr>
          <w:p>
            <w:pPr>
              <w:pStyle w:val="TableContents"/>
              <w:bidi w:val="0"/>
              <w:spacing w:before="0" w:after="0"/>
              <w:ind w:left="0" w:right="0" w:hanging="140"/>
              <w:jc w:val="center"/>
              <w:rPr>
                <w:rFonts w:ascii="Times New Roman" w:hAnsi="Times New Roman"/>
                <w:b/>
                <w:sz w:val="20"/>
              </w:rPr>
            </w:pPr>
            <w:r>
              <w:rPr>
                <w:rFonts w:ascii="Times New Roman" w:hAnsi="Times New Roman"/>
                <w:b/>
                <w:sz w:val="20"/>
              </w:rPr>
              <w:t>Six Months Ended June 30,</w:t>
            </w:r>
          </w:p>
        </w:tc>
        <w:tc>
          <w:tcPr>
            <w:tcW w:w="283" w:type="dxa"/>
            <w:tcBorders/>
            <w:vAlign w:val="bottom"/>
          </w:tcPr>
          <w:p>
            <w:pPr>
              <w:pStyle w:val="TableContents"/>
              <w:bidi w:val="0"/>
              <w:spacing w:before="0" w:after="283"/>
              <w:jc w:val="left"/>
              <w:rPr/>
            </w:pPr>
            <w:r>
              <w:rPr/>
              <w:t> </w:t>
            </w:r>
          </w:p>
        </w:tc>
      </w:tr>
      <w:tr>
        <w:trPr/>
        <w:tc>
          <w:tcPr>
            <w:tcW w:w="5151" w:type="dxa"/>
            <w:tcBorders/>
            <w:vAlign w:val="bottom"/>
          </w:tcPr>
          <w:p>
            <w:pPr>
              <w:pStyle w:val="TableContents"/>
              <w:bidi w:val="0"/>
              <w:spacing w:before="0" w:after="0"/>
              <w:ind w:left="144" w:right="0" w:hanging="144"/>
              <w:jc w:val="left"/>
              <w:rPr/>
            </w:pPr>
            <w:r>
              <w:rPr/>
              <w:t> </w:t>
            </w:r>
          </w:p>
        </w:tc>
        <w:tc>
          <w:tcPr>
            <w:tcW w:w="60" w:type="dxa"/>
            <w:tcBorders/>
            <w:vAlign w:val="bottom"/>
          </w:tcPr>
          <w:p>
            <w:pPr>
              <w:pStyle w:val="TableContents"/>
              <w:bidi w:val="0"/>
              <w:spacing w:before="0" w:after="283"/>
              <w:jc w:val="left"/>
              <w:rPr/>
            </w:pPr>
            <w:r>
              <w:rPr/>
              <w:t> </w:t>
            </w:r>
          </w:p>
        </w:tc>
        <w:tc>
          <w:tcPr>
            <w:tcW w:w="1006"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2026</w:t>
            </w:r>
          </w:p>
        </w:tc>
        <w:tc>
          <w:tcPr>
            <w:tcW w:w="1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1141"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bottom"/>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2026</w:t>
            </w:r>
          </w:p>
        </w:tc>
        <w:tc>
          <w:tcPr>
            <w:tcW w:w="130"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045" w:type="dxa"/>
            <w:gridSpan w:val="2"/>
            <w:tcBorders>
              <w:bottom w:val="single" w:sz="12" w:space="0" w:color="000000"/>
            </w:tcBorders>
            <w:tcMar>
              <w:bottom w:w="28" w:type="dxa"/>
            </w:tcMar>
            <w:vAlign w:val="bottom"/>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2025</w:t>
            </w:r>
          </w:p>
        </w:tc>
        <w:tc>
          <w:tcPr>
            <w:tcW w:w="283" w:type="dxa"/>
            <w:tcBorders/>
            <w:vAlign w:val="bottom"/>
          </w:tcPr>
          <w:p>
            <w:pPr>
              <w:pStyle w:val="TableContents"/>
              <w:bidi w:val="0"/>
              <w:spacing w:before="0" w:after="283"/>
              <w:jc w:val="left"/>
              <w:rPr/>
            </w:pPr>
            <w:r>
              <w:rPr/>
              <w:t> </w:t>
            </w:r>
          </w:p>
        </w:tc>
      </w:tr>
      <w:tr>
        <w:trPr/>
        <w:tc>
          <w:tcPr>
            <w:tcW w:w="5151" w:type="dxa"/>
            <w:tcBorders/>
            <w:shd w:fill="CCEEFF" w:val="clear"/>
            <w:vAlign w:val="bottom"/>
          </w:tcPr>
          <w:p>
            <w:pPr>
              <w:pStyle w:val="TableContents"/>
              <w:bidi w:val="0"/>
              <w:spacing w:before="0" w:after="0"/>
              <w:ind w:left="144" w:right="0" w:hanging="144"/>
              <w:jc w:val="left"/>
              <w:rPr>
                <w:rFonts w:ascii="Times New Roman" w:hAnsi="Times New Roman"/>
                <w:b/>
                <w:sz w:val="20"/>
              </w:rPr>
            </w:pPr>
            <w:r>
              <w:rPr>
                <w:rFonts w:ascii="Times New Roman" w:hAnsi="Times New Roman"/>
                <w:b/>
                <w:sz w:val="20"/>
              </w:rPr>
              <w:t>Realized gain (loss) on RMBS, net</w:t>
            </w:r>
          </w:p>
        </w:tc>
        <w:tc>
          <w:tcPr>
            <w:tcW w:w="60" w:type="dxa"/>
            <w:tcBorders/>
            <w:shd w:fill="CCEEFF" w:val="clear"/>
            <w:vAlign w:val="bottom"/>
          </w:tcPr>
          <w:p>
            <w:pPr>
              <w:pStyle w:val="TableContents"/>
              <w:bidi w:val="0"/>
              <w:spacing w:before="0" w:after="283"/>
              <w:jc w:val="left"/>
              <w:rPr/>
            </w:pPr>
            <w:r>
              <w:rPr/>
              <w:t> </w:t>
            </w:r>
          </w:p>
        </w:tc>
        <w:tc>
          <w:tcPr>
            <w:tcW w:w="1006" w:type="dxa"/>
            <w:gridSpan w:val="2"/>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1141" w:type="dxa"/>
            <w:gridSpan w:val="2"/>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20" w:type="dxa"/>
            <w:gridSpan w:val="2"/>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045" w:type="dxa"/>
            <w:gridSpan w:val="2"/>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r>
      <w:tr>
        <w:trPr/>
        <w:tc>
          <w:tcPr>
            <w:tcW w:w="5151" w:type="dxa"/>
            <w:tcBorders/>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Loss on RMBS, available-for-sale, measured at fair value through OCI </w:t>
            </w:r>
            <w:r>
              <w:rPr>
                <w:rFonts w:ascii="Times New Roman" w:hAnsi="Times New Roman"/>
                <w:position w:val="7"/>
                <w:sz w:val="16"/>
                <w:sz w:val="20"/>
              </w:rPr>
              <w:t>(A)</w:t>
            </w:r>
          </w:p>
        </w:tc>
        <w:tc>
          <w:tcPr>
            <w:tcW w:w="60" w:type="dxa"/>
            <w:tcBorders/>
            <w:vAlign w:val="bottom"/>
          </w:tcPr>
          <w:p>
            <w:pPr>
              <w:pStyle w:val="TableContents"/>
              <w:bidi w:val="0"/>
              <w:spacing w:before="0" w:after="283"/>
              <w:jc w:val="right"/>
              <w:rPr/>
            </w:pPr>
            <w:r>
              <w:rPr/>
              <w:t> </w:t>
            </w:r>
          </w:p>
        </w:tc>
        <w:tc>
          <w:tcPr>
            <w:tcW w:w="18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1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(498</w:t>
            </w:r>
          </w:p>
        </w:tc>
        <w:tc>
          <w:tcPr>
            <w:tcW w:w="14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0" w:type="dxa"/>
            <w:tcBorders/>
            <w:vAlign w:val="bottom"/>
          </w:tcPr>
          <w:p>
            <w:pPr>
              <w:pStyle w:val="TableContents"/>
              <w:bidi w:val="0"/>
              <w:spacing w:before="0" w:after="283"/>
              <w:jc w:val="right"/>
              <w:rPr/>
            </w:pPr>
            <w:r>
              <w:rPr/>
              <w:t> </w:t>
            </w:r>
          </w:p>
        </w:tc>
        <w:tc>
          <w:tcPr>
            <w:tcW w:w="18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4"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4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(498</w:t>
            </w:r>
          </w:p>
        </w:tc>
        <w:tc>
          <w:tcPr>
            <w:tcW w:w="13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2" w:type="dxa"/>
            <w:tcBorders/>
            <w:vAlign w:val="bottom"/>
          </w:tcPr>
          <w:p>
            <w:pPr>
              <w:pStyle w:val="TableContents"/>
              <w:bidi w:val="0"/>
              <w:spacing w:before="0" w:after="283"/>
              <w:jc w:val="right"/>
              <w:rPr/>
            </w:pPr>
            <w:r>
              <w:rPr/>
              <w:t> </w:t>
            </w:r>
          </w:p>
        </w:tc>
        <w:tc>
          <w:tcPr>
            <w:tcW w:w="17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74"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(3,074</w:t>
            </w:r>
          </w:p>
        </w:tc>
        <w:tc>
          <w:tcPr>
            <w:tcW w:w="283" w:type="dxa"/>
            <w:tcBorders/>
            <w:vAlign w:val="bottom"/>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w:t>
            </w:r>
          </w:p>
        </w:tc>
      </w:tr>
      <w:tr>
        <w:trPr/>
        <w:tc>
          <w:tcPr>
            <w:tcW w:w="5151" w:type="dxa"/>
            <w:tcBorders/>
            <w:shd w:fill="CCEEFF" w:val="clear"/>
            <w:vAlign w:val="bottom"/>
          </w:tcPr>
          <w:p>
            <w:pPr>
              <w:pStyle w:val="TableContents"/>
              <w:bidi w:val="0"/>
              <w:spacing w:before="0" w:after="283"/>
              <w:jc w:val="left"/>
              <w:rPr/>
            </w:pPr>
            <w:r>
              <w:rPr/>
              <w:t>Gain on RMBS measured at fair value through earnings</w:t>
            </w:r>
          </w:p>
        </w:tc>
        <w:tc>
          <w:tcPr>
            <w:tcW w:w="60" w:type="dxa"/>
            <w:tcBorders/>
            <w:shd w:fill="CCEEFF" w:val="clear"/>
            <w:vAlign w:val="bottom"/>
          </w:tcPr>
          <w:p>
            <w:pPr>
              <w:pStyle w:val="TableContents"/>
              <w:bidi w:val="0"/>
              <w:spacing w:before="0" w:after="283"/>
              <w:jc w:val="right"/>
              <w:rPr/>
            </w:pPr>
            <w:r>
              <w:rPr/>
              <w:t> </w:t>
            </w:r>
          </w:p>
        </w:tc>
        <w:tc>
          <w:tcPr>
            <w:tcW w:w="187"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before="0" w:after="283"/>
              <w:jc w:val="right"/>
              <w:rPr/>
            </w:pPr>
            <w:r>
              <w:rPr/>
              <w:t>9</w:t>
            </w:r>
          </w:p>
        </w:tc>
        <w:tc>
          <w:tcPr>
            <w:tcW w:w="142"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right"/>
              <w:rPr/>
            </w:pPr>
            <w:r>
              <w:rPr/>
              <w:t> </w:t>
            </w:r>
          </w:p>
        </w:tc>
        <w:tc>
          <w:tcPr>
            <w:tcW w:w="187" w:type="dxa"/>
            <w:tcBorders/>
            <w:shd w:fill="CCEEFF" w:val="clear"/>
            <w:vAlign w:val="bottom"/>
          </w:tcPr>
          <w:p>
            <w:pPr>
              <w:pStyle w:val="TableContents"/>
              <w:bidi w:val="0"/>
              <w:spacing w:before="0" w:after="283"/>
              <w:jc w:val="left"/>
              <w:rPr/>
            </w:pPr>
            <w:r>
              <w:rPr/>
              <w:t> </w:t>
            </w:r>
          </w:p>
        </w:tc>
        <w:tc>
          <w:tcPr>
            <w:tcW w:w="954" w:type="dxa"/>
            <w:tcBorders/>
            <w:shd w:fill="CCEEFF" w:val="clear"/>
            <w:vAlign w:val="bottom"/>
          </w:tcPr>
          <w:p>
            <w:pPr>
              <w:pStyle w:val="TableContents"/>
              <w:bidi w:val="0"/>
              <w:spacing w:before="0" w:after="283"/>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1" w:type="dxa"/>
            <w:tcBorders/>
            <w:shd w:fill="CCEEFF" w:val="clear"/>
            <w:vAlign w:val="bottom"/>
          </w:tcPr>
          <w:p>
            <w:pPr>
              <w:pStyle w:val="TableContents"/>
              <w:bidi w:val="0"/>
              <w:spacing w:before="0" w:after="283"/>
              <w:jc w:val="left"/>
              <w:rPr/>
            </w:pPr>
            <w:r>
              <w:rPr/>
              <w:t> </w:t>
            </w:r>
          </w:p>
        </w:tc>
        <w:tc>
          <w:tcPr>
            <w:tcW w:w="749" w:type="dxa"/>
            <w:tcBorders/>
            <w:shd w:fill="CCEEFF" w:val="clear"/>
            <w:vAlign w:val="bottom"/>
          </w:tcPr>
          <w:p>
            <w:pPr>
              <w:pStyle w:val="TableContents"/>
              <w:bidi w:val="0"/>
              <w:spacing w:before="0" w:after="283"/>
              <w:jc w:val="right"/>
              <w:rPr/>
            </w:pPr>
            <w:r>
              <w:rPr/>
              <w:t>9</w:t>
            </w:r>
          </w:p>
        </w:tc>
        <w:tc>
          <w:tcPr>
            <w:tcW w:w="130"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right"/>
              <w:rPr/>
            </w:pPr>
            <w:r>
              <w:rPr/>
              <w:t> </w:t>
            </w:r>
          </w:p>
        </w:tc>
        <w:tc>
          <w:tcPr>
            <w:tcW w:w="171" w:type="dxa"/>
            <w:tcBorders/>
            <w:shd w:fill="CCEEFF" w:val="clear"/>
            <w:vAlign w:val="bottom"/>
          </w:tcPr>
          <w:p>
            <w:pPr>
              <w:pStyle w:val="TableContents"/>
              <w:bidi w:val="0"/>
              <w:spacing w:before="0" w:after="283"/>
              <w:jc w:val="left"/>
              <w:rPr/>
            </w:pPr>
            <w:r>
              <w:rPr/>
              <w:t> </w:t>
            </w:r>
          </w:p>
        </w:tc>
        <w:tc>
          <w:tcPr>
            <w:tcW w:w="874" w:type="dxa"/>
            <w:tcBorders/>
            <w:shd w:fill="CCEEFF" w:val="clear"/>
            <w:vAlign w:val="bottom"/>
          </w:tcPr>
          <w:p>
            <w:pPr>
              <w:pStyle w:val="TableContents"/>
              <w:bidi w:val="0"/>
              <w:spacing w:before="0" w:after="283"/>
              <w:jc w:val="right"/>
              <w:rPr/>
            </w:pPr>
            <w:r>
              <w:rPr/>
              <w:t>-</w:t>
            </w:r>
          </w:p>
        </w:tc>
        <w:tc>
          <w:tcPr>
            <w:tcW w:w="283" w:type="dxa"/>
            <w:tcBorders/>
            <w:shd w:fill="CCEEFF" w:val="clear"/>
            <w:vAlign w:val="bottom"/>
          </w:tcPr>
          <w:p>
            <w:pPr>
              <w:pStyle w:val="TableContents"/>
              <w:bidi w:val="0"/>
              <w:spacing w:before="0" w:after="283"/>
              <w:jc w:val="left"/>
              <w:rPr/>
            </w:pPr>
            <w:r>
              <w:rPr/>
              <w:t> </w:t>
            </w:r>
          </w:p>
        </w:tc>
      </w:tr>
      <w:tr>
        <w:trPr/>
        <w:tc>
          <w:tcPr>
            <w:tcW w:w="5151" w:type="dxa"/>
            <w:tcBorders/>
            <w:vAlign w:val="bottom"/>
          </w:tcPr>
          <w:p>
            <w:pPr>
              <w:pStyle w:val="TableContents"/>
              <w:bidi w:val="0"/>
              <w:spacing w:before="0" w:after="0"/>
              <w:ind w:left="180" w:right="0" w:hanging="0"/>
              <w:jc w:val="left"/>
              <w:rPr/>
            </w:pPr>
            <w:r>
              <w:rPr/>
              <w:t>Loss on RMBS measured at fair value through earnings</w:t>
            </w:r>
          </w:p>
        </w:tc>
        <w:tc>
          <w:tcPr>
            <w:tcW w:w="60" w:type="dxa"/>
            <w:tcBorders/>
            <w:vAlign w:val="bottom"/>
          </w:tcPr>
          <w:p>
            <w:pPr>
              <w:pStyle w:val="TableContents"/>
              <w:bidi w:val="0"/>
              <w:spacing w:before="0" w:after="283"/>
              <w:jc w:val="right"/>
              <w:rPr/>
            </w:pPr>
            <w:r>
              <w:rPr/>
              <w:t> </w:t>
            </w:r>
          </w:p>
        </w:tc>
        <w:tc>
          <w:tcPr>
            <w:tcW w:w="187" w:type="dxa"/>
            <w:tcBorders>
              <w:bottom w:val="single" w:sz="12" w:space="0" w:color="000000"/>
            </w:tcBorders>
            <w:tcMar>
              <w:bottom w:w="28" w:type="dxa"/>
            </w:tcMar>
            <w:vAlign w:val="bottom"/>
          </w:tcPr>
          <w:p>
            <w:pPr>
              <w:pStyle w:val="TableContents"/>
              <w:bidi w:val="0"/>
              <w:spacing w:before="0" w:after="283"/>
              <w:jc w:val="left"/>
              <w:rPr/>
            </w:pPr>
            <w:r>
              <w:rPr/>
              <w:t> </w:t>
            </w:r>
          </w:p>
        </w:tc>
        <w:tc>
          <w:tcPr>
            <w:tcW w:w="819" w:type="dxa"/>
            <w:tcBorders>
              <w:bottom w:val="single" w:sz="12" w:space="0" w:color="000000"/>
            </w:tcBorders>
            <w:tcMar>
              <w:bottom w:w="28" w:type="dxa"/>
            </w:tcMar>
            <w:vAlign w:val="bottom"/>
          </w:tcPr>
          <w:p>
            <w:pPr>
              <w:pStyle w:val="TableContents"/>
              <w:bidi w:val="0"/>
              <w:spacing w:before="0" w:after="283"/>
              <w:jc w:val="right"/>
              <w:rPr/>
            </w:pPr>
            <w:r>
              <w:rPr/>
              <w:t>(558</w:t>
            </w:r>
          </w:p>
        </w:tc>
        <w:tc>
          <w:tcPr>
            <w:tcW w:w="142" w:type="dxa"/>
            <w:tcBorders/>
            <w:vAlign w:val="bottom"/>
          </w:tcPr>
          <w:p>
            <w:pPr>
              <w:pStyle w:val="TableContents"/>
              <w:bidi w:val="0"/>
              <w:spacing w:before="0" w:after="283"/>
              <w:jc w:val="left"/>
              <w:rPr/>
            </w:pPr>
            <w:r>
              <w:rPr/>
              <w:t>)</w:t>
            </w:r>
          </w:p>
        </w:tc>
        <w:tc>
          <w:tcPr>
            <w:tcW w:w="90" w:type="dxa"/>
            <w:tcBorders/>
            <w:vAlign w:val="bottom"/>
          </w:tcPr>
          <w:p>
            <w:pPr>
              <w:pStyle w:val="TableContents"/>
              <w:bidi w:val="0"/>
              <w:spacing w:before="0" w:after="283"/>
              <w:jc w:val="right"/>
              <w:rPr/>
            </w:pPr>
            <w:r>
              <w:rPr/>
              <w:t> </w:t>
            </w:r>
          </w:p>
        </w:tc>
        <w:tc>
          <w:tcPr>
            <w:tcW w:w="187" w:type="dxa"/>
            <w:tcBorders>
              <w:bottom w:val="single" w:sz="12" w:space="0" w:color="000000"/>
            </w:tcBorders>
            <w:tcMar>
              <w:bottom w:w="28" w:type="dxa"/>
            </w:tcMar>
            <w:vAlign w:val="bottom"/>
          </w:tcPr>
          <w:p>
            <w:pPr>
              <w:pStyle w:val="TableContents"/>
              <w:bidi w:val="0"/>
              <w:spacing w:before="0" w:after="283"/>
              <w:jc w:val="left"/>
              <w:rPr/>
            </w:pPr>
            <w:r>
              <w:rPr/>
              <w:t> </w:t>
            </w:r>
          </w:p>
        </w:tc>
        <w:tc>
          <w:tcPr>
            <w:tcW w:w="954" w:type="dxa"/>
            <w:tcBorders>
              <w:bottom w:val="single" w:sz="12" w:space="0" w:color="000000"/>
            </w:tcBorders>
            <w:tcMar>
              <w:bottom w:w="28" w:type="dxa"/>
            </w:tcMar>
            <w:vAlign w:val="bottom"/>
          </w:tcPr>
          <w:p>
            <w:pPr>
              <w:pStyle w:val="TableContents"/>
              <w:bidi w:val="0"/>
              <w:spacing w:before="0" w:after="283"/>
              <w:jc w:val="right"/>
              <w:rPr/>
            </w:pPr>
            <w:r>
              <w:rPr/>
              <w:t>(2,053</w:t>
            </w:r>
          </w:p>
        </w:tc>
        <w:tc>
          <w:tcPr>
            <w:tcW w:w="95" w:type="dxa"/>
            <w:tcBorders/>
            <w:vAlign w:val="bottom"/>
          </w:tcPr>
          <w:p>
            <w:pPr>
              <w:pStyle w:val="TableContents"/>
              <w:bidi w:val="0"/>
              <w:spacing w:before="0" w:after="283"/>
              <w:jc w:val="left"/>
              <w:rPr/>
            </w:pPr>
            <w:r>
              <w:rPr/>
              <w:t>)</w:t>
            </w:r>
          </w:p>
        </w:tc>
        <w:tc>
          <w:tcPr>
            <w:tcW w:w="60" w:type="dxa"/>
            <w:tcBorders/>
            <w:vAlign w:val="bottom"/>
          </w:tcPr>
          <w:p>
            <w:pPr>
              <w:pStyle w:val="TableContents"/>
              <w:bidi w:val="0"/>
              <w:spacing w:before="0" w:after="283"/>
              <w:jc w:val="right"/>
              <w:rPr/>
            </w:pPr>
            <w:r>
              <w:rPr/>
              <w:t> </w:t>
            </w:r>
          </w:p>
        </w:tc>
        <w:tc>
          <w:tcPr>
            <w:tcW w:w="171" w:type="dxa"/>
            <w:tcBorders>
              <w:bottom w:val="single" w:sz="12" w:space="0" w:color="000000"/>
            </w:tcBorders>
            <w:tcMar>
              <w:bottom w:w="28" w:type="dxa"/>
            </w:tcMar>
            <w:vAlign w:val="bottom"/>
          </w:tcPr>
          <w:p>
            <w:pPr>
              <w:pStyle w:val="TableContents"/>
              <w:bidi w:val="0"/>
              <w:spacing w:before="0" w:after="283"/>
              <w:jc w:val="left"/>
              <w:rPr/>
            </w:pPr>
            <w:r>
              <w:rPr/>
              <w:t> </w:t>
            </w:r>
          </w:p>
        </w:tc>
        <w:tc>
          <w:tcPr>
            <w:tcW w:w="749" w:type="dxa"/>
            <w:tcBorders>
              <w:bottom w:val="single" w:sz="12" w:space="0" w:color="000000"/>
            </w:tcBorders>
            <w:tcMar>
              <w:bottom w:w="28" w:type="dxa"/>
            </w:tcMar>
            <w:vAlign w:val="bottom"/>
          </w:tcPr>
          <w:p>
            <w:pPr>
              <w:pStyle w:val="TableContents"/>
              <w:bidi w:val="0"/>
              <w:spacing w:before="0" w:after="283"/>
              <w:jc w:val="right"/>
              <w:rPr/>
            </w:pPr>
            <w:r>
              <w:rPr/>
              <w:t>(558</w:t>
            </w:r>
          </w:p>
        </w:tc>
        <w:tc>
          <w:tcPr>
            <w:tcW w:w="130" w:type="dxa"/>
            <w:tcBorders/>
            <w:vAlign w:val="bottom"/>
          </w:tcPr>
          <w:p>
            <w:pPr>
              <w:pStyle w:val="TableContents"/>
              <w:bidi w:val="0"/>
              <w:spacing w:before="0" w:after="283"/>
              <w:jc w:val="left"/>
              <w:rPr/>
            </w:pPr>
            <w:r>
              <w:rPr/>
              <w:t>)</w:t>
            </w:r>
          </w:p>
        </w:tc>
        <w:tc>
          <w:tcPr>
            <w:tcW w:w="82" w:type="dxa"/>
            <w:tcBorders/>
            <w:vAlign w:val="bottom"/>
          </w:tcPr>
          <w:p>
            <w:pPr>
              <w:pStyle w:val="TableContents"/>
              <w:bidi w:val="0"/>
              <w:spacing w:before="0" w:after="283"/>
              <w:jc w:val="right"/>
              <w:rPr/>
            </w:pPr>
            <w:r>
              <w:rPr/>
              <w:t> </w:t>
            </w:r>
          </w:p>
        </w:tc>
        <w:tc>
          <w:tcPr>
            <w:tcW w:w="171" w:type="dxa"/>
            <w:tcBorders>
              <w:bottom w:val="single" w:sz="12" w:space="0" w:color="000000"/>
            </w:tcBorders>
            <w:tcMar>
              <w:bottom w:w="28" w:type="dxa"/>
            </w:tcMar>
            <w:vAlign w:val="bottom"/>
          </w:tcPr>
          <w:p>
            <w:pPr>
              <w:pStyle w:val="TableContents"/>
              <w:bidi w:val="0"/>
              <w:spacing w:before="0" w:after="283"/>
              <w:jc w:val="left"/>
              <w:rPr/>
            </w:pPr>
            <w:r>
              <w:rPr/>
              <w:t> </w:t>
            </w:r>
          </w:p>
        </w:tc>
        <w:tc>
          <w:tcPr>
            <w:tcW w:w="874" w:type="dxa"/>
            <w:tcBorders>
              <w:bottom w:val="single" w:sz="12" w:space="0" w:color="000000"/>
            </w:tcBorders>
            <w:tcMar>
              <w:bottom w:w="28" w:type="dxa"/>
            </w:tcMar>
            <w:vAlign w:val="bottom"/>
          </w:tcPr>
          <w:p>
            <w:pPr>
              <w:pStyle w:val="TableContents"/>
              <w:bidi w:val="0"/>
              <w:spacing w:before="0" w:after="283"/>
              <w:jc w:val="right"/>
              <w:rPr/>
            </w:pPr>
            <w:r>
              <w:rPr/>
              <w:t>(2,971</w:t>
            </w:r>
          </w:p>
        </w:tc>
        <w:tc>
          <w:tcPr>
            <w:tcW w:w="283" w:type="dxa"/>
            <w:tcBorders/>
            <w:vAlign w:val="bottom"/>
          </w:tcPr>
          <w:p>
            <w:pPr>
              <w:pStyle w:val="TableContents"/>
              <w:bidi w:val="0"/>
              <w:spacing w:before="0" w:after="283"/>
              <w:jc w:val="left"/>
              <w:rPr/>
            </w:pPr>
            <w:r>
              <w:rPr/>
              <w:t>)</w:t>
            </w:r>
          </w:p>
        </w:tc>
      </w:tr>
      <w:tr>
        <w:trPr/>
        <w:tc>
          <w:tcPr>
            <w:tcW w:w="5151"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Realized loss on RMBS, net</w:t>
            </w:r>
          </w:p>
        </w:tc>
        <w:tc>
          <w:tcPr>
            <w:tcW w:w="60" w:type="dxa"/>
            <w:tcBorders/>
            <w:shd w:fill="CCEEFF" w:val="clear"/>
            <w:vAlign w:val="bottom"/>
          </w:tcPr>
          <w:p>
            <w:pPr>
              <w:pStyle w:val="TableContents"/>
              <w:bidi w:val="0"/>
              <w:spacing w:before="0" w:after="283"/>
              <w:jc w:val="right"/>
              <w:rPr/>
            </w:pPr>
            <w:r>
              <w:rPr/>
              <w:t> </w:t>
            </w:r>
          </w:p>
        </w:tc>
        <w:tc>
          <w:tcPr>
            <w:tcW w:w="187"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819"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(1,047</w:t>
            </w:r>
          </w:p>
        </w:tc>
        <w:tc>
          <w:tcPr>
            <w:tcW w:w="142"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90" w:type="dxa"/>
            <w:tcBorders/>
            <w:shd w:fill="CCEEFF" w:val="clear"/>
            <w:vAlign w:val="bottom"/>
          </w:tcPr>
          <w:p>
            <w:pPr>
              <w:pStyle w:val="TableContents"/>
              <w:bidi w:val="0"/>
              <w:spacing w:before="0" w:after="283"/>
              <w:jc w:val="right"/>
              <w:rPr/>
            </w:pPr>
            <w:r>
              <w:rPr/>
              <w:t> </w:t>
            </w:r>
          </w:p>
        </w:tc>
        <w:tc>
          <w:tcPr>
            <w:tcW w:w="187"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954"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(2,053</w:t>
            </w:r>
          </w:p>
        </w:tc>
        <w:tc>
          <w:tcPr>
            <w:tcW w:w="9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shd w:fill="CCEEFF" w:val="clear"/>
            <w:vAlign w:val="bottom"/>
          </w:tcPr>
          <w:p>
            <w:pPr>
              <w:pStyle w:val="TableContents"/>
              <w:bidi w:val="0"/>
              <w:spacing w:before="0" w:after="283"/>
              <w:jc w:val="right"/>
              <w:rPr/>
            </w:pPr>
            <w:r>
              <w:rPr/>
              <w:t> </w:t>
            </w:r>
          </w:p>
        </w:tc>
        <w:tc>
          <w:tcPr>
            <w:tcW w:w="171"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749"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(1,047</w:t>
            </w:r>
          </w:p>
        </w:tc>
        <w:tc>
          <w:tcPr>
            <w:tcW w:w="13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82" w:type="dxa"/>
            <w:tcBorders/>
            <w:shd w:fill="CCEEFF" w:val="clear"/>
            <w:vAlign w:val="bottom"/>
          </w:tcPr>
          <w:p>
            <w:pPr>
              <w:pStyle w:val="TableContents"/>
              <w:bidi w:val="0"/>
              <w:spacing w:before="0" w:after="283"/>
              <w:jc w:val="right"/>
              <w:rPr/>
            </w:pPr>
            <w:r>
              <w:rPr/>
              <w:t> </w:t>
            </w:r>
          </w:p>
        </w:tc>
        <w:tc>
          <w:tcPr>
            <w:tcW w:w="171"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874"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(6,045</w:t>
            </w:r>
          </w:p>
        </w:tc>
        <w:tc>
          <w:tcPr>
            <w:tcW w:w="283"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r>
    </w:tbl>
    <w:p>
      <w:pPr>
        <w:pStyle w:val="TextBody"/>
        <w:bidi w:val="0"/>
        <w:spacing w:before="0" w:after="0"/>
        <w:jc w:val="left"/>
        <w:rPr/>
      </w:pPr>
      <w:r>
        <w:rPr/>
      </w:r>
    </w:p>
    <w:tbl>
      <w:tblPr>
        <w:tblW w:w="6355" w:type="dxa"/>
        <w:jc w:val="left"/>
        <w:tblInd w:w="0" w:type="dxa"/>
        <w:tblLayout w:type="fixed"/>
        <w:tblCellMar>
          <w:top w:w="0" w:type="dxa"/>
          <w:left w:w="0" w:type="dxa"/>
          <w:bottom w:w="0" w:type="dxa"/>
          <w:right w:w="0" w:type="dxa"/>
        </w:tblCellMar>
      </w:tblPr>
      <w:tblGrid>
        <w:gridCol w:w="290"/>
        <w:gridCol w:w="6065"/>
      </w:tblGrid>
      <w:tr>
        <w:trPr/>
        <w:tc>
          <w:tcPr>
            <w:tcW w:w="2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w:t>
            </w:r>
          </w:p>
        </w:tc>
        <w:tc>
          <w:tcPr>
            <w:tcW w:w="6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Reclassified from accumulated other comprehensive income into earnings.</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15</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Repurchase Agreements and Interest Expense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w:t>
      </w:r>
      <w:r>
        <w:rPr>
          <w:rFonts w:ascii="Times New Roman" w:hAnsi="Times New Roman"/>
          <w:b w:val="false"/>
          <w:i w:val="false"/>
          <w:caps w:val="false"/>
          <w:smallCaps w:val="false"/>
          <w:color w:val="000000"/>
          <w:sz w:val="20"/>
          <w:shd w:fill="FFFFFF" w:val="clear"/>
        </w:rPr>
        <w:t>he Company finances its investments in RMBS with short-term borrowings under master repurchase agreements. Borrowings under the repurchase agreements are generally short-term debt due within one year. These borrowings generally bear interest rates offered by the “lending” counterparty from time to time for the term of the proposed repurchase transaction (e.g. 30 days, 60 days etc.) of a specified margin over the overnight SOFR rate. The repurchase agreements represent uncommitted financing. Borrowings under these agreements are treated as collateralized financing transactions and are carried at their contractual amounts, as specified in the respective agreements. Interest is recorded at the contractual amount on an accrual basis. Securities financed through repurchase transactions remain on our consolidated balance sheets as an asset and cash received from the purchaser is recorded on our consolidated balance sheet as a liability. The Company retains beneficial ownership of the pledged assets including the right to receive principal and interest.</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Dividends Payable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Because the Company is organized as a REIT under the Code, it is required by law to distribute annually at least 90% of its REIT taxable income, which it does in the form of quarterly dividend payments. The Company accrues the dividend payable on outstanding shares on the accounting date, which causes an offsetting reduction in retained earnings.</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Comprehensive Income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Comprehensive income is defined as the change in equity of a business enterprise during a period resulting from transactions and other events and circumstances, excluding those resulting from investments by and distributions to owners. For the Company’s purposes, comprehensive income represents net income (loss), as presented in the consolidated statements of income (loss), adjusted for unrealized gains or losses on RMBS, which are designated as available for sale.</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Recent Accounting Pronouncements</w:t>
      </w:r>
    </w:p>
    <w:p>
      <w:pPr>
        <w:pStyle w:val="TextBody"/>
        <w:bidi w:val="0"/>
        <w:spacing w:before="0" w:after="0"/>
        <w:jc w:val="left"/>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u w:val="single"/>
          <w:shd w:fill="FFFFFF" w:val="clear"/>
        </w:rPr>
        <w:t>Disaggregation of Income Statement Expenses</w:t>
      </w:r>
      <w:r>
        <w:rPr>
          <w:rFonts w:ascii="Times New Roman" w:hAnsi="Times New Roman"/>
          <w:color w:val="000000"/>
          <w:sz w:val="20"/>
          <w:shd w:fill="FFFFFF" w:val="clear"/>
        </w:rPr>
        <w:t xml:space="preserve"> - In November 2024, the FASB issued ASU 2024-03, </w:t>
      </w:r>
      <w:r>
        <w:rPr>
          <w:rFonts w:ascii="Times New Roman" w:hAnsi="Times New Roman"/>
          <w:i/>
          <w:color w:val="000000"/>
          <w:sz w:val="20"/>
          <w:shd w:fill="FFFFFF" w:val="clear"/>
        </w:rPr>
        <w:t>Income Statement - Reporting Comprehensive Income Expense Disaggregation Disclosures (Subtopic 220- 40)</w:t>
      </w:r>
      <w:r>
        <w:rPr>
          <w:rFonts w:ascii="Times New Roman" w:hAnsi="Times New Roman"/>
          <w:color w:val="000000"/>
          <w:sz w:val="20"/>
          <w:shd w:fill="FFFFFF" w:val="clear"/>
        </w:rPr>
        <w:t xml:space="preserve">, and in January 2025, the FASB issued ASU 2025-01, </w:t>
      </w:r>
      <w:r>
        <w:rPr>
          <w:rFonts w:ascii="Times New Roman" w:hAnsi="Times New Roman"/>
          <w:i/>
          <w:color w:val="000000"/>
          <w:sz w:val="20"/>
          <w:shd w:fill="FFFFFF" w:val="clear"/>
        </w:rPr>
        <w:t>Income Statement - Reporting Comprehensive Income - Expense Disaggregation Disclosures (Subtopic 220-40): Clarifying the Effective Date</w:t>
      </w:r>
      <w:r>
        <w:rPr>
          <w:rFonts w:ascii="Times New Roman" w:hAnsi="Times New Roman"/>
          <w:color w:val="000000"/>
          <w:sz w:val="20"/>
          <w:shd w:fill="FFFFFF" w:val="clear"/>
        </w:rPr>
        <w:t>. This standard requires public companies to disclose additional information about specific expense categories in the notes to financial statements at interim and annual reporting periods. The new standard, as clarified by ASU 2025-01, is effective for annual reporting periods beginning after December 15, 2026, and interim reporting periods beginning after December 15, 2027, with early adoption permitted. The Company is currently evaluating the potential impact upon adoption but does not expect the adoption of the new standard to have a material effect on its consolidated financial statements.</w:t>
      </w:r>
    </w:p>
    <w:p>
      <w:pPr>
        <w:pStyle w:val="TextBody"/>
        <w:bidi w:val="0"/>
        <w:spacing w:before="0" w:after="0"/>
        <w:jc w:val="both"/>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r>
    </w:p>
    <w:p>
      <w:pPr>
        <w:pStyle w:val="TextBody"/>
        <w:bidi w:val="0"/>
        <w:spacing w:before="0" w:after="0"/>
        <w:jc w:val="both"/>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u w:val="single"/>
          <w:shd w:fill="FFFFFF" w:val="clear"/>
        </w:rPr>
        <w:t>Interim Reporting (Topic 270): Narrow-Scope Improvements</w:t>
      </w:r>
      <w:r>
        <w:rPr>
          <w:rFonts w:ascii="Times New Roman" w:hAnsi="Times New Roman"/>
          <w:color w:val="000000"/>
          <w:sz w:val="20"/>
          <w:shd w:fill="FFFFFF" w:val="clear"/>
        </w:rPr>
        <w:t xml:space="preserve"> - In December 2025, the FASB issued ASU 2025-11, Interim Reporting (Topic 270): Narrow-Scope Improvements, which clarifies interim disclosure requirements and the applicability of Topic 270. This ASU is effective for the Company on January 1, 2028, with early adoption permitted. The Company does not expect the adoption of this ASU to have a material impact on its consolidated financial statements. </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Changes in Presentation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Certain prior period amounts have been reclassified to conform to the current period presentation.</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16</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Note 3 — Segment Reporting</w:t>
      </w:r>
    </w:p>
    <w:p>
      <w:pPr>
        <w:pStyle w:val="TextBody"/>
        <w:bidi w:val="0"/>
        <w:spacing w:before="0" w:after="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Public companies are required to disclose certain information about their reportable operating segments, which are defined as significant components of an enterprise for which separate financial information is available and is evaluated on a regular basis by the chief operating decision maker (“CODM”) in assessing performance of the segment and in deciding how to allocate resources to an individual segment. The structure of the Company’s reportable segments is determined based on the financial information used by the Company’s CODM to assess performance and allocate resources. The Company’s CODM is its Chief Executive Officer.</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two reportable segments that the Company conducts its business through are investments in RMBS and investments in Servicing Related Assets, which are the primary revenue generating assets of the Company. Activities that are not directly attributable or not allocated to any of the reportable segments are reported under the “All Other” category as a reconciling item to the Company’s consolidated financial statements. The activities within the “All Other” category consists of certain corporate level expenses including general and administrative expenses and compensation and benefits. The Company’s segments align with its primary business operations and how the CODM reviews its operating results. The primary measure of profitability used to evaluate segment performance and allocate resources is comprehensive income (loss). Analysis of the information presented in the tables below is presented to the CODM on a regular basis to assess segment profitability as well as to identify risks and opportunities to determine resource allocation.</w:t>
      </w:r>
    </w:p>
    <w:p>
      <w:pPr>
        <w:pStyle w:val="TextBody"/>
        <w:bidi w:val="0"/>
        <w:spacing w:before="0" w:after="0"/>
        <w:jc w:val="left"/>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accounting principles applied at the operating segment level in determining comprehensive income (loss) are the same as those applied at the consolidated financial statement level. Compensation and benefits as well as general and administrative expenses are allocated to the reportable segments using a reasonable allocation key that takes into account the activities giving rise to such expenses.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Summary financial data with respect to the Company’s reportable segments is given below, together with the data for the Company as a whole (dollars in thousands):</w:t>
      </w:r>
    </w:p>
    <w:p>
      <w:pPr>
        <w:pStyle w:val="TextBody"/>
        <w:bidi w:val="0"/>
        <w:spacing w:before="0" w:after="0"/>
        <w:jc w:val="left"/>
        <w:rPr/>
      </w:pPr>
      <w:r>
        <w:rPr/>
      </w:r>
    </w:p>
    <w:tbl>
      <w:tblPr>
        <w:tblW w:w="7463" w:type="dxa"/>
        <w:jc w:val="left"/>
        <w:tblInd w:w="0" w:type="dxa"/>
        <w:tblLayout w:type="fixed"/>
        <w:tblCellMar>
          <w:top w:w="0" w:type="dxa"/>
          <w:left w:w="0" w:type="dxa"/>
          <w:bottom w:w="0" w:type="dxa"/>
          <w:right w:w="0" w:type="dxa"/>
        </w:tblCellMar>
      </w:tblPr>
      <w:tblGrid>
        <w:gridCol w:w="3230"/>
        <w:gridCol w:w="60"/>
        <w:gridCol w:w="219"/>
        <w:gridCol w:w="1000"/>
        <w:gridCol w:w="95"/>
        <w:gridCol w:w="60"/>
        <w:gridCol w:w="140"/>
        <w:gridCol w:w="650"/>
        <w:gridCol w:w="80"/>
        <w:gridCol w:w="60"/>
        <w:gridCol w:w="147"/>
        <w:gridCol w:w="667"/>
        <w:gridCol w:w="95"/>
        <w:gridCol w:w="60"/>
        <w:gridCol w:w="140"/>
        <w:gridCol w:w="650"/>
        <w:gridCol w:w="110"/>
      </w:tblGrid>
      <w:tr>
        <w:trPr/>
        <w:tc>
          <w:tcPr>
            <w:tcW w:w="32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21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Servicing</w:t>
            </w:r>
          </w:p>
          <w:p>
            <w:pPr>
              <w:pStyle w:val="TableContents"/>
              <w:bidi w:val="0"/>
              <w:spacing w:before="0" w:after="0"/>
              <w:jc w:val="center"/>
              <w:rPr>
                <w:rFonts w:ascii="Times New Roman" w:hAnsi="Times New Roman"/>
                <w:b/>
                <w:sz w:val="20"/>
              </w:rPr>
            </w:pPr>
            <w:r>
              <w:rPr>
                <w:rFonts w:ascii="Times New Roman" w:hAnsi="Times New Roman"/>
                <w:b/>
                <w:sz w:val="20"/>
              </w:rPr>
              <w:t>Related Assets</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RMBS</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All Other</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Total</w:t>
            </w:r>
          </w:p>
        </w:tc>
        <w:tc>
          <w:tcPr>
            <w:tcW w:w="110" w:type="dxa"/>
            <w:tcBorders/>
            <w:vAlign w:val="bottom"/>
          </w:tcPr>
          <w:p>
            <w:pPr>
              <w:pStyle w:val="TableContents"/>
              <w:bidi w:val="0"/>
              <w:spacing w:before="0" w:after="283"/>
              <w:jc w:val="left"/>
              <w:rPr/>
            </w:pPr>
            <w:r>
              <w:rPr/>
              <w:t> </w:t>
            </w:r>
          </w:p>
        </w:tc>
      </w:tr>
      <w:tr>
        <w:trPr/>
        <w:tc>
          <w:tcPr>
            <w:tcW w:w="3230" w:type="dxa"/>
            <w:tcBorders/>
            <w:shd w:fill="CCEEFF" w:val="clear"/>
            <w:vAlign w:val="bottom"/>
          </w:tcPr>
          <w:p>
            <w:pPr>
              <w:pStyle w:val="TableContents"/>
              <w:bidi w:val="0"/>
              <w:spacing w:before="0" w:after="0"/>
              <w:ind w:left="144" w:right="0" w:hanging="144"/>
              <w:jc w:val="left"/>
              <w:rPr>
                <w:rFonts w:ascii="Times New Roman" w:hAnsi="Times New Roman"/>
                <w:b/>
                <w:sz w:val="20"/>
              </w:rPr>
            </w:pPr>
            <w:r>
              <w:rPr>
                <w:rFonts w:ascii="Times New Roman" w:hAnsi="Times New Roman"/>
                <w:b/>
                <w:sz w:val="20"/>
              </w:rPr>
              <w:t>Income Statement</w:t>
            </w:r>
          </w:p>
        </w:tc>
        <w:tc>
          <w:tcPr>
            <w:tcW w:w="60" w:type="dxa"/>
            <w:tcBorders/>
            <w:shd w:fill="CCEEFF" w:val="clear"/>
            <w:vAlign w:val="bottom"/>
          </w:tcPr>
          <w:p>
            <w:pPr>
              <w:pStyle w:val="TableContents"/>
              <w:bidi w:val="0"/>
              <w:spacing w:before="0" w:after="283"/>
              <w:jc w:val="left"/>
              <w:rPr/>
            </w:pPr>
            <w:r>
              <w:rPr/>
              <w:t> </w:t>
            </w:r>
          </w:p>
        </w:tc>
        <w:tc>
          <w:tcPr>
            <w:tcW w:w="1219" w:type="dxa"/>
            <w:gridSpan w:val="2"/>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0" w:type="dxa"/>
            <w:gridSpan w:val="2"/>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4" w:type="dxa"/>
            <w:gridSpan w:val="2"/>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0" w:type="dxa"/>
            <w:gridSpan w:val="2"/>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r>
      <w:tr>
        <w:trPr/>
        <w:tc>
          <w:tcPr>
            <w:tcW w:w="3230" w:type="dxa"/>
            <w:tcBorders/>
            <w:vAlign w:val="bottom"/>
          </w:tcPr>
          <w:p>
            <w:pPr>
              <w:pStyle w:val="TableContents"/>
              <w:bidi w:val="0"/>
              <w:spacing w:before="0" w:after="0"/>
              <w:ind w:left="360" w:right="0" w:hanging="180"/>
              <w:jc w:val="left"/>
              <w:rPr>
                <w:rFonts w:ascii="Times New Roman" w:hAnsi="Times New Roman"/>
                <w:b/>
                <w:sz w:val="20"/>
              </w:rPr>
            </w:pPr>
            <w:r>
              <w:rPr>
                <w:rFonts w:ascii="Times New Roman" w:hAnsi="Times New Roman"/>
                <w:b/>
                <w:sz w:val="20"/>
              </w:rPr>
              <w:t>Three Months Ended June 30, 2026</w:t>
            </w:r>
          </w:p>
        </w:tc>
        <w:tc>
          <w:tcPr>
            <w:tcW w:w="60" w:type="dxa"/>
            <w:tcBorders/>
            <w:vAlign w:val="bottom"/>
          </w:tcPr>
          <w:p>
            <w:pPr>
              <w:pStyle w:val="TableContents"/>
              <w:bidi w:val="0"/>
              <w:spacing w:before="0" w:after="283"/>
              <w:jc w:val="left"/>
              <w:rPr/>
            </w:pPr>
            <w:r>
              <w:rPr/>
              <w:t> </w:t>
            </w:r>
          </w:p>
        </w:tc>
        <w:tc>
          <w:tcPr>
            <w:tcW w:w="1219"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4"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0" w:type="dxa"/>
            <w:gridSpan w:val="2"/>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r>
      <w:tr>
        <w:trPr/>
        <w:tc>
          <w:tcPr>
            <w:tcW w:w="3230" w:type="dxa"/>
            <w:tcBorders/>
            <w:shd w:fill="CCEEFF" w:val="clear"/>
            <w:vAlign w:val="bottom"/>
          </w:tcPr>
          <w:p>
            <w:pPr>
              <w:pStyle w:val="TableContents"/>
              <w:bidi w:val="0"/>
              <w:spacing w:before="0" w:after="0"/>
              <w:ind w:left="504" w:right="0" w:hanging="144"/>
              <w:jc w:val="left"/>
              <w:rPr>
                <w:rFonts w:ascii="Times New Roman" w:hAnsi="Times New Roman"/>
                <w:sz w:val="20"/>
              </w:rPr>
            </w:pPr>
            <w:r>
              <w:rPr>
                <w:rFonts w:ascii="Times New Roman" w:hAnsi="Times New Roman"/>
                <w:sz w:val="20"/>
              </w:rPr>
              <w:t>Interest income</w:t>
            </w:r>
          </w:p>
        </w:tc>
        <w:tc>
          <w:tcPr>
            <w:tcW w:w="60" w:type="dxa"/>
            <w:tcBorders/>
            <w:shd w:fill="CCEEFF" w:val="clear"/>
            <w:vAlign w:val="bottom"/>
          </w:tcPr>
          <w:p>
            <w:pPr>
              <w:pStyle w:val="TableContents"/>
              <w:bidi w:val="0"/>
              <w:spacing w:before="0" w:after="283"/>
              <w:jc w:val="right"/>
              <w:rPr/>
            </w:pPr>
            <w:r>
              <w:rPr/>
              <w:t> </w:t>
            </w:r>
          </w:p>
        </w:tc>
        <w:tc>
          <w:tcPr>
            <w:tcW w:w="219"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0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53</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14,687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6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14,740</w:t>
            </w:r>
          </w:p>
        </w:tc>
        <w:tc>
          <w:tcPr>
            <w:tcW w:w="110" w:type="dxa"/>
            <w:tcBorders/>
            <w:shd w:fill="CCEEFF" w:val="clear"/>
            <w:vAlign w:val="bottom"/>
          </w:tcPr>
          <w:p>
            <w:pPr>
              <w:pStyle w:val="TableContents"/>
              <w:bidi w:val="0"/>
              <w:spacing w:before="0" w:after="283"/>
              <w:jc w:val="left"/>
              <w:rPr/>
            </w:pPr>
            <w:r>
              <w:rPr/>
              <w:t> </w:t>
            </w:r>
          </w:p>
        </w:tc>
      </w:tr>
      <w:tr>
        <w:trPr/>
        <w:tc>
          <w:tcPr>
            <w:tcW w:w="3230" w:type="dxa"/>
            <w:tcBorders/>
            <w:vAlign w:val="bottom"/>
          </w:tcPr>
          <w:p>
            <w:pPr>
              <w:pStyle w:val="TableContents"/>
              <w:bidi w:val="0"/>
              <w:spacing w:before="0" w:after="0"/>
              <w:ind w:left="504" w:right="0" w:hanging="144"/>
              <w:jc w:val="left"/>
              <w:rPr>
                <w:rFonts w:ascii="Times New Roman" w:hAnsi="Times New Roman"/>
                <w:sz w:val="20"/>
              </w:rPr>
            </w:pPr>
            <w:r>
              <w:rPr>
                <w:rFonts w:ascii="Times New Roman" w:hAnsi="Times New Roman"/>
                <w:sz w:val="20"/>
              </w:rPr>
              <w:t>Interest expense</w:t>
            </w:r>
          </w:p>
        </w:tc>
        <w:tc>
          <w:tcPr>
            <w:tcW w:w="60" w:type="dxa"/>
            <w:tcBorders/>
            <w:vAlign w:val="bottom"/>
          </w:tcPr>
          <w:p>
            <w:pPr>
              <w:pStyle w:val="TableContents"/>
              <w:bidi w:val="0"/>
              <w:spacing w:before="0" w:after="283"/>
              <w:jc w:val="right"/>
              <w:rPr/>
            </w:pPr>
            <w:r>
              <w:rPr/>
              <w:t> </w:t>
            </w:r>
          </w:p>
        </w:tc>
        <w:tc>
          <w:tcPr>
            <w:tcW w:w="219" w:type="dxa"/>
            <w:tcBorders>
              <w:bottom w:val="single" w:sz="12" w:space="0" w:color="000000"/>
            </w:tcBorders>
            <w:tcMar>
              <w:bottom w:w="28" w:type="dxa"/>
            </w:tcMar>
            <w:vAlign w:val="bottom"/>
          </w:tcPr>
          <w:p>
            <w:pPr>
              <w:pStyle w:val="TableContents"/>
              <w:bidi w:val="0"/>
              <w:spacing w:before="0" w:after="283"/>
              <w:jc w:val="left"/>
              <w:rPr/>
            </w:pPr>
            <w:r>
              <w:rPr/>
              <w:t> </w:t>
            </w:r>
          </w:p>
        </w:tc>
        <w:tc>
          <w:tcPr>
            <w:tcW w:w="100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252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6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9,752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7" w:type="dxa"/>
            <w:tcBorders>
              <w:bottom w:val="single" w:sz="12" w:space="0" w:color="000000"/>
            </w:tcBorders>
            <w:tcMar>
              <w:bottom w:w="28" w:type="dxa"/>
            </w:tcMar>
            <w:vAlign w:val="bottom"/>
          </w:tcPr>
          <w:p>
            <w:pPr>
              <w:pStyle w:val="TableContents"/>
              <w:bidi w:val="0"/>
              <w:spacing w:before="0" w:after="283"/>
              <w:jc w:val="left"/>
              <w:rPr/>
            </w:pPr>
            <w:r>
              <w:rPr/>
              <w:t> </w:t>
            </w:r>
          </w:p>
        </w:tc>
        <w:tc>
          <w:tcPr>
            <w:tcW w:w="667"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6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10,004</w:t>
            </w:r>
          </w:p>
        </w:tc>
        <w:tc>
          <w:tcPr>
            <w:tcW w:w="110" w:type="dxa"/>
            <w:tcBorders/>
            <w:vAlign w:val="bottom"/>
          </w:tcPr>
          <w:p>
            <w:pPr>
              <w:pStyle w:val="TableContents"/>
              <w:bidi w:val="0"/>
              <w:spacing w:before="0" w:after="283"/>
              <w:jc w:val="left"/>
              <w:rPr/>
            </w:pPr>
            <w:r>
              <w:rPr/>
              <w:t> </w:t>
            </w:r>
          </w:p>
        </w:tc>
      </w:tr>
      <w:tr>
        <w:trPr/>
        <w:tc>
          <w:tcPr>
            <w:tcW w:w="3230" w:type="dxa"/>
            <w:tcBorders/>
            <w:shd w:fill="CCEEFF" w:val="clear"/>
            <w:vAlign w:val="bottom"/>
          </w:tcPr>
          <w:p>
            <w:pPr>
              <w:pStyle w:val="TableContents"/>
              <w:bidi w:val="0"/>
              <w:spacing w:before="0" w:after="0"/>
              <w:ind w:left="504" w:right="0" w:hanging="144"/>
              <w:jc w:val="left"/>
              <w:rPr>
                <w:rFonts w:ascii="Times New Roman" w:hAnsi="Times New Roman"/>
                <w:sz w:val="20"/>
              </w:rPr>
            </w:pPr>
            <w:r>
              <w:rPr>
                <w:rFonts w:ascii="Times New Roman" w:hAnsi="Times New Roman"/>
                <w:sz w:val="20"/>
              </w:rPr>
              <w:t>Net interest income (expense)</w:t>
            </w:r>
          </w:p>
        </w:tc>
        <w:tc>
          <w:tcPr>
            <w:tcW w:w="60" w:type="dxa"/>
            <w:tcBorders/>
            <w:shd w:fill="CCEEFF" w:val="clear"/>
            <w:vAlign w:val="bottom"/>
          </w:tcPr>
          <w:p>
            <w:pPr>
              <w:pStyle w:val="TableContents"/>
              <w:bidi w:val="0"/>
              <w:spacing w:before="0" w:after="283"/>
              <w:jc w:val="right"/>
              <w:rPr/>
            </w:pPr>
            <w:r>
              <w:rPr/>
              <w:t> </w:t>
            </w:r>
          </w:p>
        </w:tc>
        <w:tc>
          <w:tcPr>
            <w:tcW w:w="219"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(199</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4,935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7" w:type="dxa"/>
            <w:tcBorders/>
            <w:shd w:fill="CCEEFF" w:val="clear"/>
            <w:vAlign w:val="bottom"/>
          </w:tcPr>
          <w:p>
            <w:pPr>
              <w:pStyle w:val="TableContents"/>
              <w:bidi w:val="0"/>
              <w:spacing w:before="0" w:after="283"/>
              <w:jc w:val="left"/>
              <w:rPr/>
            </w:pPr>
            <w:r>
              <w:rPr/>
              <w:t> </w:t>
            </w:r>
          </w:p>
        </w:tc>
        <w:tc>
          <w:tcPr>
            <w:tcW w:w="66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4,736</w:t>
            </w:r>
          </w:p>
        </w:tc>
        <w:tc>
          <w:tcPr>
            <w:tcW w:w="110" w:type="dxa"/>
            <w:tcBorders/>
            <w:shd w:fill="CCEEFF" w:val="clear"/>
            <w:vAlign w:val="bottom"/>
          </w:tcPr>
          <w:p>
            <w:pPr>
              <w:pStyle w:val="TableContents"/>
              <w:bidi w:val="0"/>
              <w:spacing w:before="0" w:after="283"/>
              <w:jc w:val="left"/>
              <w:rPr/>
            </w:pPr>
            <w:r>
              <w:rPr/>
              <w:t> </w:t>
            </w:r>
          </w:p>
        </w:tc>
      </w:tr>
      <w:tr>
        <w:trPr/>
        <w:tc>
          <w:tcPr>
            <w:tcW w:w="3230" w:type="dxa"/>
            <w:tcBorders/>
            <w:vAlign w:val="bottom"/>
          </w:tcPr>
          <w:p>
            <w:pPr>
              <w:pStyle w:val="TableContents"/>
              <w:bidi w:val="0"/>
              <w:spacing w:before="0" w:after="0"/>
              <w:ind w:left="504" w:right="0" w:hanging="144"/>
              <w:jc w:val="left"/>
              <w:rPr>
                <w:rFonts w:ascii="Times New Roman" w:hAnsi="Times New Roman"/>
                <w:sz w:val="20"/>
              </w:rPr>
            </w:pPr>
            <w:r>
              <w:rPr>
                <w:rFonts w:ascii="Times New Roman" w:hAnsi="Times New Roman"/>
                <w:sz w:val="20"/>
              </w:rPr>
              <w:t>Servicing fee income</w:t>
            </w:r>
          </w:p>
        </w:tc>
        <w:tc>
          <w:tcPr>
            <w:tcW w:w="60" w:type="dxa"/>
            <w:tcBorders/>
            <w:vAlign w:val="bottom"/>
          </w:tcPr>
          <w:p>
            <w:pPr>
              <w:pStyle w:val="TableContents"/>
              <w:bidi w:val="0"/>
              <w:spacing w:before="0" w:after="283"/>
              <w:jc w:val="right"/>
              <w:rPr/>
            </w:pPr>
            <w:r>
              <w:rPr/>
              <w:t> </w:t>
            </w:r>
          </w:p>
        </w:tc>
        <w:tc>
          <w:tcPr>
            <w:tcW w:w="219"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9,692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7" w:type="dxa"/>
            <w:tcBorders/>
            <w:vAlign w:val="bottom"/>
          </w:tcPr>
          <w:p>
            <w:pPr>
              <w:pStyle w:val="TableContents"/>
              <w:bidi w:val="0"/>
              <w:spacing w:before="0" w:after="283"/>
              <w:jc w:val="left"/>
              <w:rPr/>
            </w:pPr>
            <w:r>
              <w:rPr/>
              <w:t> </w:t>
            </w:r>
          </w:p>
        </w:tc>
        <w:tc>
          <w:tcPr>
            <w:tcW w:w="66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9,692</w:t>
            </w:r>
          </w:p>
        </w:tc>
        <w:tc>
          <w:tcPr>
            <w:tcW w:w="110" w:type="dxa"/>
            <w:tcBorders/>
            <w:vAlign w:val="bottom"/>
          </w:tcPr>
          <w:p>
            <w:pPr>
              <w:pStyle w:val="TableContents"/>
              <w:bidi w:val="0"/>
              <w:spacing w:before="0" w:after="283"/>
              <w:jc w:val="left"/>
              <w:rPr/>
            </w:pPr>
            <w:r>
              <w:rPr/>
              <w:t> </w:t>
            </w:r>
          </w:p>
        </w:tc>
      </w:tr>
      <w:tr>
        <w:trPr/>
        <w:tc>
          <w:tcPr>
            <w:tcW w:w="3230" w:type="dxa"/>
            <w:tcBorders/>
            <w:shd w:fill="CCEEFF" w:val="clear"/>
            <w:vAlign w:val="bottom"/>
          </w:tcPr>
          <w:p>
            <w:pPr>
              <w:pStyle w:val="TableContents"/>
              <w:bidi w:val="0"/>
              <w:spacing w:before="0" w:after="0"/>
              <w:ind w:left="504" w:right="0" w:hanging="144"/>
              <w:jc w:val="left"/>
              <w:rPr>
                <w:rFonts w:ascii="Times New Roman" w:hAnsi="Times New Roman"/>
                <w:sz w:val="20"/>
              </w:rPr>
            </w:pPr>
            <w:r>
              <w:rPr>
                <w:rFonts w:ascii="Times New Roman" w:hAnsi="Times New Roman"/>
                <w:sz w:val="20"/>
              </w:rPr>
              <w:t>Servicing costs</w:t>
            </w:r>
          </w:p>
        </w:tc>
        <w:tc>
          <w:tcPr>
            <w:tcW w:w="60" w:type="dxa"/>
            <w:tcBorders/>
            <w:shd w:fill="CCEEFF" w:val="clear"/>
            <w:vAlign w:val="bottom"/>
          </w:tcPr>
          <w:p>
            <w:pPr>
              <w:pStyle w:val="TableContents"/>
              <w:bidi w:val="0"/>
              <w:spacing w:before="0" w:after="283"/>
              <w:jc w:val="right"/>
              <w:rPr/>
            </w:pPr>
            <w:r>
              <w:rPr/>
              <w:t> </w:t>
            </w:r>
          </w:p>
        </w:tc>
        <w:tc>
          <w:tcPr>
            <w:tcW w:w="21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0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2,319</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67"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2,319</w:t>
            </w:r>
          </w:p>
        </w:tc>
        <w:tc>
          <w:tcPr>
            <w:tcW w:w="110" w:type="dxa"/>
            <w:tcBorders/>
            <w:shd w:fill="CCEEFF" w:val="clear"/>
            <w:vAlign w:val="bottom"/>
          </w:tcPr>
          <w:p>
            <w:pPr>
              <w:pStyle w:val="TableContents"/>
              <w:bidi w:val="0"/>
              <w:spacing w:before="0" w:after="283"/>
              <w:jc w:val="left"/>
              <w:rPr/>
            </w:pPr>
            <w:r>
              <w:rPr/>
              <w:t> </w:t>
            </w:r>
          </w:p>
        </w:tc>
      </w:tr>
      <w:tr>
        <w:trPr/>
        <w:tc>
          <w:tcPr>
            <w:tcW w:w="3230" w:type="dxa"/>
            <w:tcBorders/>
            <w:vAlign w:val="bottom"/>
          </w:tcPr>
          <w:p>
            <w:pPr>
              <w:pStyle w:val="TableContents"/>
              <w:bidi w:val="0"/>
              <w:spacing w:before="0" w:after="0"/>
              <w:ind w:left="504" w:right="0" w:hanging="144"/>
              <w:jc w:val="left"/>
              <w:rPr>
                <w:rFonts w:ascii="Times New Roman" w:hAnsi="Times New Roman"/>
                <w:sz w:val="20"/>
              </w:rPr>
            </w:pPr>
            <w:r>
              <w:rPr>
                <w:rFonts w:ascii="Times New Roman" w:hAnsi="Times New Roman"/>
                <w:sz w:val="20"/>
              </w:rPr>
              <w:t>Net servicing income</w:t>
            </w:r>
          </w:p>
        </w:tc>
        <w:tc>
          <w:tcPr>
            <w:tcW w:w="60" w:type="dxa"/>
            <w:tcBorders/>
            <w:vAlign w:val="bottom"/>
          </w:tcPr>
          <w:p>
            <w:pPr>
              <w:pStyle w:val="TableContents"/>
              <w:bidi w:val="0"/>
              <w:spacing w:before="0" w:after="283"/>
              <w:jc w:val="right"/>
              <w:rPr/>
            </w:pPr>
            <w:r>
              <w:rPr/>
              <w:t> </w:t>
            </w:r>
          </w:p>
        </w:tc>
        <w:tc>
          <w:tcPr>
            <w:tcW w:w="219"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7,373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7" w:type="dxa"/>
            <w:tcBorders/>
            <w:vAlign w:val="bottom"/>
          </w:tcPr>
          <w:p>
            <w:pPr>
              <w:pStyle w:val="TableContents"/>
              <w:bidi w:val="0"/>
              <w:spacing w:before="0" w:after="283"/>
              <w:jc w:val="left"/>
              <w:rPr/>
            </w:pPr>
            <w:r>
              <w:rPr/>
              <w:t> </w:t>
            </w:r>
          </w:p>
        </w:tc>
        <w:tc>
          <w:tcPr>
            <w:tcW w:w="66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7,373</w:t>
            </w:r>
          </w:p>
        </w:tc>
        <w:tc>
          <w:tcPr>
            <w:tcW w:w="110" w:type="dxa"/>
            <w:tcBorders/>
            <w:vAlign w:val="bottom"/>
          </w:tcPr>
          <w:p>
            <w:pPr>
              <w:pStyle w:val="TableContents"/>
              <w:bidi w:val="0"/>
              <w:spacing w:before="0" w:after="283"/>
              <w:jc w:val="left"/>
              <w:rPr/>
            </w:pPr>
            <w:r>
              <w:rPr/>
              <w:t> </w:t>
            </w:r>
          </w:p>
        </w:tc>
      </w:tr>
      <w:tr>
        <w:trPr/>
        <w:tc>
          <w:tcPr>
            <w:tcW w:w="3230" w:type="dxa"/>
            <w:tcBorders/>
            <w:shd w:fill="CCEEFF" w:val="clear"/>
            <w:vAlign w:val="bottom"/>
          </w:tcPr>
          <w:p>
            <w:pPr>
              <w:pStyle w:val="TableContents"/>
              <w:bidi w:val="0"/>
              <w:spacing w:before="0" w:after="0"/>
              <w:ind w:left="504" w:right="0" w:hanging="144"/>
              <w:jc w:val="left"/>
              <w:rPr>
                <w:rFonts w:ascii="Times New Roman" w:hAnsi="Times New Roman"/>
                <w:sz w:val="20"/>
              </w:rPr>
            </w:pPr>
            <w:r>
              <w:rPr>
                <w:rFonts w:ascii="Times New Roman" w:hAnsi="Times New Roman"/>
                <w:sz w:val="20"/>
              </w:rPr>
              <w:t xml:space="preserve">Other income (expense) </w:t>
            </w:r>
            <w:r>
              <w:rPr>
                <w:rFonts w:ascii="Times New Roman" w:hAnsi="Times New Roman"/>
                <w:position w:val="7"/>
                <w:sz w:val="16"/>
                <w:sz w:val="20"/>
              </w:rPr>
              <w:t xml:space="preserve">(A) </w:t>
            </w:r>
          </w:p>
        </w:tc>
        <w:tc>
          <w:tcPr>
            <w:tcW w:w="60" w:type="dxa"/>
            <w:tcBorders/>
            <w:shd w:fill="CCEEFF" w:val="clear"/>
            <w:vAlign w:val="bottom"/>
          </w:tcPr>
          <w:p>
            <w:pPr>
              <w:pStyle w:val="TableContents"/>
              <w:bidi w:val="0"/>
              <w:spacing w:before="0" w:after="283"/>
              <w:jc w:val="right"/>
              <w:rPr/>
            </w:pPr>
            <w:r>
              <w:rPr/>
              <w:t> </w:t>
            </w:r>
          </w:p>
        </w:tc>
        <w:tc>
          <w:tcPr>
            <w:tcW w:w="219"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(5,542</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1,311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7" w:type="dxa"/>
            <w:tcBorders/>
            <w:shd w:fill="CCEEFF" w:val="clear"/>
            <w:vAlign w:val="bottom"/>
          </w:tcPr>
          <w:p>
            <w:pPr>
              <w:pStyle w:val="TableContents"/>
              <w:bidi w:val="0"/>
              <w:spacing w:before="0" w:after="283"/>
              <w:jc w:val="left"/>
              <w:rPr/>
            </w:pPr>
            <w:r>
              <w:rPr/>
              <w:t> </w:t>
            </w:r>
          </w:p>
        </w:tc>
        <w:tc>
          <w:tcPr>
            <w:tcW w:w="66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(4,231</w:t>
            </w:r>
          </w:p>
        </w:tc>
        <w:tc>
          <w:tcPr>
            <w:tcW w:w="11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3230" w:type="dxa"/>
            <w:tcBorders/>
            <w:vAlign w:val="bottom"/>
          </w:tcPr>
          <w:p>
            <w:pPr>
              <w:pStyle w:val="TableContents"/>
              <w:bidi w:val="0"/>
              <w:spacing w:before="0" w:after="0"/>
              <w:ind w:left="504" w:right="0" w:hanging="144"/>
              <w:jc w:val="left"/>
              <w:rPr>
                <w:rFonts w:ascii="Times New Roman" w:hAnsi="Times New Roman"/>
                <w:sz w:val="20"/>
              </w:rPr>
            </w:pPr>
            <w:r>
              <w:rPr>
                <w:rFonts w:ascii="Times New Roman" w:hAnsi="Times New Roman"/>
                <w:sz w:val="20"/>
              </w:rPr>
              <w:t xml:space="preserve">Other operating expenses </w:t>
            </w:r>
            <w:r>
              <w:rPr>
                <w:rFonts w:ascii="Times New Roman" w:hAnsi="Times New Roman"/>
                <w:position w:val="7"/>
                <w:sz w:val="16"/>
                <w:sz w:val="20"/>
              </w:rPr>
              <w:t>(B)</w:t>
            </w:r>
          </w:p>
        </w:tc>
        <w:tc>
          <w:tcPr>
            <w:tcW w:w="60" w:type="dxa"/>
            <w:tcBorders/>
            <w:vAlign w:val="bottom"/>
          </w:tcPr>
          <w:p>
            <w:pPr>
              <w:pStyle w:val="TableContents"/>
              <w:bidi w:val="0"/>
              <w:spacing w:before="0" w:after="283"/>
              <w:jc w:val="right"/>
              <w:rPr/>
            </w:pPr>
            <w:r>
              <w:rPr/>
              <w:t> </w:t>
            </w:r>
          </w:p>
        </w:tc>
        <w:tc>
          <w:tcPr>
            <w:tcW w:w="219"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(1,074</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(720</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47" w:type="dxa"/>
            <w:tcBorders/>
            <w:vAlign w:val="bottom"/>
          </w:tcPr>
          <w:p>
            <w:pPr>
              <w:pStyle w:val="TableContents"/>
              <w:bidi w:val="0"/>
              <w:spacing w:before="0" w:after="283"/>
              <w:jc w:val="left"/>
              <w:rPr/>
            </w:pPr>
            <w:r>
              <w:rPr/>
              <w:t> </w:t>
            </w:r>
          </w:p>
        </w:tc>
        <w:tc>
          <w:tcPr>
            <w:tcW w:w="66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(2,223</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(4,017</w:t>
            </w:r>
          </w:p>
        </w:tc>
        <w:tc>
          <w:tcPr>
            <w:tcW w:w="11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3230" w:type="dxa"/>
            <w:tcBorders/>
            <w:shd w:fill="CCEEFF" w:val="clear"/>
            <w:vAlign w:val="bottom"/>
          </w:tcPr>
          <w:p>
            <w:pPr>
              <w:pStyle w:val="TableContents"/>
              <w:bidi w:val="0"/>
              <w:spacing w:before="0" w:after="0"/>
              <w:ind w:left="504" w:right="0" w:hanging="144"/>
              <w:jc w:val="left"/>
              <w:rPr>
                <w:rFonts w:ascii="Times New Roman" w:hAnsi="Times New Roman"/>
                <w:sz w:val="20"/>
              </w:rPr>
            </w:pPr>
            <w:r>
              <w:rPr>
                <w:rFonts w:ascii="Times New Roman" w:hAnsi="Times New Roman"/>
                <w:sz w:val="20"/>
              </w:rPr>
              <w:t>Provision for corporate business taxes</w:t>
            </w:r>
          </w:p>
        </w:tc>
        <w:tc>
          <w:tcPr>
            <w:tcW w:w="60" w:type="dxa"/>
            <w:tcBorders/>
            <w:shd w:fill="CCEEFF" w:val="clear"/>
            <w:vAlign w:val="bottom"/>
          </w:tcPr>
          <w:p>
            <w:pPr>
              <w:pStyle w:val="TableContents"/>
              <w:bidi w:val="0"/>
              <w:spacing w:before="0" w:after="283"/>
              <w:jc w:val="right"/>
              <w:rPr/>
            </w:pPr>
            <w:r>
              <w:rPr/>
              <w:t> </w:t>
            </w:r>
          </w:p>
        </w:tc>
        <w:tc>
          <w:tcPr>
            <w:tcW w:w="219"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(67</w:t>
            </w:r>
          </w:p>
        </w:tc>
        <w:tc>
          <w:tcPr>
            <w:tcW w:w="95" w:type="dxa"/>
            <w:tcBorders/>
            <w:shd w:fill="CCEEFF" w:val="clear"/>
            <w:vAlign w:val="bottom"/>
          </w:tcPr>
          <w:p>
            <w:pPr>
              <w:pStyle w:val="TableContents"/>
              <w:bidi w:val="0"/>
              <w:spacing w:before="0" w:after="283"/>
              <w:jc w:val="left"/>
              <w:rPr/>
            </w:pPr>
            <w:r>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283"/>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7" w:type="dxa"/>
            <w:tcBorders/>
            <w:shd w:fill="CCEEFF" w:val="clear"/>
            <w:vAlign w:val="bottom"/>
          </w:tcPr>
          <w:p>
            <w:pPr>
              <w:pStyle w:val="TableContents"/>
              <w:bidi w:val="0"/>
              <w:spacing w:before="0" w:after="283"/>
              <w:jc w:val="left"/>
              <w:rPr/>
            </w:pPr>
            <w:r>
              <w:rPr/>
              <w:t> </w:t>
            </w:r>
          </w:p>
        </w:tc>
        <w:tc>
          <w:tcPr>
            <w:tcW w:w="667" w:type="dxa"/>
            <w:tcBorders/>
            <w:shd w:fill="CCEEFF" w:val="clear"/>
            <w:vAlign w:val="bottom"/>
          </w:tcPr>
          <w:p>
            <w:pPr>
              <w:pStyle w:val="TableContents"/>
              <w:bidi w:val="0"/>
              <w:spacing w:before="0" w:after="283"/>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283"/>
              <w:jc w:val="right"/>
              <w:rPr/>
            </w:pPr>
            <w:r>
              <w:rPr/>
              <w:t>(67</w:t>
            </w:r>
          </w:p>
        </w:tc>
        <w:tc>
          <w:tcPr>
            <w:tcW w:w="110" w:type="dxa"/>
            <w:tcBorders/>
            <w:shd w:fill="CCEEFF" w:val="clear"/>
            <w:vAlign w:val="bottom"/>
          </w:tcPr>
          <w:p>
            <w:pPr>
              <w:pStyle w:val="TableContents"/>
              <w:bidi w:val="0"/>
              <w:spacing w:before="0" w:after="283"/>
              <w:jc w:val="left"/>
              <w:rPr/>
            </w:pPr>
            <w:r>
              <w:rPr/>
              <w:t>)</w:t>
            </w:r>
          </w:p>
        </w:tc>
      </w:tr>
      <w:tr>
        <w:trPr/>
        <w:tc>
          <w:tcPr>
            <w:tcW w:w="3230" w:type="dxa"/>
            <w:tcBorders/>
            <w:vAlign w:val="bottom"/>
          </w:tcPr>
          <w:p>
            <w:pPr>
              <w:pStyle w:val="TableContents"/>
              <w:bidi w:val="0"/>
              <w:spacing w:before="0" w:after="0"/>
              <w:ind w:left="360" w:right="0" w:hanging="0"/>
              <w:jc w:val="left"/>
              <w:rPr>
                <w:rFonts w:ascii="Times New Roman" w:hAnsi="Times New Roman"/>
                <w:color w:val="000000"/>
                <w:sz w:val="20"/>
              </w:rPr>
            </w:pPr>
            <w:r>
              <w:rPr>
                <w:rFonts w:ascii="Times New Roman" w:hAnsi="Times New Roman"/>
                <w:color w:val="000000"/>
                <w:sz w:val="20"/>
              </w:rPr>
              <w:t>Net other comprehensive income</w:t>
            </w:r>
          </w:p>
        </w:tc>
        <w:tc>
          <w:tcPr>
            <w:tcW w:w="60" w:type="dxa"/>
            <w:tcBorders/>
            <w:vAlign w:val="bottom"/>
          </w:tcPr>
          <w:p>
            <w:pPr>
              <w:pStyle w:val="TableContents"/>
              <w:bidi w:val="0"/>
              <w:spacing w:before="0" w:after="283"/>
              <w:jc w:val="right"/>
              <w:rPr/>
            </w:pPr>
            <w:r>
              <w:rPr/>
              <w:t> </w:t>
            </w:r>
          </w:p>
        </w:tc>
        <w:tc>
          <w:tcPr>
            <w:tcW w:w="219" w:type="dxa"/>
            <w:tcBorders>
              <w:bottom w:val="single" w:sz="12" w:space="0" w:color="000000"/>
            </w:tcBorders>
            <w:tcMar>
              <w:bottom w:w="28" w:type="dxa"/>
            </w:tcMar>
            <w:vAlign w:val="bottom"/>
          </w:tcPr>
          <w:p>
            <w:pPr>
              <w:pStyle w:val="TableContents"/>
              <w:bidi w:val="0"/>
              <w:spacing w:before="0" w:after="283"/>
              <w:jc w:val="left"/>
              <w:rPr/>
            </w:pPr>
            <w:r>
              <w:rPr/>
              <w:t> </w:t>
            </w:r>
          </w:p>
        </w:tc>
        <w:tc>
          <w:tcPr>
            <w:tcW w:w="1000" w:type="dxa"/>
            <w:tcBorders>
              <w:bottom w:val="single" w:sz="12" w:space="0" w:color="000000"/>
            </w:tcBorders>
            <w:tcMar>
              <w:bottom w:w="28" w:type="dxa"/>
            </w:tcMar>
            <w:vAlign w:val="bottom"/>
          </w:tcPr>
          <w:p>
            <w:pPr>
              <w:pStyle w:val="TableContents"/>
              <w:bidi w:val="0"/>
              <w:spacing w:before="0" w:after="283"/>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650" w:type="dxa"/>
            <w:tcBorders>
              <w:bottom w:val="single" w:sz="12" w:space="0" w:color="000000"/>
            </w:tcBorders>
            <w:tcMar>
              <w:bottom w:w="28" w:type="dxa"/>
            </w:tcMar>
            <w:vAlign w:val="bottom"/>
          </w:tcPr>
          <w:p>
            <w:pPr>
              <w:pStyle w:val="TableContents"/>
              <w:bidi w:val="0"/>
              <w:spacing w:before="0" w:after="283"/>
              <w:jc w:val="right"/>
              <w:rPr/>
            </w:pPr>
            <w:r>
              <w:rPr/>
              <w:t>502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7" w:type="dxa"/>
            <w:tcBorders>
              <w:bottom w:val="single" w:sz="12" w:space="0" w:color="000000"/>
            </w:tcBorders>
            <w:tcMar>
              <w:bottom w:w="28" w:type="dxa"/>
            </w:tcMar>
            <w:vAlign w:val="bottom"/>
          </w:tcPr>
          <w:p>
            <w:pPr>
              <w:pStyle w:val="TableContents"/>
              <w:bidi w:val="0"/>
              <w:spacing w:before="0" w:after="283"/>
              <w:jc w:val="left"/>
              <w:rPr/>
            </w:pPr>
            <w:r>
              <w:rPr/>
              <w:t> </w:t>
            </w:r>
          </w:p>
        </w:tc>
        <w:tc>
          <w:tcPr>
            <w:tcW w:w="667" w:type="dxa"/>
            <w:tcBorders>
              <w:bottom w:val="single" w:sz="12" w:space="0" w:color="000000"/>
            </w:tcBorders>
            <w:tcMar>
              <w:bottom w:w="28" w:type="dxa"/>
            </w:tcMar>
            <w:vAlign w:val="bottom"/>
          </w:tcPr>
          <w:p>
            <w:pPr>
              <w:pStyle w:val="TableContents"/>
              <w:bidi w:val="0"/>
              <w:spacing w:before="0" w:after="283"/>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650" w:type="dxa"/>
            <w:tcBorders>
              <w:bottom w:val="single" w:sz="12" w:space="0" w:color="000000"/>
            </w:tcBorders>
            <w:tcMar>
              <w:bottom w:w="28" w:type="dxa"/>
            </w:tcMar>
            <w:vAlign w:val="bottom"/>
          </w:tcPr>
          <w:p>
            <w:pPr>
              <w:pStyle w:val="TableContents"/>
              <w:bidi w:val="0"/>
              <w:spacing w:before="0" w:after="283"/>
              <w:jc w:val="right"/>
              <w:rPr/>
            </w:pPr>
            <w:r>
              <w:rPr/>
              <w:t>502</w:t>
            </w:r>
          </w:p>
        </w:tc>
        <w:tc>
          <w:tcPr>
            <w:tcW w:w="110" w:type="dxa"/>
            <w:tcBorders/>
            <w:vAlign w:val="bottom"/>
          </w:tcPr>
          <w:p>
            <w:pPr>
              <w:pStyle w:val="TableContents"/>
              <w:bidi w:val="0"/>
              <w:spacing w:before="0" w:after="283"/>
              <w:jc w:val="left"/>
              <w:rPr/>
            </w:pPr>
            <w:r>
              <w:rPr/>
              <w:t> </w:t>
            </w:r>
          </w:p>
        </w:tc>
      </w:tr>
      <w:tr>
        <w:trPr/>
        <w:tc>
          <w:tcPr>
            <w:tcW w:w="3230" w:type="dxa"/>
            <w:tcBorders/>
            <w:shd w:fill="CCEEFF" w:val="clear"/>
            <w:vAlign w:val="bottom"/>
          </w:tcPr>
          <w:p>
            <w:pPr>
              <w:pStyle w:val="TableContents"/>
              <w:bidi w:val="0"/>
              <w:spacing w:before="0" w:after="0"/>
              <w:ind w:left="504" w:right="0" w:hanging="144"/>
              <w:jc w:val="left"/>
              <w:rPr>
                <w:rFonts w:ascii="Times New Roman" w:hAnsi="Times New Roman"/>
                <w:color w:val="000000"/>
                <w:sz w:val="20"/>
              </w:rPr>
            </w:pPr>
            <w:r>
              <w:rPr>
                <w:rFonts w:ascii="Times New Roman" w:hAnsi="Times New Roman"/>
                <w:color w:val="000000"/>
                <w:sz w:val="20"/>
              </w:rPr>
              <w:t>Comprehensive income (loss)</w:t>
            </w:r>
          </w:p>
        </w:tc>
        <w:tc>
          <w:tcPr>
            <w:tcW w:w="60" w:type="dxa"/>
            <w:tcBorders/>
            <w:shd w:fill="CCEEFF" w:val="clear"/>
            <w:vAlign w:val="bottom"/>
          </w:tcPr>
          <w:p>
            <w:pPr>
              <w:pStyle w:val="TableContents"/>
              <w:bidi w:val="0"/>
              <w:spacing w:before="0" w:after="283"/>
              <w:jc w:val="right"/>
              <w:rPr/>
            </w:pPr>
            <w:r>
              <w:rPr/>
              <w:t> </w:t>
            </w:r>
          </w:p>
        </w:tc>
        <w:tc>
          <w:tcPr>
            <w:tcW w:w="219"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0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491</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6,028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6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(2,223</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4,296</w:t>
            </w:r>
          </w:p>
        </w:tc>
        <w:tc>
          <w:tcPr>
            <w:tcW w:w="110" w:type="dxa"/>
            <w:tcBorders/>
            <w:shd w:fill="CCEEFF" w:val="clear"/>
            <w:vAlign w:val="bottom"/>
          </w:tcPr>
          <w:p>
            <w:pPr>
              <w:pStyle w:val="TableContents"/>
              <w:bidi w:val="0"/>
              <w:spacing w:before="0" w:after="283"/>
              <w:jc w:val="left"/>
              <w:rPr/>
            </w:pPr>
            <w:r>
              <w:rPr/>
              <w:t> </w:t>
            </w:r>
          </w:p>
        </w:tc>
      </w:tr>
      <w:tr>
        <w:trPr/>
        <w:tc>
          <w:tcPr>
            <w:tcW w:w="32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9"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7" w:type="dxa"/>
            <w:tcBorders/>
            <w:vAlign w:val="bottom"/>
          </w:tcPr>
          <w:p>
            <w:pPr>
              <w:pStyle w:val="TableContents"/>
              <w:bidi w:val="0"/>
              <w:spacing w:before="0" w:after="283"/>
              <w:jc w:val="left"/>
              <w:rPr/>
            </w:pPr>
            <w:r>
              <w:rPr/>
              <w:t> </w:t>
            </w:r>
          </w:p>
        </w:tc>
        <w:tc>
          <w:tcPr>
            <w:tcW w:w="667"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r>
      <w:tr>
        <w:trPr/>
        <w:tc>
          <w:tcPr>
            <w:tcW w:w="3230" w:type="dxa"/>
            <w:tcBorders/>
            <w:shd w:fill="CCEEFF" w:val="clear"/>
            <w:vAlign w:val="bottom"/>
          </w:tcPr>
          <w:p>
            <w:pPr>
              <w:pStyle w:val="TableContents"/>
              <w:bidi w:val="0"/>
              <w:spacing w:before="0" w:after="0"/>
              <w:ind w:left="360" w:right="0" w:hanging="180"/>
              <w:jc w:val="left"/>
              <w:rPr>
                <w:rFonts w:ascii="Times New Roman" w:hAnsi="Times New Roman"/>
                <w:b/>
                <w:sz w:val="20"/>
              </w:rPr>
            </w:pPr>
            <w:r>
              <w:rPr>
                <w:rFonts w:ascii="Times New Roman" w:hAnsi="Times New Roman"/>
                <w:b/>
                <w:sz w:val="20"/>
              </w:rPr>
              <w:t>Three Months Ended June 30, 2025</w:t>
            </w:r>
          </w:p>
        </w:tc>
        <w:tc>
          <w:tcPr>
            <w:tcW w:w="60" w:type="dxa"/>
            <w:tcBorders/>
            <w:shd w:fill="CCEEFF" w:val="clear"/>
            <w:vAlign w:val="bottom"/>
          </w:tcPr>
          <w:p>
            <w:pPr>
              <w:pStyle w:val="TableContents"/>
              <w:bidi w:val="0"/>
              <w:spacing w:before="0" w:after="283"/>
              <w:jc w:val="right"/>
              <w:rPr/>
            </w:pPr>
            <w:r>
              <w:rPr/>
              <w:t> </w:t>
            </w:r>
          </w:p>
        </w:tc>
        <w:tc>
          <w:tcPr>
            <w:tcW w:w="219"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7" w:type="dxa"/>
            <w:tcBorders/>
            <w:shd w:fill="CCEEFF" w:val="clear"/>
            <w:vAlign w:val="bottom"/>
          </w:tcPr>
          <w:p>
            <w:pPr>
              <w:pStyle w:val="TableContents"/>
              <w:bidi w:val="0"/>
              <w:spacing w:before="0" w:after="283"/>
              <w:jc w:val="left"/>
              <w:rPr/>
            </w:pPr>
            <w:r>
              <w:rPr/>
              <w:t> </w:t>
            </w:r>
          </w:p>
        </w:tc>
        <w:tc>
          <w:tcPr>
            <w:tcW w:w="667"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r>
      <w:tr>
        <w:trPr/>
        <w:tc>
          <w:tcPr>
            <w:tcW w:w="3230" w:type="dxa"/>
            <w:tcBorders/>
            <w:vAlign w:val="bottom"/>
          </w:tcPr>
          <w:p>
            <w:pPr>
              <w:pStyle w:val="TableContents"/>
              <w:bidi w:val="0"/>
              <w:spacing w:before="0" w:after="0"/>
              <w:ind w:left="504" w:right="0" w:hanging="144"/>
              <w:jc w:val="left"/>
              <w:rPr>
                <w:rFonts w:ascii="Times New Roman" w:hAnsi="Times New Roman"/>
                <w:sz w:val="20"/>
              </w:rPr>
            </w:pPr>
            <w:r>
              <w:rPr>
                <w:rFonts w:ascii="Times New Roman" w:hAnsi="Times New Roman"/>
                <w:sz w:val="20"/>
              </w:rPr>
              <w:t>Interest income</w:t>
            </w:r>
          </w:p>
        </w:tc>
        <w:tc>
          <w:tcPr>
            <w:tcW w:w="60" w:type="dxa"/>
            <w:tcBorders/>
            <w:vAlign w:val="bottom"/>
          </w:tcPr>
          <w:p>
            <w:pPr>
              <w:pStyle w:val="TableContents"/>
              <w:bidi w:val="0"/>
              <w:spacing w:before="0" w:after="283"/>
              <w:jc w:val="right"/>
              <w:rPr/>
            </w:pPr>
            <w:r>
              <w:rPr/>
              <w:t> </w:t>
            </w:r>
          </w:p>
        </w:tc>
        <w:tc>
          <w:tcPr>
            <w:tcW w:w="21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0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14,787</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6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14,813</w:t>
            </w:r>
          </w:p>
        </w:tc>
        <w:tc>
          <w:tcPr>
            <w:tcW w:w="110" w:type="dxa"/>
            <w:tcBorders/>
            <w:vAlign w:val="bottom"/>
          </w:tcPr>
          <w:p>
            <w:pPr>
              <w:pStyle w:val="TableContents"/>
              <w:bidi w:val="0"/>
              <w:spacing w:before="0" w:after="283"/>
              <w:jc w:val="left"/>
              <w:rPr/>
            </w:pPr>
            <w:r>
              <w:rPr/>
              <w:t> </w:t>
            </w:r>
          </w:p>
        </w:tc>
      </w:tr>
      <w:tr>
        <w:trPr/>
        <w:tc>
          <w:tcPr>
            <w:tcW w:w="3230" w:type="dxa"/>
            <w:tcBorders/>
            <w:shd w:fill="CCEEFF" w:val="clear"/>
            <w:vAlign w:val="bottom"/>
          </w:tcPr>
          <w:p>
            <w:pPr>
              <w:pStyle w:val="TableContents"/>
              <w:bidi w:val="0"/>
              <w:spacing w:before="0" w:after="0"/>
              <w:ind w:left="504" w:right="0" w:hanging="144"/>
              <w:jc w:val="left"/>
              <w:rPr>
                <w:rFonts w:ascii="Times New Roman" w:hAnsi="Times New Roman"/>
                <w:sz w:val="20"/>
              </w:rPr>
            </w:pPr>
            <w:r>
              <w:rPr>
                <w:rFonts w:ascii="Times New Roman" w:hAnsi="Times New Roman"/>
                <w:sz w:val="20"/>
              </w:rPr>
              <w:t>Interest expense</w:t>
            </w:r>
          </w:p>
        </w:tc>
        <w:tc>
          <w:tcPr>
            <w:tcW w:w="60" w:type="dxa"/>
            <w:tcBorders/>
            <w:shd w:fill="CCEEFF" w:val="clear"/>
            <w:vAlign w:val="bottom"/>
          </w:tcPr>
          <w:p>
            <w:pPr>
              <w:pStyle w:val="TableContents"/>
              <w:bidi w:val="0"/>
              <w:spacing w:before="0" w:after="283"/>
              <w:jc w:val="right"/>
              <w:rPr/>
            </w:pPr>
            <w:r>
              <w:rPr/>
              <w:t> </w:t>
            </w:r>
          </w:p>
        </w:tc>
        <w:tc>
          <w:tcPr>
            <w:tcW w:w="21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0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322</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11,850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67"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12,172</w:t>
            </w:r>
          </w:p>
        </w:tc>
        <w:tc>
          <w:tcPr>
            <w:tcW w:w="110" w:type="dxa"/>
            <w:tcBorders/>
            <w:shd w:fill="CCEEFF" w:val="clear"/>
            <w:vAlign w:val="bottom"/>
          </w:tcPr>
          <w:p>
            <w:pPr>
              <w:pStyle w:val="TableContents"/>
              <w:bidi w:val="0"/>
              <w:spacing w:before="0" w:after="283"/>
              <w:jc w:val="left"/>
              <w:rPr/>
            </w:pPr>
            <w:r>
              <w:rPr/>
              <w:t> </w:t>
            </w:r>
          </w:p>
        </w:tc>
      </w:tr>
      <w:tr>
        <w:trPr/>
        <w:tc>
          <w:tcPr>
            <w:tcW w:w="3230" w:type="dxa"/>
            <w:tcBorders/>
            <w:vAlign w:val="bottom"/>
          </w:tcPr>
          <w:p>
            <w:pPr>
              <w:pStyle w:val="TableContents"/>
              <w:bidi w:val="0"/>
              <w:spacing w:before="0" w:after="0"/>
              <w:ind w:left="504" w:right="0" w:hanging="144"/>
              <w:jc w:val="left"/>
              <w:rPr>
                <w:rFonts w:ascii="Times New Roman" w:hAnsi="Times New Roman"/>
                <w:sz w:val="20"/>
              </w:rPr>
            </w:pPr>
            <w:r>
              <w:rPr>
                <w:rFonts w:ascii="Times New Roman" w:hAnsi="Times New Roman"/>
                <w:sz w:val="20"/>
              </w:rPr>
              <w:t xml:space="preserve">Net interest income (expense) </w:t>
            </w:r>
          </w:p>
        </w:tc>
        <w:tc>
          <w:tcPr>
            <w:tcW w:w="60" w:type="dxa"/>
            <w:tcBorders/>
            <w:vAlign w:val="bottom"/>
          </w:tcPr>
          <w:p>
            <w:pPr>
              <w:pStyle w:val="TableContents"/>
              <w:bidi w:val="0"/>
              <w:spacing w:before="0" w:after="283"/>
              <w:jc w:val="right"/>
              <w:rPr/>
            </w:pPr>
            <w:r>
              <w:rPr/>
              <w:t> </w:t>
            </w:r>
          </w:p>
        </w:tc>
        <w:tc>
          <w:tcPr>
            <w:tcW w:w="219"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(296</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2,937</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7" w:type="dxa"/>
            <w:tcBorders/>
            <w:vAlign w:val="bottom"/>
          </w:tcPr>
          <w:p>
            <w:pPr>
              <w:pStyle w:val="TableContents"/>
              <w:bidi w:val="0"/>
              <w:spacing w:before="0" w:after="283"/>
              <w:jc w:val="left"/>
              <w:rPr/>
            </w:pPr>
            <w:r>
              <w:rPr/>
              <w:t> </w:t>
            </w:r>
          </w:p>
        </w:tc>
        <w:tc>
          <w:tcPr>
            <w:tcW w:w="66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2,641</w:t>
            </w:r>
          </w:p>
        </w:tc>
        <w:tc>
          <w:tcPr>
            <w:tcW w:w="110" w:type="dxa"/>
            <w:tcBorders/>
            <w:vAlign w:val="bottom"/>
          </w:tcPr>
          <w:p>
            <w:pPr>
              <w:pStyle w:val="TableContents"/>
              <w:bidi w:val="0"/>
              <w:spacing w:before="0" w:after="283"/>
              <w:jc w:val="left"/>
              <w:rPr/>
            </w:pPr>
            <w:r>
              <w:rPr/>
              <w:t> </w:t>
            </w:r>
          </w:p>
        </w:tc>
      </w:tr>
      <w:tr>
        <w:trPr/>
        <w:tc>
          <w:tcPr>
            <w:tcW w:w="3230" w:type="dxa"/>
            <w:tcBorders/>
            <w:shd w:fill="CCEEFF" w:val="clear"/>
            <w:vAlign w:val="bottom"/>
          </w:tcPr>
          <w:p>
            <w:pPr>
              <w:pStyle w:val="TableContents"/>
              <w:bidi w:val="0"/>
              <w:spacing w:before="0" w:after="0"/>
              <w:ind w:left="504" w:right="0" w:hanging="144"/>
              <w:jc w:val="left"/>
              <w:rPr>
                <w:rFonts w:ascii="Times New Roman" w:hAnsi="Times New Roman"/>
                <w:sz w:val="20"/>
              </w:rPr>
            </w:pPr>
            <w:r>
              <w:rPr>
                <w:rFonts w:ascii="Times New Roman" w:hAnsi="Times New Roman"/>
                <w:sz w:val="20"/>
              </w:rPr>
              <w:t>Servicing fee income</w:t>
            </w:r>
          </w:p>
        </w:tc>
        <w:tc>
          <w:tcPr>
            <w:tcW w:w="60" w:type="dxa"/>
            <w:tcBorders/>
            <w:shd w:fill="CCEEFF" w:val="clear"/>
            <w:vAlign w:val="bottom"/>
          </w:tcPr>
          <w:p>
            <w:pPr>
              <w:pStyle w:val="TableContents"/>
              <w:bidi w:val="0"/>
              <w:spacing w:before="0" w:after="283"/>
              <w:jc w:val="right"/>
              <w:rPr/>
            </w:pPr>
            <w:r>
              <w:rPr/>
              <w:t> </w:t>
            </w:r>
          </w:p>
        </w:tc>
        <w:tc>
          <w:tcPr>
            <w:tcW w:w="219"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10,933</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7" w:type="dxa"/>
            <w:tcBorders/>
            <w:shd w:fill="CCEEFF" w:val="clear"/>
            <w:vAlign w:val="bottom"/>
          </w:tcPr>
          <w:p>
            <w:pPr>
              <w:pStyle w:val="TableContents"/>
              <w:bidi w:val="0"/>
              <w:spacing w:before="0" w:after="283"/>
              <w:jc w:val="left"/>
              <w:rPr/>
            </w:pPr>
            <w:r>
              <w:rPr/>
              <w:t> </w:t>
            </w:r>
          </w:p>
        </w:tc>
        <w:tc>
          <w:tcPr>
            <w:tcW w:w="66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10,933</w:t>
            </w:r>
          </w:p>
        </w:tc>
        <w:tc>
          <w:tcPr>
            <w:tcW w:w="110" w:type="dxa"/>
            <w:tcBorders/>
            <w:shd w:fill="CCEEFF" w:val="clear"/>
            <w:vAlign w:val="bottom"/>
          </w:tcPr>
          <w:p>
            <w:pPr>
              <w:pStyle w:val="TableContents"/>
              <w:bidi w:val="0"/>
              <w:spacing w:before="0" w:after="283"/>
              <w:jc w:val="left"/>
              <w:rPr/>
            </w:pPr>
            <w:r>
              <w:rPr/>
              <w:t> </w:t>
            </w:r>
          </w:p>
        </w:tc>
      </w:tr>
      <w:tr>
        <w:trPr/>
        <w:tc>
          <w:tcPr>
            <w:tcW w:w="3230" w:type="dxa"/>
            <w:tcBorders/>
            <w:vAlign w:val="bottom"/>
          </w:tcPr>
          <w:p>
            <w:pPr>
              <w:pStyle w:val="TableContents"/>
              <w:bidi w:val="0"/>
              <w:spacing w:before="0" w:after="0"/>
              <w:ind w:left="504" w:right="0" w:hanging="144"/>
              <w:jc w:val="left"/>
              <w:rPr>
                <w:rFonts w:ascii="Times New Roman" w:hAnsi="Times New Roman"/>
                <w:sz w:val="20"/>
              </w:rPr>
            </w:pPr>
            <w:r>
              <w:rPr>
                <w:rFonts w:ascii="Times New Roman" w:hAnsi="Times New Roman"/>
                <w:sz w:val="20"/>
              </w:rPr>
              <w:t>Servicing costs</w:t>
            </w:r>
          </w:p>
        </w:tc>
        <w:tc>
          <w:tcPr>
            <w:tcW w:w="60" w:type="dxa"/>
            <w:tcBorders/>
            <w:vAlign w:val="bottom"/>
          </w:tcPr>
          <w:p>
            <w:pPr>
              <w:pStyle w:val="TableContents"/>
              <w:bidi w:val="0"/>
              <w:spacing w:before="0" w:after="283"/>
              <w:jc w:val="right"/>
              <w:rPr/>
            </w:pPr>
            <w:r>
              <w:rPr/>
              <w:t> </w:t>
            </w:r>
          </w:p>
        </w:tc>
        <w:tc>
          <w:tcPr>
            <w:tcW w:w="219" w:type="dxa"/>
            <w:tcBorders>
              <w:bottom w:val="single" w:sz="12" w:space="0" w:color="000000"/>
            </w:tcBorders>
            <w:tcMar>
              <w:bottom w:w="28" w:type="dxa"/>
            </w:tcMar>
            <w:vAlign w:val="bottom"/>
          </w:tcPr>
          <w:p>
            <w:pPr>
              <w:pStyle w:val="TableContents"/>
              <w:bidi w:val="0"/>
              <w:spacing w:before="0" w:after="283"/>
              <w:jc w:val="left"/>
              <w:rPr/>
            </w:pPr>
            <w:r>
              <w:rPr/>
              <w:t> </w:t>
            </w:r>
          </w:p>
        </w:tc>
        <w:tc>
          <w:tcPr>
            <w:tcW w:w="100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1,952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6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7" w:type="dxa"/>
            <w:tcBorders>
              <w:bottom w:val="single" w:sz="12" w:space="0" w:color="000000"/>
            </w:tcBorders>
            <w:tcMar>
              <w:bottom w:w="28" w:type="dxa"/>
            </w:tcMar>
            <w:vAlign w:val="bottom"/>
          </w:tcPr>
          <w:p>
            <w:pPr>
              <w:pStyle w:val="TableContents"/>
              <w:bidi w:val="0"/>
              <w:spacing w:before="0" w:after="283"/>
              <w:jc w:val="left"/>
              <w:rPr/>
            </w:pPr>
            <w:r>
              <w:rPr/>
              <w:t> </w:t>
            </w:r>
          </w:p>
        </w:tc>
        <w:tc>
          <w:tcPr>
            <w:tcW w:w="667"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6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1,952</w:t>
            </w:r>
          </w:p>
        </w:tc>
        <w:tc>
          <w:tcPr>
            <w:tcW w:w="110" w:type="dxa"/>
            <w:tcBorders/>
            <w:vAlign w:val="bottom"/>
          </w:tcPr>
          <w:p>
            <w:pPr>
              <w:pStyle w:val="TableContents"/>
              <w:bidi w:val="0"/>
              <w:spacing w:before="0" w:after="283"/>
              <w:jc w:val="left"/>
              <w:rPr/>
            </w:pPr>
            <w:r>
              <w:rPr/>
              <w:t> </w:t>
            </w:r>
          </w:p>
        </w:tc>
      </w:tr>
      <w:tr>
        <w:trPr/>
        <w:tc>
          <w:tcPr>
            <w:tcW w:w="3230" w:type="dxa"/>
            <w:tcBorders/>
            <w:shd w:fill="CCEEFF" w:val="clear"/>
            <w:vAlign w:val="bottom"/>
          </w:tcPr>
          <w:p>
            <w:pPr>
              <w:pStyle w:val="TableContents"/>
              <w:bidi w:val="0"/>
              <w:spacing w:before="0" w:after="0"/>
              <w:ind w:left="504" w:right="0" w:hanging="144"/>
              <w:jc w:val="left"/>
              <w:rPr>
                <w:rFonts w:ascii="Times New Roman" w:hAnsi="Times New Roman"/>
                <w:sz w:val="20"/>
              </w:rPr>
            </w:pPr>
            <w:r>
              <w:rPr>
                <w:rFonts w:ascii="Times New Roman" w:hAnsi="Times New Roman"/>
                <w:sz w:val="20"/>
              </w:rPr>
              <w:t>Net servicing income</w:t>
            </w:r>
          </w:p>
        </w:tc>
        <w:tc>
          <w:tcPr>
            <w:tcW w:w="60" w:type="dxa"/>
            <w:tcBorders/>
            <w:shd w:fill="CCEEFF" w:val="clear"/>
            <w:vAlign w:val="bottom"/>
          </w:tcPr>
          <w:p>
            <w:pPr>
              <w:pStyle w:val="TableContents"/>
              <w:bidi w:val="0"/>
              <w:spacing w:before="0" w:after="283"/>
              <w:jc w:val="right"/>
              <w:rPr/>
            </w:pPr>
            <w:r>
              <w:rPr/>
              <w:t> </w:t>
            </w:r>
          </w:p>
        </w:tc>
        <w:tc>
          <w:tcPr>
            <w:tcW w:w="219"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8,981</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7" w:type="dxa"/>
            <w:tcBorders/>
            <w:shd w:fill="CCEEFF" w:val="clear"/>
            <w:vAlign w:val="bottom"/>
          </w:tcPr>
          <w:p>
            <w:pPr>
              <w:pStyle w:val="TableContents"/>
              <w:bidi w:val="0"/>
              <w:spacing w:before="0" w:after="283"/>
              <w:jc w:val="left"/>
              <w:rPr/>
            </w:pPr>
            <w:r>
              <w:rPr/>
              <w:t> </w:t>
            </w:r>
          </w:p>
        </w:tc>
        <w:tc>
          <w:tcPr>
            <w:tcW w:w="66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8,981</w:t>
            </w:r>
          </w:p>
        </w:tc>
        <w:tc>
          <w:tcPr>
            <w:tcW w:w="110" w:type="dxa"/>
            <w:tcBorders/>
            <w:shd w:fill="CCEEFF" w:val="clear"/>
            <w:vAlign w:val="bottom"/>
          </w:tcPr>
          <w:p>
            <w:pPr>
              <w:pStyle w:val="TableContents"/>
              <w:bidi w:val="0"/>
              <w:spacing w:before="0" w:after="283"/>
              <w:jc w:val="left"/>
              <w:rPr/>
            </w:pPr>
            <w:r>
              <w:rPr/>
              <w:t> </w:t>
            </w:r>
          </w:p>
        </w:tc>
      </w:tr>
      <w:tr>
        <w:trPr/>
        <w:tc>
          <w:tcPr>
            <w:tcW w:w="3230" w:type="dxa"/>
            <w:tcBorders/>
            <w:vAlign w:val="bottom"/>
          </w:tcPr>
          <w:p>
            <w:pPr>
              <w:pStyle w:val="TableContents"/>
              <w:bidi w:val="0"/>
              <w:spacing w:before="0" w:after="0"/>
              <w:ind w:left="504" w:right="0" w:hanging="144"/>
              <w:jc w:val="left"/>
              <w:rPr>
                <w:rFonts w:ascii="Times New Roman" w:hAnsi="Times New Roman"/>
                <w:sz w:val="20"/>
              </w:rPr>
            </w:pPr>
            <w:r>
              <w:rPr>
                <w:rFonts w:ascii="Times New Roman" w:hAnsi="Times New Roman"/>
                <w:sz w:val="20"/>
              </w:rPr>
              <w:t>Other expense</w:t>
            </w:r>
            <w:r>
              <w:rPr>
                <w:rFonts w:ascii="Times New Roman" w:hAnsi="Times New Roman"/>
                <w:position w:val="7"/>
                <w:sz w:val="16"/>
                <w:sz w:val="20"/>
              </w:rPr>
              <w:t xml:space="preserve"> (A)</w:t>
            </w:r>
          </w:p>
        </w:tc>
        <w:tc>
          <w:tcPr>
            <w:tcW w:w="60" w:type="dxa"/>
            <w:tcBorders/>
            <w:vAlign w:val="bottom"/>
          </w:tcPr>
          <w:p>
            <w:pPr>
              <w:pStyle w:val="TableContents"/>
              <w:bidi w:val="0"/>
              <w:spacing w:before="0" w:after="283"/>
              <w:jc w:val="right"/>
              <w:rPr/>
            </w:pPr>
            <w:r>
              <w:rPr/>
              <w:t> </w:t>
            </w:r>
          </w:p>
        </w:tc>
        <w:tc>
          <w:tcPr>
            <w:tcW w:w="219"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(2,902</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(2,683</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47" w:type="dxa"/>
            <w:tcBorders/>
            <w:vAlign w:val="bottom"/>
          </w:tcPr>
          <w:p>
            <w:pPr>
              <w:pStyle w:val="TableContents"/>
              <w:bidi w:val="0"/>
              <w:spacing w:before="0" w:after="283"/>
              <w:jc w:val="left"/>
              <w:rPr/>
            </w:pPr>
            <w:r>
              <w:rPr/>
              <w:t> </w:t>
            </w:r>
          </w:p>
        </w:tc>
        <w:tc>
          <w:tcPr>
            <w:tcW w:w="66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(5,585</w:t>
            </w:r>
          </w:p>
        </w:tc>
        <w:tc>
          <w:tcPr>
            <w:tcW w:w="11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3230" w:type="dxa"/>
            <w:tcBorders/>
            <w:shd w:fill="CCEEFF" w:val="clear"/>
            <w:vAlign w:val="bottom"/>
          </w:tcPr>
          <w:p>
            <w:pPr>
              <w:pStyle w:val="TableContents"/>
              <w:bidi w:val="0"/>
              <w:spacing w:before="0" w:after="0"/>
              <w:ind w:left="504" w:right="0" w:hanging="144"/>
              <w:jc w:val="left"/>
              <w:rPr>
                <w:rFonts w:ascii="Times New Roman" w:hAnsi="Times New Roman"/>
                <w:sz w:val="20"/>
              </w:rPr>
            </w:pPr>
            <w:r>
              <w:rPr>
                <w:rFonts w:ascii="Times New Roman" w:hAnsi="Times New Roman"/>
                <w:sz w:val="20"/>
              </w:rPr>
              <w:t xml:space="preserve">Other operating expenses </w:t>
            </w:r>
            <w:r>
              <w:rPr>
                <w:rFonts w:ascii="Times New Roman" w:hAnsi="Times New Roman"/>
                <w:position w:val="7"/>
                <w:sz w:val="16"/>
                <w:sz w:val="20"/>
              </w:rPr>
              <w:t>(B)</w:t>
            </w:r>
          </w:p>
        </w:tc>
        <w:tc>
          <w:tcPr>
            <w:tcW w:w="60" w:type="dxa"/>
            <w:tcBorders/>
            <w:shd w:fill="CCEEFF" w:val="clear"/>
            <w:vAlign w:val="bottom"/>
          </w:tcPr>
          <w:p>
            <w:pPr>
              <w:pStyle w:val="TableContents"/>
              <w:bidi w:val="0"/>
              <w:spacing w:before="0" w:after="283"/>
              <w:jc w:val="right"/>
              <w:rPr/>
            </w:pPr>
            <w:r>
              <w:rPr/>
              <w:t> </w:t>
            </w:r>
          </w:p>
        </w:tc>
        <w:tc>
          <w:tcPr>
            <w:tcW w:w="219"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(923</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(644</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47" w:type="dxa"/>
            <w:tcBorders/>
            <w:shd w:fill="CCEEFF" w:val="clear"/>
            <w:vAlign w:val="bottom"/>
          </w:tcPr>
          <w:p>
            <w:pPr>
              <w:pStyle w:val="TableContents"/>
              <w:bidi w:val="0"/>
              <w:spacing w:before="0" w:after="283"/>
              <w:jc w:val="left"/>
              <w:rPr/>
            </w:pPr>
            <w:r>
              <w:rPr/>
              <w:t> </w:t>
            </w:r>
          </w:p>
        </w:tc>
        <w:tc>
          <w:tcPr>
            <w:tcW w:w="66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(1,788</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(3,355</w:t>
            </w:r>
          </w:p>
        </w:tc>
        <w:tc>
          <w:tcPr>
            <w:tcW w:w="11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3230" w:type="dxa"/>
            <w:tcBorders/>
            <w:vAlign w:val="bottom"/>
          </w:tcPr>
          <w:p>
            <w:pPr>
              <w:pStyle w:val="TableContents"/>
              <w:bidi w:val="0"/>
              <w:spacing w:before="0" w:after="0"/>
              <w:ind w:left="504" w:right="0" w:hanging="144"/>
              <w:jc w:val="left"/>
              <w:rPr>
                <w:rFonts w:ascii="Times New Roman" w:hAnsi="Times New Roman"/>
                <w:sz w:val="20"/>
              </w:rPr>
            </w:pPr>
            <w:r>
              <w:rPr>
                <w:rFonts w:ascii="Times New Roman" w:hAnsi="Times New Roman"/>
                <w:sz w:val="20"/>
              </w:rPr>
              <w:t>Provision for corporate business taxes</w:t>
            </w:r>
          </w:p>
        </w:tc>
        <w:tc>
          <w:tcPr>
            <w:tcW w:w="60" w:type="dxa"/>
            <w:tcBorders/>
            <w:vAlign w:val="bottom"/>
          </w:tcPr>
          <w:p>
            <w:pPr>
              <w:pStyle w:val="TableContents"/>
              <w:bidi w:val="0"/>
              <w:spacing w:before="0" w:after="283"/>
              <w:jc w:val="right"/>
              <w:rPr/>
            </w:pPr>
            <w:r>
              <w:rPr/>
              <w:t> </w:t>
            </w:r>
          </w:p>
        </w:tc>
        <w:tc>
          <w:tcPr>
            <w:tcW w:w="219"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(1,121</w:t>
            </w:r>
          </w:p>
        </w:tc>
        <w:tc>
          <w:tcPr>
            <w:tcW w:w="95" w:type="dxa"/>
            <w:tcBorders/>
            <w:vAlign w:val="bottom"/>
          </w:tcPr>
          <w:p>
            <w:pPr>
              <w:pStyle w:val="TableContents"/>
              <w:bidi w:val="0"/>
              <w:spacing w:before="0" w:after="283"/>
              <w:jc w:val="left"/>
              <w:rPr/>
            </w:pPr>
            <w:r>
              <w:rPr/>
              <w: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283"/>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7" w:type="dxa"/>
            <w:tcBorders/>
            <w:vAlign w:val="bottom"/>
          </w:tcPr>
          <w:p>
            <w:pPr>
              <w:pStyle w:val="TableContents"/>
              <w:bidi w:val="0"/>
              <w:spacing w:before="0" w:after="283"/>
              <w:jc w:val="left"/>
              <w:rPr/>
            </w:pPr>
            <w:r>
              <w:rPr/>
              <w:t> </w:t>
            </w:r>
          </w:p>
        </w:tc>
        <w:tc>
          <w:tcPr>
            <w:tcW w:w="667" w:type="dxa"/>
            <w:tcBorders/>
            <w:vAlign w:val="bottom"/>
          </w:tcPr>
          <w:p>
            <w:pPr>
              <w:pStyle w:val="TableContents"/>
              <w:bidi w:val="0"/>
              <w:spacing w:before="0" w:after="283"/>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283"/>
              <w:jc w:val="right"/>
              <w:rPr/>
            </w:pPr>
            <w:r>
              <w:rPr/>
              <w:t>(1,121</w:t>
            </w:r>
          </w:p>
        </w:tc>
        <w:tc>
          <w:tcPr>
            <w:tcW w:w="110" w:type="dxa"/>
            <w:tcBorders/>
            <w:vAlign w:val="bottom"/>
          </w:tcPr>
          <w:p>
            <w:pPr>
              <w:pStyle w:val="TableContents"/>
              <w:bidi w:val="0"/>
              <w:spacing w:before="0" w:after="283"/>
              <w:jc w:val="left"/>
              <w:rPr/>
            </w:pPr>
            <w:r>
              <w:rPr/>
              <w:t>)</w:t>
            </w:r>
          </w:p>
        </w:tc>
      </w:tr>
      <w:tr>
        <w:trPr/>
        <w:tc>
          <w:tcPr>
            <w:tcW w:w="3230" w:type="dxa"/>
            <w:tcBorders/>
            <w:shd w:fill="CCEEFF" w:val="clear"/>
            <w:vAlign w:val="bottom"/>
          </w:tcPr>
          <w:p>
            <w:pPr>
              <w:pStyle w:val="TableContents"/>
              <w:bidi w:val="0"/>
              <w:spacing w:before="0" w:after="0"/>
              <w:ind w:left="360" w:right="0" w:hanging="0"/>
              <w:jc w:val="left"/>
              <w:rPr>
                <w:rFonts w:ascii="Times New Roman" w:hAnsi="Times New Roman"/>
                <w:color w:val="000000"/>
                <w:sz w:val="20"/>
              </w:rPr>
            </w:pPr>
            <w:r>
              <w:rPr>
                <w:rFonts w:ascii="Times New Roman" w:hAnsi="Times New Roman"/>
                <w:color w:val="000000"/>
                <w:sz w:val="20"/>
              </w:rPr>
              <w:t xml:space="preserve">Net other comprehensive income (loss) </w:t>
            </w:r>
          </w:p>
        </w:tc>
        <w:tc>
          <w:tcPr>
            <w:tcW w:w="60" w:type="dxa"/>
            <w:tcBorders/>
            <w:shd w:fill="CCEEFF" w:val="clear"/>
            <w:vAlign w:val="bottom"/>
          </w:tcPr>
          <w:p>
            <w:pPr>
              <w:pStyle w:val="TableContents"/>
              <w:bidi w:val="0"/>
              <w:spacing w:before="0" w:after="283"/>
              <w:jc w:val="right"/>
              <w:rPr/>
            </w:pPr>
            <w:r>
              <w:rPr/>
              <w:t> </w:t>
            </w:r>
          </w:p>
        </w:tc>
        <w:tc>
          <w:tcPr>
            <w:tcW w:w="21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00" w:type="dxa"/>
            <w:tcBorders>
              <w:bottom w:val="single" w:sz="12" w:space="0" w:color="000000"/>
            </w:tcBorders>
            <w:shd w:fill="CCEEFF" w:val="clear"/>
            <w:tcMar>
              <w:bottom w:w="28" w:type="dxa"/>
            </w:tcMar>
            <w:vAlign w:val="bottom"/>
          </w:tcPr>
          <w:p>
            <w:pPr>
              <w:pStyle w:val="TableContents"/>
              <w:bidi w:val="0"/>
              <w:spacing w:before="0" w:after="283"/>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50" w:type="dxa"/>
            <w:tcBorders>
              <w:bottom w:val="single" w:sz="12" w:space="0" w:color="000000"/>
            </w:tcBorders>
            <w:shd w:fill="CCEEFF" w:val="clear"/>
            <w:tcMar>
              <w:bottom w:w="28" w:type="dxa"/>
            </w:tcMar>
            <w:vAlign w:val="bottom"/>
          </w:tcPr>
          <w:p>
            <w:pPr>
              <w:pStyle w:val="TableContents"/>
              <w:bidi w:val="0"/>
              <w:spacing w:before="0" w:after="283"/>
              <w:jc w:val="right"/>
              <w:rPr/>
            </w:pPr>
            <w:r>
              <w:rPr/>
              <w:t>320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67" w:type="dxa"/>
            <w:tcBorders>
              <w:bottom w:val="single" w:sz="12" w:space="0" w:color="000000"/>
            </w:tcBorders>
            <w:shd w:fill="CCEEFF" w:val="clear"/>
            <w:tcMar>
              <w:bottom w:w="28" w:type="dxa"/>
            </w:tcMar>
            <w:vAlign w:val="bottom"/>
          </w:tcPr>
          <w:p>
            <w:pPr>
              <w:pStyle w:val="TableContents"/>
              <w:bidi w:val="0"/>
              <w:spacing w:before="0" w:after="283"/>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50" w:type="dxa"/>
            <w:tcBorders>
              <w:bottom w:val="single" w:sz="12" w:space="0" w:color="000000"/>
            </w:tcBorders>
            <w:shd w:fill="CCEEFF" w:val="clear"/>
            <w:tcMar>
              <w:bottom w:w="28" w:type="dxa"/>
            </w:tcMar>
            <w:vAlign w:val="bottom"/>
          </w:tcPr>
          <w:p>
            <w:pPr>
              <w:pStyle w:val="TableContents"/>
              <w:bidi w:val="0"/>
              <w:spacing w:before="0" w:after="283"/>
              <w:jc w:val="right"/>
              <w:rPr/>
            </w:pPr>
            <w:r>
              <w:rPr/>
              <w:t>320</w:t>
            </w:r>
          </w:p>
        </w:tc>
        <w:tc>
          <w:tcPr>
            <w:tcW w:w="110" w:type="dxa"/>
            <w:tcBorders/>
            <w:shd w:fill="CCEEFF" w:val="clear"/>
            <w:vAlign w:val="bottom"/>
          </w:tcPr>
          <w:p>
            <w:pPr>
              <w:pStyle w:val="TableContents"/>
              <w:bidi w:val="0"/>
              <w:spacing w:before="0" w:after="283"/>
              <w:jc w:val="left"/>
              <w:rPr/>
            </w:pPr>
            <w:r>
              <w:rPr/>
              <w:t> </w:t>
            </w:r>
          </w:p>
        </w:tc>
      </w:tr>
      <w:tr>
        <w:trPr/>
        <w:tc>
          <w:tcPr>
            <w:tcW w:w="3230" w:type="dxa"/>
            <w:tcBorders/>
            <w:vAlign w:val="bottom"/>
          </w:tcPr>
          <w:p>
            <w:pPr>
              <w:pStyle w:val="TableContents"/>
              <w:bidi w:val="0"/>
              <w:spacing w:before="0" w:after="0"/>
              <w:ind w:left="504" w:right="0" w:hanging="144"/>
              <w:jc w:val="left"/>
              <w:rPr>
                <w:rFonts w:ascii="Times New Roman" w:hAnsi="Times New Roman"/>
                <w:color w:val="000000"/>
                <w:sz w:val="20"/>
              </w:rPr>
            </w:pPr>
            <w:r>
              <w:rPr>
                <w:rFonts w:ascii="Times New Roman" w:hAnsi="Times New Roman"/>
                <w:color w:val="000000"/>
                <w:sz w:val="20"/>
              </w:rPr>
              <w:t>Comprehensive income (loss)</w:t>
            </w:r>
          </w:p>
        </w:tc>
        <w:tc>
          <w:tcPr>
            <w:tcW w:w="60" w:type="dxa"/>
            <w:tcBorders/>
            <w:vAlign w:val="bottom"/>
          </w:tcPr>
          <w:p>
            <w:pPr>
              <w:pStyle w:val="TableContents"/>
              <w:bidi w:val="0"/>
              <w:spacing w:before="0" w:after="283"/>
              <w:jc w:val="right"/>
              <w:rPr/>
            </w:pPr>
            <w:r>
              <w:rPr/>
              <w:t> </w:t>
            </w:r>
          </w:p>
        </w:tc>
        <w:tc>
          <w:tcPr>
            <w:tcW w:w="21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0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3,739</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(70</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6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(1,788</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1,881</w:t>
            </w:r>
          </w:p>
        </w:tc>
        <w:tc>
          <w:tcPr>
            <w:tcW w:w="110" w:type="dxa"/>
            <w:tcBorders/>
            <w:vAlign w:val="bottom"/>
          </w:tcPr>
          <w:p>
            <w:pPr>
              <w:pStyle w:val="TableContents"/>
              <w:bidi w:val="0"/>
              <w:spacing w:before="0" w:after="283"/>
              <w:jc w:val="left"/>
              <w:rPr/>
            </w:pPr>
            <w:r>
              <w:rPr/>
              <w:t> </w:t>
            </w:r>
          </w:p>
        </w:tc>
      </w:tr>
      <w:tr>
        <w:trPr/>
        <w:tc>
          <w:tcPr>
            <w:tcW w:w="323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9"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7" w:type="dxa"/>
            <w:tcBorders/>
            <w:shd w:fill="CCEEFF" w:val="clear"/>
            <w:vAlign w:val="bottom"/>
          </w:tcPr>
          <w:p>
            <w:pPr>
              <w:pStyle w:val="TableContents"/>
              <w:bidi w:val="0"/>
              <w:spacing w:before="0" w:after="283"/>
              <w:jc w:val="left"/>
              <w:rPr/>
            </w:pPr>
            <w:r>
              <w:rPr/>
              <w:t> </w:t>
            </w:r>
          </w:p>
        </w:tc>
        <w:tc>
          <w:tcPr>
            <w:tcW w:w="667"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r>
      <w:tr>
        <w:trPr/>
        <w:tc>
          <w:tcPr>
            <w:tcW w:w="3230" w:type="dxa"/>
            <w:tcBorders/>
            <w:vAlign w:val="bottom"/>
          </w:tcPr>
          <w:p>
            <w:pPr>
              <w:pStyle w:val="TableContents"/>
              <w:bidi w:val="0"/>
              <w:spacing w:before="0" w:after="0"/>
              <w:ind w:left="360" w:right="0" w:hanging="180"/>
              <w:jc w:val="left"/>
              <w:rPr>
                <w:rFonts w:ascii="Times New Roman" w:hAnsi="Times New Roman"/>
                <w:b/>
                <w:sz w:val="20"/>
              </w:rPr>
            </w:pPr>
            <w:r>
              <w:rPr>
                <w:rFonts w:ascii="Times New Roman" w:hAnsi="Times New Roman"/>
                <w:b/>
                <w:sz w:val="20"/>
              </w:rPr>
              <w:t>Six Months Ended June 30, 2026</w:t>
            </w:r>
          </w:p>
        </w:tc>
        <w:tc>
          <w:tcPr>
            <w:tcW w:w="60" w:type="dxa"/>
            <w:tcBorders/>
            <w:vAlign w:val="bottom"/>
          </w:tcPr>
          <w:p>
            <w:pPr>
              <w:pStyle w:val="TableContents"/>
              <w:bidi w:val="0"/>
              <w:spacing w:before="0" w:after="283"/>
              <w:jc w:val="right"/>
              <w:rPr/>
            </w:pPr>
            <w:r>
              <w:rPr/>
              <w:t> </w:t>
            </w:r>
          </w:p>
        </w:tc>
        <w:tc>
          <w:tcPr>
            <w:tcW w:w="219"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7" w:type="dxa"/>
            <w:tcBorders/>
            <w:vAlign w:val="bottom"/>
          </w:tcPr>
          <w:p>
            <w:pPr>
              <w:pStyle w:val="TableContents"/>
              <w:bidi w:val="0"/>
              <w:spacing w:before="0" w:after="283"/>
              <w:jc w:val="left"/>
              <w:rPr/>
            </w:pPr>
            <w:r>
              <w:rPr/>
              <w:t> </w:t>
            </w:r>
          </w:p>
        </w:tc>
        <w:tc>
          <w:tcPr>
            <w:tcW w:w="667"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r>
      <w:tr>
        <w:trPr/>
        <w:tc>
          <w:tcPr>
            <w:tcW w:w="3230" w:type="dxa"/>
            <w:tcBorders/>
            <w:shd w:fill="CCEEFF" w:val="clear"/>
            <w:vAlign w:val="bottom"/>
          </w:tcPr>
          <w:p>
            <w:pPr>
              <w:pStyle w:val="TableContents"/>
              <w:bidi w:val="0"/>
              <w:spacing w:before="0" w:after="0"/>
              <w:ind w:left="504" w:right="0" w:hanging="144"/>
              <w:jc w:val="left"/>
              <w:rPr>
                <w:rFonts w:ascii="Times New Roman" w:hAnsi="Times New Roman"/>
                <w:sz w:val="20"/>
              </w:rPr>
            </w:pPr>
            <w:r>
              <w:rPr>
                <w:rFonts w:ascii="Times New Roman" w:hAnsi="Times New Roman"/>
                <w:sz w:val="20"/>
              </w:rPr>
              <w:t>Interest income</w:t>
            </w:r>
          </w:p>
        </w:tc>
        <w:tc>
          <w:tcPr>
            <w:tcW w:w="60" w:type="dxa"/>
            <w:tcBorders/>
            <w:shd w:fill="CCEEFF" w:val="clear"/>
            <w:vAlign w:val="bottom"/>
          </w:tcPr>
          <w:p>
            <w:pPr>
              <w:pStyle w:val="TableContents"/>
              <w:bidi w:val="0"/>
              <w:spacing w:before="0" w:after="283"/>
              <w:jc w:val="right"/>
              <w:rPr/>
            </w:pPr>
            <w:r>
              <w:rPr/>
              <w:t> </w:t>
            </w:r>
          </w:p>
        </w:tc>
        <w:tc>
          <w:tcPr>
            <w:tcW w:w="219"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0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105</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30,485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6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30,590</w:t>
            </w:r>
          </w:p>
        </w:tc>
        <w:tc>
          <w:tcPr>
            <w:tcW w:w="110" w:type="dxa"/>
            <w:tcBorders/>
            <w:shd w:fill="CCEEFF" w:val="clear"/>
            <w:vAlign w:val="bottom"/>
          </w:tcPr>
          <w:p>
            <w:pPr>
              <w:pStyle w:val="TableContents"/>
              <w:bidi w:val="0"/>
              <w:spacing w:before="0" w:after="283"/>
              <w:jc w:val="left"/>
              <w:rPr/>
            </w:pPr>
            <w:r>
              <w:rPr/>
              <w:t> </w:t>
            </w:r>
          </w:p>
        </w:tc>
      </w:tr>
      <w:tr>
        <w:trPr/>
        <w:tc>
          <w:tcPr>
            <w:tcW w:w="3230" w:type="dxa"/>
            <w:tcBorders/>
            <w:vAlign w:val="bottom"/>
          </w:tcPr>
          <w:p>
            <w:pPr>
              <w:pStyle w:val="TableContents"/>
              <w:bidi w:val="0"/>
              <w:spacing w:before="0" w:after="0"/>
              <w:ind w:left="504" w:right="0" w:hanging="144"/>
              <w:jc w:val="left"/>
              <w:rPr>
                <w:rFonts w:ascii="Times New Roman" w:hAnsi="Times New Roman"/>
                <w:sz w:val="20"/>
              </w:rPr>
            </w:pPr>
            <w:r>
              <w:rPr>
                <w:rFonts w:ascii="Times New Roman" w:hAnsi="Times New Roman"/>
                <w:sz w:val="20"/>
              </w:rPr>
              <w:t>Interest expense</w:t>
            </w:r>
          </w:p>
        </w:tc>
        <w:tc>
          <w:tcPr>
            <w:tcW w:w="60" w:type="dxa"/>
            <w:tcBorders/>
            <w:vAlign w:val="bottom"/>
          </w:tcPr>
          <w:p>
            <w:pPr>
              <w:pStyle w:val="TableContents"/>
              <w:bidi w:val="0"/>
              <w:spacing w:before="0" w:after="283"/>
              <w:jc w:val="right"/>
              <w:rPr/>
            </w:pPr>
            <w:r>
              <w:rPr/>
              <w:t> </w:t>
            </w:r>
          </w:p>
        </w:tc>
        <w:tc>
          <w:tcPr>
            <w:tcW w:w="219" w:type="dxa"/>
            <w:tcBorders>
              <w:bottom w:val="single" w:sz="12" w:space="0" w:color="000000"/>
            </w:tcBorders>
            <w:tcMar>
              <w:bottom w:w="28" w:type="dxa"/>
            </w:tcMar>
            <w:vAlign w:val="bottom"/>
          </w:tcPr>
          <w:p>
            <w:pPr>
              <w:pStyle w:val="TableContents"/>
              <w:bidi w:val="0"/>
              <w:spacing w:before="0" w:after="283"/>
              <w:jc w:val="left"/>
              <w:rPr/>
            </w:pPr>
            <w:r>
              <w:rPr/>
              <w:t> </w:t>
            </w:r>
          </w:p>
        </w:tc>
        <w:tc>
          <w:tcPr>
            <w:tcW w:w="100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849</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6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20,549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7" w:type="dxa"/>
            <w:tcBorders>
              <w:bottom w:val="single" w:sz="12" w:space="0" w:color="000000"/>
            </w:tcBorders>
            <w:tcMar>
              <w:bottom w:w="28" w:type="dxa"/>
            </w:tcMar>
            <w:vAlign w:val="bottom"/>
          </w:tcPr>
          <w:p>
            <w:pPr>
              <w:pStyle w:val="TableContents"/>
              <w:bidi w:val="0"/>
              <w:spacing w:before="0" w:after="283"/>
              <w:jc w:val="left"/>
              <w:rPr/>
            </w:pPr>
            <w:r>
              <w:rPr/>
              <w:t> </w:t>
            </w:r>
          </w:p>
        </w:tc>
        <w:tc>
          <w:tcPr>
            <w:tcW w:w="667"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6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21,398</w:t>
            </w:r>
          </w:p>
        </w:tc>
        <w:tc>
          <w:tcPr>
            <w:tcW w:w="110" w:type="dxa"/>
            <w:tcBorders/>
            <w:vAlign w:val="bottom"/>
          </w:tcPr>
          <w:p>
            <w:pPr>
              <w:pStyle w:val="TableContents"/>
              <w:bidi w:val="0"/>
              <w:spacing w:before="0" w:after="283"/>
              <w:jc w:val="left"/>
              <w:rPr/>
            </w:pPr>
            <w:r>
              <w:rPr/>
              <w:t> </w:t>
            </w:r>
          </w:p>
        </w:tc>
      </w:tr>
      <w:tr>
        <w:trPr/>
        <w:tc>
          <w:tcPr>
            <w:tcW w:w="3230" w:type="dxa"/>
            <w:tcBorders/>
            <w:shd w:fill="CCEEFF" w:val="clear"/>
            <w:vAlign w:val="bottom"/>
          </w:tcPr>
          <w:p>
            <w:pPr>
              <w:pStyle w:val="TableContents"/>
              <w:bidi w:val="0"/>
              <w:spacing w:before="0" w:after="0"/>
              <w:ind w:left="504" w:right="0" w:hanging="144"/>
              <w:jc w:val="left"/>
              <w:rPr>
                <w:rFonts w:ascii="Times New Roman" w:hAnsi="Times New Roman"/>
                <w:sz w:val="20"/>
              </w:rPr>
            </w:pPr>
            <w:r>
              <w:rPr>
                <w:rFonts w:ascii="Times New Roman" w:hAnsi="Times New Roman"/>
                <w:sz w:val="20"/>
              </w:rPr>
              <w:t>Net interest income (expense)</w:t>
            </w:r>
          </w:p>
        </w:tc>
        <w:tc>
          <w:tcPr>
            <w:tcW w:w="60" w:type="dxa"/>
            <w:tcBorders/>
            <w:shd w:fill="CCEEFF" w:val="clear"/>
            <w:vAlign w:val="bottom"/>
          </w:tcPr>
          <w:p>
            <w:pPr>
              <w:pStyle w:val="TableContents"/>
              <w:bidi w:val="0"/>
              <w:spacing w:before="0" w:after="283"/>
              <w:jc w:val="right"/>
              <w:rPr/>
            </w:pPr>
            <w:r>
              <w:rPr/>
              <w:t> </w:t>
            </w:r>
          </w:p>
        </w:tc>
        <w:tc>
          <w:tcPr>
            <w:tcW w:w="219"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(744</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9,936</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7" w:type="dxa"/>
            <w:tcBorders/>
            <w:shd w:fill="CCEEFF" w:val="clear"/>
            <w:vAlign w:val="bottom"/>
          </w:tcPr>
          <w:p>
            <w:pPr>
              <w:pStyle w:val="TableContents"/>
              <w:bidi w:val="0"/>
              <w:spacing w:before="0" w:after="283"/>
              <w:jc w:val="left"/>
              <w:rPr/>
            </w:pPr>
            <w:r>
              <w:rPr/>
              <w:t> </w:t>
            </w:r>
          </w:p>
        </w:tc>
        <w:tc>
          <w:tcPr>
            <w:tcW w:w="66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9,192</w:t>
            </w:r>
          </w:p>
        </w:tc>
        <w:tc>
          <w:tcPr>
            <w:tcW w:w="110" w:type="dxa"/>
            <w:tcBorders/>
            <w:shd w:fill="CCEEFF" w:val="clear"/>
            <w:vAlign w:val="bottom"/>
          </w:tcPr>
          <w:p>
            <w:pPr>
              <w:pStyle w:val="TableContents"/>
              <w:bidi w:val="0"/>
              <w:spacing w:before="0" w:after="283"/>
              <w:jc w:val="left"/>
              <w:rPr/>
            </w:pPr>
            <w:r>
              <w:rPr/>
              <w:t> </w:t>
            </w:r>
          </w:p>
        </w:tc>
      </w:tr>
      <w:tr>
        <w:trPr/>
        <w:tc>
          <w:tcPr>
            <w:tcW w:w="3230" w:type="dxa"/>
            <w:tcBorders/>
            <w:vAlign w:val="bottom"/>
          </w:tcPr>
          <w:p>
            <w:pPr>
              <w:pStyle w:val="TableContents"/>
              <w:bidi w:val="0"/>
              <w:spacing w:before="0" w:after="0"/>
              <w:ind w:left="504" w:right="0" w:hanging="144"/>
              <w:jc w:val="left"/>
              <w:rPr>
                <w:rFonts w:ascii="Times New Roman" w:hAnsi="Times New Roman"/>
                <w:sz w:val="20"/>
              </w:rPr>
            </w:pPr>
            <w:r>
              <w:rPr>
                <w:rFonts w:ascii="Times New Roman" w:hAnsi="Times New Roman"/>
                <w:sz w:val="20"/>
              </w:rPr>
              <w:t>Servicing fee income</w:t>
            </w:r>
          </w:p>
        </w:tc>
        <w:tc>
          <w:tcPr>
            <w:tcW w:w="60" w:type="dxa"/>
            <w:tcBorders/>
            <w:vAlign w:val="bottom"/>
          </w:tcPr>
          <w:p>
            <w:pPr>
              <w:pStyle w:val="TableContents"/>
              <w:bidi w:val="0"/>
              <w:spacing w:before="0" w:after="283"/>
              <w:jc w:val="right"/>
              <w:rPr/>
            </w:pPr>
            <w:r>
              <w:rPr/>
              <w:t> </w:t>
            </w:r>
          </w:p>
        </w:tc>
        <w:tc>
          <w:tcPr>
            <w:tcW w:w="219"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19,911</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7" w:type="dxa"/>
            <w:tcBorders/>
            <w:vAlign w:val="bottom"/>
          </w:tcPr>
          <w:p>
            <w:pPr>
              <w:pStyle w:val="TableContents"/>
              <w:bidi w:val="0"/>
              <w:spacing w:before="0" w:after="283"/>
              <w:jc w:val="left"/>
              <w:rPr/>
            </w:pPr>
            <w:r>
              <w:rPr/>
              <w:t> </w:t>
            </w:r>
          </w:p>
        </w:tc>
        <w:tc>
          <w:tcPr>
            <w:tcW w:w="66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19,911</w:t>
            </w:r>
          </w:p>
        </w:tc>
        <w:tc>
          <w:tcPr>
            <w:tcW w:w="110" w:type="dxa"/>
            <w:tcBorders/>
            <w:vAlign w:val="bottom"/>
          </w:tcPr>
          <w:p>
            <w:pPr>
              <w:pStyle w:val="TableContents"/>
              <w:bidi w:val="0"/>
              <w:spacing w:before="0" w:after="283"/>
              <w:jc w:val="left"/>
              <w:rPr/>
            </w:pPr>
            <w:r>
              <w:rPr/>
              <w:t> </w:t>
            </w:r>
          </w:p>
        </w:tc>
      </w:tr>
      <w:tr>
        <w:trPr/>
        <w:tc>
          <w:tcPr>
            <w:tcW w:w="3230" w:type="dxa"/>
            <w:tcBorders/>
            <w:shd w:fill="CCEEFF" w:val="clear"/>
            <w:vAlign w:val="bottom"/>
          </w:tcPr>
          <w:p>
            <w:pPr>
              <w:pStyle w:val="TableContents"/>
              <w:bidi w:val="0"/>
              <w:spacing w:before="0" w:after="0"/>
              <w:ind w:left="504" w:right="0" w:hanging="144"/>
              <w:jc w:val="left"/>
              <w:rPr>
                <w:rFonts w:ascii="Times New Roman" w:hAnsi="Times New Roman"/>
                <w:sz w:val="20"/>
              </w:rPr>
            </w:pPr>
            <w:r>
              <w:rPr>
                <w:rFonts w:ascii="Times New Roman" w:hAnsi="Times New Roman"/>
                <w:sz w:val="20"/>
              </w:rPr>
              <w:t>Servicing costs</w:t>
            </w:r>
          </w:p>
        </w:tc>
        <w:tc>
          <w:tcPr>
            <w:tcW w:w="60" w:type="dxa"/>
            <w:tcBorders/>
            <w:shd w:fill="CCEEFF" w:val="clear"/>
            <w:vAlign w:val="bottom"/>
          </w:tcPr>
          <w:p>
            <w:pPr>
              <w:pStyle w:val="TableContents"/>
              <w:bidi w:val="0"/>
              <w:spacing w:before="0" w:after="283"/>
              <w:jc w:val="right"/>
              <w:rPr/>
            </w:pPr>
            <w:r>
              <w:rPr/>
              <w:t> </w:t>
            </w:r>
          </w:p>
        </w:tc>
        <w:tc>
          <w:tcPr>
            <w:tcW w:w="21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0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4,608</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67"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4,608</w:t>
            </w:r>
          </w:p>
        </w:tc>
        <w:tc>
          <w:tcPr>
            <w:tcW w:w="110" w:type="dxa"/>
            <w:tcBorders/>
            <w:shd w:fill="CCEEFF" w:val="clear"/>
            <w:vAlign w:val="bottom"/>
          </w:tcPr>
          <w:p>
            <w:pPr>
              <w:pStyle w:val="TableContents"/>
              <w:bidi w:val="0"/>
              <w:spacing w:before="0" w:after="283"/>
              <w:jc w:val="left"/>
              <w:rPr/>
            </w:pPr>
            <w:r>
              <w:rPr/>
              <w:t> </w:t>
            </w:r>
          </w:p>
        </w:tc>
      </w:tr>
      <w:tr>
        <w:trPr/>
        <w:tc>
          <w:tcPr>
            <w:tcW w:w="3230" w:type="dxa"/>
            <w:tcBorders/>
            <w:vAlign w:val="bottom"/>
          </w:tcPr>
          <w:p>
            <w:pPr>
              <w:pStyle w:val="TableContents"/>
              <w:bidi w:val="0"/>
              <w:spacing w:before="0" w:after="0"/>
              <w:ind w:left="504" w:right="0" w:hanging="144"/>
              <w:jc w:val="left"/>
              <w:rPr>
                <w:rFonts w:ascii="Times New Roman" w:hAnsi="Times New Roman"/>
                <w:sz w:val="20"/>
              </w:rPr>
            </w:pPr>
            <w:r>
              <w:rPr>
                <w:rFonts w:ascii="Times New Roman" w:hAnsi="Times New Roman"/>
                <w:sz w:val="20"/>
              </w:rPr>
              <w:t>Net servicing income</w:t>
            </w:r>
          </w:p>
        </w:tc>
        <w:tc>
          <w:tcPr>
            <w:tcW w:w="60" w:type="dxa"/>
            <w:tcBorders/>
            <w:vAlign w:val="bottom"/>
          </w:tcPr>
          <w:p>
            <w:pPr>
              <w:pStyle w:val="TableContents"/>
              <w:bidi w:val="0"/>
              <w:spacing w:before="0" w:after="283"/>
              <w:jc w:val="right"/>
              <w:rPr/>
            </w:pPr>
            <w:r>
              <w:rPr/>
              <w:t> </w:t>
            </w:r>
          </w:p>
        </w:tc>
        <w:tc>
          <w:tcPr>
            <w:tcW w:w="219"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15,303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7" w:type="dxa"/>
            <w:tcBorders/>
            <w:vAlign w:val="bottom"/>
          </w:tcPr>
          <w:p>
            <w:pPr>
              <w:pStyle w:val="TableContents"/>
              <w:bidi w:val="0"/>
              <w:spacing w:before="0" w:after="283"/>
              <w:jc w:val="left"/>
              <w:rPr/>
            </w:pPr>
            <w:r>
              <w:rPr/>
              <w:t> </w:t>
            </w:r>
          </w:p>
        </w:tc>
        <w:tc>
          <w:tcPr>
            <w:tcW w:w="66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15,303</w:t>
            </w:r>
          </w:p>
        </w:tc>
        <w:tc>
          <w:tcPr>
            <w:tcW w:w="110" w:type="dxa"/>
            <w:tcBorders/>
            <w:vAlign w:val="bottom"/>
          </w:tcPr>
          <w:p>
            <w:pPr>
              <w:pStyle w:val="TableContents"/>
              <w:bidi w:val="0"/>
              <w:spacing w:before="0" w:after="283"/>
              <w:jc w:val="left"/>
              <w:rPr/>
            </w:pPr>
            <w:r>
              <w:rPr/>
              <w:t> </w:t>
            </w:r>
          </w:p>
        </w:tc>
      </w:tr>
      <w:tr>
        <w:trPr/>
        <w:tc>
          <w:tcPr>
            <w:tcW w:w="3230" w:type="dxa"/>
            <w:tcBorders/>
            <w:shd w:fill="CCEEFF" w:val="clear"/>
            <w:vAlign w:val="bottom"/>
          </w:tcPr>
          <w:p>
            <w:pPr>
              <w:pStyle w:val="TableContents"/>
              <w:bidi w:val="0"/>
              <w:spacing w:before="0" w:after="0"/>
              <w:ind w:left="504" w:right="0" w:hanging="144"/>
              <w:jc w:val="left"/>
              <w:rPr>
                <w:rFonts w:ascii="Times New Roman" w:hAnsi="Times New Roman"/>
                <w:sz w:val="20"/>
              </w:rPr>
            </w:pPr>
            <w:r>
              <w:rPr>
                <w:rFonts w:ascii="Times New Roman" w:hAnsi="Times New Roman"/>
                <w:sz w:val="20"/>
              </w:rPr>
              <w:t xml:space="preserve">Other expense </w:t>
            </w:r>
            <w:r>
              <w:rPr>
                <w:rFonts w:ascii="Times New Roman" w:hAnsi="Times New Roman"/>
                <w:position w:val="7"/>
                <w:sz w:val="16"/>
                <w:sz w:val="20"/>
              </w:rPr>
              <w:t>(A)</w:t>
            </w:r>
          </w:p>
        </w:tc>
        <w:tc>
          <w:tcPr>
            <w:tcW w:w="60" w:type="dxa"/>
            <w:tcBorders/>
            <w:shd w:fill="CCEEFF" w:val="clear"/>
            <w:vAlign w:val="bottom"/>
          </w:tcPr>
          <w:p>
            <w:pPr>
              <w:pStyle w:val="TableContents"/>
              <w:bidi w:val="0"/>
              <w:spacing w:before="0" w:after="283"/>
              <w:jc w:val="right"/>
              <w:rPr/>
            </w:pPr>
            <w:r>
              <w:rPr/>
              <w:t> </w:t>
            </w:r>
          </w:p>
        </w:tc>
        <w:tc>
          <w:tcPr>
            <w:tcW w:w="219"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(7,199</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(4,778</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47" w:type="dxa"/>
            <w:tcBorders/>
            <w:shd w:fill="CCEEFF" w:val="clear"/>
            <w:vAlign w:val="bottom"/>
          </w:tcPr>
          <w:p>
            <w:pPr>
              <w:pStyle w:val="TableContents"/>
              <w:bidi w:val="0"/>
              <w:spacing w:before="0" w:after="283"/>
              <w:jc w:val="left"/>
              <w:rPr/>
            </w:pPr>
            <w:r>
              <w:rPr/>
              <w:t> </w:t>
            </w:r>
          </w:p>
        </w:tc>
        <w:tc>
          <w:tcPr>
            <w:tcW w:w="66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(11,977</w:t>
            </w:r>
          </w:p>
        </w:tc>
        <w:tc>
          <w:tcPr>
            <w:tcW w:w="11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3230" w:type="dxa"/>
            <w:tcBorders/>
            <w:vAlign w:val="bottom"/>
          </w:tcPr>
          <w:p>
            <w:pPr>
              <w:pStyle w:val="TableContents"/>
              <w:bidi w:val="0"/>
              <w:spacing w:before="0" w:after="0"/>
              <w:ind w:left="504" w:right="0" w:hanging="144"/>
              <w:jc w:val="left"/>
              <w:rPr>
                <w:rFonts w:ascii="Times New Roman" w:hAnsi="Times New Roman"/>
                <w:sz w:val="20"/>
              </w:rPr>
            </w:pPr>
            <w:r>
              <w:rPr>
                <w:rFonts w:ascii="Times New Roman" w:hAnsi="Times New Roman"/>
                <w:sz w:val="20"/>
              </w:rPr>
              <w:t xml:space="preserve">Other operating expenses </w:t>
            </w:r>
            <w:r>
              <w:rPr>
                <w:rFonts w:ascii="Times New Roman" w:hAnsi="Times New Roman"/>
                <w:position w:val="7"/>
                <w:sz w:val="16"/>
                <w:sz w:val="20"/>
              </w:rPr>
              <w:t>(B)</w:t>
            </w:r>
          </w:p>
        </w:tc>
        <w:tc>
          <w:tcPr>
            <w:tcW w:w="60" w:type="dxa"/>
            <w:tcBorders/>
            <w:vAlign w:val="bottom"/>
          </w:tcPr>
          <w:p>
            <w:pPr>
              <w:pStyle w:val="TableContents"/>
              <w:bidi w:val="0"/>
              <w:spacing w:before="0" w:after="283"/>
              <w:jc w:val="right"/>
              <w:rPr/>
            </w:pPr>
            <w:r>
              <w:rPr/>
              <w:t> </w:t>
            </w:r>
          </w:p>
        </w:tc>
        <w:tc>
          <w:tcPr>
            <w:tcW w:w="219"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(1,908</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(1,417</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47" w:type="dxa"/>
            <w:tcBorders/>
            <w:vAlign w:val="bottom"/>
          </w:tcPr>
          <w:p>
            <w:pPr>
              <w:pStyle w:val="TableContents"/>
              <w:bidi w:val="0"/>
              <w:spacing w:before="0" w:after="283"/>
              <w:jc w:val="left"/>
              <w:rPr/>
            </w:pPr>
            <w:r>
              <w:rPr/>
              <w:t> </w:t>
            </w:r>
          </w:p>
        </w:tc>
        <w:tc>
          <w:tcPr>
            <w:tcW w:w="66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(3,964</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(7,289</w:t>
            </w:r>
          </w:p>
        </w:tc>
        <w:tc>
          <w:tcPr>
            <w:tcW w:w="11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3230" w:type="dxa"/>
            <w:tcBorders/>
            <w:shd w:fill="CCEEFF" w:val="clear"/>
            <w:vAlign w:val="bottom"/>
          </w:tcPr>
          <w:p>
            <w:pPr>
              <w:pStyle w:val="TableContents"/>
              <w:bidi w:val="0"/>
              <w:spacing w:before="0" w:after="0"/>
              <w:ind w:left="504" w:right="0" w:hanging="144"/>
              <w:jc w:val="left"/>
              <w:rPr>
                <w:rFonts w:ascii="Times New Roman" w:hAnsi="Times New Roman"/>
                <w:sz w:val="20"/>
              </w:rPr>
            </w:pPr>
            <w:r>
              <w:rPr>
                <w:rFonts w:ascii="Times New Roman" w:hAnsi="Times New Roman"/>
                <w:sz w:val="20"/>
              </w:rPr>
              <w:t>Provision for corporate business taxes</w:t>
            </w:r>
          </w:p>
        </w:tc>
        <w:tc>
          <w:tcPr>
            <w:tcW w:w="60" w:type="dxa"/>
            <w:tcBorders/>
            <w:shd w:fill="CCEEFF" w:val="clear"/>
            <w:vAlign w:val="bottom"/>
          </w:tcPr>
          <w:p>
            <w:pPr>
              <w:pStyle w:val="TableContents"/>
              <w:bidi w:val="0"/>
              <w:spacing w:before="0" w:after="283"/>
              <w:jc w:val="right"/>
              <w:rPr/>
            </w:pPr>
            <w:r>
              <w:rPr/>
              <w:t> </w:t>
            </w:r>
          </w:p>
        </w:tc>
        <w:tc>
          <w:tcPr>
            <w:tcW w:w="219"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(1,006</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7" w:type="dxa"/>
            <w:tcBorders/>
            <w:shd w:fill="CCEEFF" w:val="clear"/>
            <w:vAlign w:val="bottom"/>
          </w:tcPr>
          <w:p>
            <w:pPr>
              <w:pStyle w:val="TableContents"/>
              <w:bidi w:val="0"/>
              <w:spacing w:before="0" w:after="283"/>
              <w:jc w:val="left"/>
              <w:rPr/>
            </w:pPr>
            <w:r>
              <w:rPr/>
              <w:t> </w:t>
            </w:r>
          </w:p>
        </w:tc>
        <w:tc>
          <w:tcPr>
            <w:tcW w:w="66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(1,006</w:t>
            </w:r>
          </w:p>
        </w:tc>
        <w:tc>
          <w:tcPr>
            <w:tcW w:w="11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3230" w:type="dxa"/>
            <w:tcBorders/>
            <w:vAlign w:val="bottom"/>
          </w:tcPr>
          <w:p>
            <w:pPr>
              <w:pStyle w:val="TableContents"/>
              <w:bidi w:val="0"/>
              <w:spacing w:before="0" w:after="0"/>
              <w:ind w:left="504" w:right="0" w:hanging="144"/>
              <w:jc w:val="left"/>
              <w:rPr>
                <w:rFonts w:ascii="Times New Roman" w:hAnsi="Times New Roman"/>
                <w:sz w:val="20"/>
              </w:rPr>
            </w:pPr>
            <w:r>
              <w:rPr>
                <w:rFonts w:ascii="Times New Roman" w:hAnsi="Times New Roman"/>
                <w:sz w:val="20"/>
              </w:rPr>
              <w:t>Net other comprehensive loss</w:t>
            </w:r>
          </w:p>
        </w:tc>
        <w:tc>
          <w:tcPr>
            <w:tcW w:w="60" w:type="dxa"/>
            <w:tcBorders/>
            <w:vAlign w:val="bottom"/>
          </w:tcPr>
          <w:p>
            <w:pPr>
              <w:pStyle w:val="TableContents"/>
              <w:bidi w:val="0"/>
              <w:spacing w:before="0" w:after="283"/>
              <w:jc w:val="right"/>
              <w:rPr/>
            </w:pPr>
            <w:r>
              <w:rPr/>
              <w:t> </w:t>
            </w:r>
          </w:p>
        </w:tc>
        <w:tc>
          <w:tcPr>
            <w:tcW w:w="219" w:type="dxa"/>
            <w:tcBorders>
              <w:bottom w:val="single" w:sz="12" w:space="0" w:color="000000"/>
            </w:tcBorders>
            <w:tcMar>
              <w:bottom w:w="28" w:type="dxa"/>
            </w:tcMar>
            <w:vAlign w:val="bottom"/>
          </w:tcPr>
          <w:p>
            <w:pPr>
              <w:pStyle w:val="TableContents"/>
              <w:bidi w:val="0"/>
              <w:spacing w:before="0" w:after="283"/>
              <w:jc w:val="left"/>
              <w:rPr/>
            </w:pPr>
            <w:r>
              <w:rPr/>
              <w:t> </w:t>
            </w:r>
          </w:p>
        </w:tc>
        <w:tc>
          <w:tcPr>
            <w:tcW w:w="100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6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(1,940</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47" w:type="dxa"/>
            <w:tcBorders>
              <w:bottom w:val="single" w:sz="12" w:space="0" w:color="000000"/>
            </w:tcBorders>
            <w:tcMar>
              <w:bottom w:w="28" w:type="dxa"/>
            </w:tcMar>
            <w:vAlign w:val="bottom"/>
          </w:tcPr>
          <w:p>
            <w:pPr>
              <w:pStyle w:val="TableContents"/>
              <w:bidi w:val="0"/>
              <w:spacing w:before="0" w:after="283"/>
              <w:jc w:val="left"/>
              <w:rPr/>
            </w:pPr>
            <w:r>
              <w:rPr/>
              <w:t> </w:t>
            </w:r>
          </w:p>
        </w:tc>
        <w:tc>
          <w:tcPr>
            <w:tcW w:w="667"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6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(1,940</w:t>
            </w:r>
          </w:p>
        </w:tc>
        <w:tc>
          <w:tcPr>
            <w:tcW w:w="11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3230" w:type="dxa"/>
            <w:tcBorders/>
            <w:shd w:fill="CCEEFF" w:val="clear"/>
            <w:vAlign w:val="bottom"/>
          </w:tcPr>
          <w:p>
            <w:pPr>
              <w:pStyle w:val="TableContents"/>
              <w:bidi w:val="0"/>
              <w:spacing w:before="0" w:after="0"/>
              <w:ind w:left="360" w:right="0" w:hanging="0"/>
              <w:jc w:val="left"/>
              <w:rPr>
                <w:rFonts w:ascii="Times New Roman" w:hAnsi="Times New Roman"/>
                <w:color w:val="000000"/>
                <w:sz w:val="20"/>
              </w:rPr>
            </w:pPr>
            <w:r>
              <w:rPr>
                <w:rFonts w:ascii="Times New Roman" w:hAnsi="Times New Roman"/>
                <w:color w:val="000000"/>
                <w:sz w:val="20"/>
              </w:rPr>
              <w:t>Comprehensive income (loss)</w:t>
            </w:r>
          </w:p>
        </w:tc>
        <w:tc>
          <w:tcPr>
            <w:tcW w:w="60" w:type="dxa"/>
            <w:tcBorders/>
            <w:shd w:fill="CCEEFF" w:val="clear"/>
            <w:vAlign w:val="bottom"/>
          </w:tcPr>
          <w:p>
            <w:pPr>
              <w:pStyle w:val="TableContents"/>
              <w:bidi w:val="0"/>
              <w:spacing w:before="0" w:after="283"/>
              <w:jc w:val="right"/>
              <w:rPr/>
            </w:pPr>
            <w:r>
              <w:rPr/>
              <w:t> </w:t>
            </w:r>
          </w:p>
        </w:tc>
        <w:tc>
          <w:tcPr>
            <w:tcW w:w="219" w:type="dxa"/>
            <w:tcBorders/>
            <w:shd w:fill="CCEEFF" w:val="clear"/>
            <w:vAlign w:val="bottom"/>
          </w:tcPr>
          <w:p>
            <w:pPr>
              <w:pStyle w:val="TableContents"/>
              <w:bidi w:val="0"/>
              <w:spacing w:before="0" w:after="283"/>
              <w:jc w:val="left"/>
              <w:rPr/>
            </w:pPr>
            <w:r>
              <w:rPr/>
              <w:t>$</w:t>
            </w:r>
          </w:p>
        </w:tc>
        <w:tc>
          <w:tcPr>
            <w:tcW w:w="1000" w:type="dxa"/>
            <w:tcBorders/>
            <w:shd w:fill="CCEEFF" w:val="clear"/>
            <w:vAlign w:val="bottom"/>
          </w:tcPr>
          <w:p>
            <w:pPr>
              <w:pStyle w:val="TableContents"/>
              <w:bidi w:val="0"/>
              <w:spacing w:before="0" w:after="283"/>
              <w:jc w:val="right"/>
              <w:rPr/>
            </w:pPr>
            <w:r>
              <w:rPr/>
              <w:t>4,446</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w:t>
            </w:r>
          </w:p>
        </w:tc>
        <w:tc>
          <w:tcPr>
            <w:tcW w:w="650" w:type="dxa"/>
            <w:tcBorders/>
            <w:shd w:fill="CCEEFF" w:val="clear"/>
            <w:vAlign w:val="bottom"/>
          </w:tcPr>
          <w:p>
            <w:pPr>
              <w:pStyle w:val="TableContents"/>
              <w:bidi w:val="0"/>
              <w:spacing w:before="0" w:after="283"/>
              <w:jc w:val="right"/>
              <w:rPr/>
            </w:pPr>
            <w:r>
              <w:rPr/>
              <w:t>1,801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7" w:type="dxa"/>
            <w:tcBorders/>
            <w:shd w:fill="CCEEFF" w:val="clear"/>
            <w:vAlign w:val="bottom"/>
          </w:tcPr>
          <w:p>
            <w:pPr>
              <w:pStyle w:val="TableContents"/>
              <w:bidi w:val="0"/>
              <w:spacing w:before="0" w:after="283"/>
              <w:jc w:val="left"/>
              <w:rPr/>
            </w:pPr>
            <w:r>
              <w:rPr/>
              <w:t>$</w:t>
            </w:r>
          </w:p>
        </w:tc>
        <w:tc>
          <w:tcPr>
            <w:tcW w:w="667" w:type="dxa"/>
            <w:tcBorders/>
            <w:shd w:fill="CCEEFF" w:val="clear"/>
            <w:vAlign w:val="bottom"/>
          </w:tcPr>
          <w:p>
            <w:pPr>
              <w:pStyle w:val="TableContents"/>
              <w:bidi w:val="0"/>
              <w:spacing w:before="0" w:after="283"/>
              <w:jc w:val="right"/>
              <w:rPr/>
            </w:pPr>
            <w:r>
              <w:rPr/>
              <w:t>(3,964</w:t>
            </w:r>
          </w:p>
        </w:tc>
        <w:tc>
          <w:tcPr>
            <w:tcW w:w="95" w:type="dxa"/>
            <w:tcBorders/>
            <w:shd w:fill="CCEEFF" w:val="clear"/>
            <w:vAlign w:val="bottom"/>
          </w:tcPr>
          <w:p>
            <w:pPr>
              <w:pStyle w:val="TableContents"/>
              <w:bidi w:val="0"/>
              <w:spacing w:before="0" w:after="283"/>
              <w:jc w:val="left"/>
              <w:rPr/>
            </w:pPr>
            <w:r>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w:t>
            </w:r>
          </w:p>
        </w:tc>
        <w:tc>
          <w:tcPr>
            <w:tcW w:w="650" w:type="dxa"/>
            <w:tcBorders/>
            <w:shd w:fill="CCEEFF" w:val="clear"/>
            <w:vAlign w:val="bottom"/>
          </w:tcPr>
          <w:p>
            <w:pPr>
              <w:pStyle w:val="TableContents"/>
              <w:bidi w:val="0"/>
              <w:spacing w:before="0" w:after="283"/>
              <w:jc w:val="right"/>
              <w:rPr/>
            </w:pPr>
            <w:r>
              <w:rPr/>
              <w:t>2,283</w:t>
            </w:r>
          </w:p>
        </w:tc>
        <w:tc>
          <w:tcPr>
            <w:tcW w:w="110" w:type="dxa"/>
            <w:tcBorders/>
            <w:shd w:fill="CCEEFF" w:val="clear"/>
            <w:vAlign w:val="bottom"/>
          </w:tcPr>
          <w:p>
            <w:pPr>
              <w:pStyle w:val="TableContents"/>
              <w:bidi w:val="0"/>
              <w:spacing w:before="0" w:after="283"/>
              <w:jc w:val="left"/>
              <w:rPr/>
            </w:pPr>
            <w:r>
              <w:rPr/>
              <w:t> </w:t>
            </w:r>
          </w:p>
        </w:tc>
      </w:tr>
      <w:tr>
        <w:trPr/>
        <w:tc>
          <w:tcPr>
            <w:tcW w:w="32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9"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7" w:type="dxa"/>
            <w:tcBorders/>
            <w:vAlign w:val="bottom"/>
          </w:tcPr>
          <w:p>
            <w:pPr>
              <w:pStyle w:val="TableContents"/>
              <w:bidi w:val="0"/>
              <w:spacing w:before="0" w:after="283"/>
              <w:jc w:val="left"/>
              <w:rPr/>
            </w:pPr>
            <w:r>
              <w:rPr/>
              <w:t> </w:t>
            </w:r>
          </w:p>
        </w:tc>
        <w:tc>
          <w:tcPr>
            <w:tcW w:w="667"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r>
      <w:tr>
        <w:trPr/>
        <w:tc>
          <w:tcPr>
            <w:tcW w:w="3230" w:type="dxa"/>
            <w:tcBorders/>
            <w:shd w:fill="CCEEFF" w:val="clear"/>
            <w:vAlign w:val="bottom"/>
          </w:tcPr>
          <w:p>
            <w:pPr>
              <w:pStyle w:val="TableContents"/>
              <w:bidi w:val="0"/>
              <w:spacing w:before="0" w:after="0"/>
              <w:ind w:left="360" w:right="0" w:hanging="180"/>
              <w:jc w:val="left"/>
              <w:rPr>
                <w:rFonts w:ascii="Times New Roman" w:hAnsi="Times New Roman"/>
                <w:b/>
                <w:sz w:val="20"/>
              </w:rPr>
            </w:pPr>
            <w:r>
              <w:rPr>
                <w:rFonts w:ascii="Times New Roman" w:hAnsi="Times New Roman"/>
                <w:b/>
                <w:sz w:val="20"/>
              </w:rPr>
              <w:t>Six Months Ended June 30, 2025</w:t>
            </w:r>
          </w:p>
        </w:tc>
        <w:tc>
          <w:tcPr>
            <w:tcW w:w="60" w:type="dxa"/>
            <w:tcBorders/>
            <w:shd w:fill="CCEEFF" w:val="clear"/>
            <w:vAlign w:val="bottom"/>
          </w:tcPr>
          <w:p>
            <w:pPr>
              <w:pStyle w:val="TableContents"/>
              <w:bidi w:val="0"/>
              <w:spacing w:before="0" w:after="283"/>
              <w:jc w:val="right"/>
              <w:rPr/>
            </w:pPr>
            <w:r>
              <w:rPr/>
              <w:t> </w:t>
            </w:r>
          </w:p>
        </w:tc>
        <w:tc>
          <w:tcPr>
            <w:tcW w:w="219"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7" w:type="dxa"/>
            <w:tcBorders/>
            <w:shd w:fill="CCEEFF" w:val="clear"/>
            <w:vAlign w:val="bottom"/>
          </w:tcPr>
          <w:p>
            <w:pPr>
              <w:pStyle w:val="TableContents"/>
              <w:bidi w:val="0"/>
              <w:spacing w:before="0" w:after="283"/>
              <w:jc w:val="left"/>
              <w:rPr/>
            </w:pPr>
            <w:r>
              <w:rPr/>
              <w:t> </w:t>
            </w:r>
          </w:p>
        </w:tc>
        <w:tc>
          <w:tcPr>
            <w:tcW w:w="667"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r>
      <w:tr>
        <w:trPr/>
        <w:tc>
          <w:tcPr>
            <w:tcW w:w="3230" w:type="dxa"/>
            <w:tcBorders/>
            <w:vAlign w:val="bottom"/>
          </w:tcPr>
          <w:p>
            <w:pPr>
              <w:pStyle w:val="TableContents"/>
              <w:bidi w:val="0"/>
              <w:spacing w:before="0" w:after="0"/>
              <w:ind w:left="504" w:right="0" w:hanging="144"/>
              <w:jc w:val="left"/>
              <w:rPr>
                <w:rFonts w:ascii="Times New Roman" w:hAnsi="Times New Roman"/>
                <w:sz w:val="20"/>
              </w:rPr>
            </w:pPr>
            <w:r>
              <w:rPr>
                <w:rFonts w:ascii="Times New Roman" w:hAnsi="Times New Roman"/>
                <w:sz w:val="20"/>
              </w:rPr>
              <w:t>Interest income</w:t>
            </w:r>
          </w:p>
        </w:tc>
        <w:tc>
          <w:tcPr>
            <w:tcW w:w="60" w:type="dxa"/>
            <w:tcBorders/>
            <w:vAlign w:val="bottom"/>
          </w:tcPr>
          <w:p>
            <w:pPr>
              <w:pStyle w:val="TableContents"/>
              <w:bidi w:val="0"/>
              <w:spacing w:before="0" w:after="283"/>
              <w:jc w:val="right"/>
              <w:rPr/>
            </w:pPr>
            <w:r>
              <w:rPr/>
              <w:t> </w:t>
            </w:r>
          </w:p>
        </w:tc>
        <w:tc>
          <w:tcPr>
            <w:tcW w:w="21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0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29,588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6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29,614</w:t>
            </w:r>
          </w:p>
        </w:tc>
        <w:tc>
          <w:tcPr>
            <w:tcW w:w="110" w:type="dxa"/>
            <w:tcBorders/>
            <w:vAlign w:val="bottom"/>
          </w:tcPr>
          <w:p>
            <w:pPr>
              <w:pStyle w:val="TableContents"/>
              <w:bidi w:val="0"/>
              <w:spacing w:before="0" w:after="283"/>
              <w:jc w:val="left"/>
              <w:rPr/>
            </w:pPr>
            <w:r>
              <w:rPr/>
              <w:t> </w:t>
            </w:r>
          </w:p>
        </w:tc>
      </w:tr>
      <w:tr>
        <w:trPr/>
        <w:tc>
          <w:tcPr>
            <w:tcW w:w="3230" w:type="dxa"/>
            <w:tcBorders/>
            <w:shd w:fill="CCEEFF" w:val="clear"/>
            <w:vAlign w:val="bottom"/>
          </w:tcPr>
          <w:p>
            <w:pPr>
              <w:pStyle w:val="TableContents"/>
              <w:bidi w:val="0"/>
              <w:spacing w:before="0" w:after="0"/>
              <w:ind w:left="504" w:right="0" w:hanging="144"/>
              <w:jc w:val="left"/>
              <w:rPr>
                <w:rFonts w:ascii="Times New Roman" w:hAnsi="Times New Roman"/>
                <w:sz w:val="20"/>
              </w:rPr>
            </w:pPr>
            <w:r>
              <w:rPr>
                <w:rFonts w:ascii="Times New Roman" w:hAnsi="Times New Roman"/>
                <w:sz w:val="20"/>
              </w:rPr>
              <w:t>Interest expense</w:t>
            </w:r>
          </w:p>
        </w:tc>
        <w:tc>
          <w:tcPr>
            <w:tcW w:w="60" w:type="dxa"/>
            <w:tcBorders/>
            <w:shd w:fill="CCEEFF" w:val="clear"/>
            <w:vAlign w:val="bottom"/>
          </w:tcPr>
          <w:p>
            <w:pPr>
              <w:pStyle w:val="TableContents"/>
              <w:bidi w:val="0"/>
              <w:spacing w:before="0" w:after="283"/>
              <w:jc w:val="right"/>
              <w:rPr/>
            </w:pPr>
            <w:r>
              <w:rPr/>
              <w:t> </w:t>
            </w:r>
          </w:p>
        </w:tc>
        <w:tc>
          <w:tcPr>
            <w:tcW w:w="21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0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1,086</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23,721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67"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24,807</w:t>
            </w:r>
          </w:p>
        </w:tc>
        <w:tc>
          <w:tcPr>
            <w:tcW w:w="110" w:type="dxa"/>
            <w:tcBorders/>
            <w:shd w:fill="CCEEFF" w:val="clear"/>
            <w:vAlign w:val="bottom"/>
          </w:tcPr>
          <w:p>
            <w:pPr>
              <w:pStyle w:val="TableContents"/>
              <w:bidi w:val="0"/>
              <w:spacing w:before="0" w:after="283"/>
              <w:jc w:val="left"/>
              <w:rPr/>
            </w:pPr>
            <w:r>
              <w:rPr/>
              <w:t> </w:t>
            </w:r>
          </w:p>
        </w:tc>
      </w:tr>
      <w:tr>
        <w:trPr/>
        <w:tc>
          <w:tcPr>
            <w:tcW w:w="3230" w:type="dxa"/>
            <w:tcBorders/>
            <w:vAlign w:val="bottom"/>
          </w:tcPr>
          <w:p>
            <w:pPr>
              <w:pStyle w:val="TableContents"/>
              <w:bidi w:val="0"/>
              <w:spacing w:before="0" w:after="0"/>
              <w:ind w:left="504" w:right="0" w:hanging="144"/>
              <w:jc w:val="left"/>
              <w:rPr>
                <w:rFonts w:ascii="Times New Roman" w:hAnsi="Times New Roman"/>
                <w:color w:val="000000"/>
                <w:sz w:val="20"/>
              </w:rPr>
            </w:pPr>
            <w:r>
              <w:rPr>
                <w:rFonts w:ascii="Times New Roman" w:hAnsi="Times New Roman"/>
                <w:color w:val="000000"/>
                <w:sz w:val="20"/>
              </w:rPr>
              <w:t>Net interest income (expense)</w:t>
            </w:r>
          </w:p>
        </w:tc>
        <w:tc>
          <w:tcPr>
            <w:tcW w:w="60" w:type="dxa"/>
            <w:tcBorders/>
            <w:vAlign w:val="bottom"/>
          </w:tcPr>
          <w:p>
            <w:pPr>
              <w:pStyle w:val="TableContents"/>
              <w:bidi w:val="0"/>
              <w:spacing w:before="0" w:after="283"/>
              <w:jc w:val="right"/>
              <w:rPr/>
            </w:pPr>
            <w:r>
              <w:rPr/>
              <w:t> </w:t>
            </w:r>
          </w:p>
        </w:tc>
        <w:tc>
          <w:tcPr>
            <w:tcW w:w="219"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(1,060</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5,867</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7" w:type="dxa"/>
            <w:tcBorders/>
            <w:vAlign w:val="bottom"/>
          </w:tcPr>
          <w:p>
            <w:pPr>
              <w:pStyle w:val="TableContents"/>
              <w:bidi w:val="0"/>
              <w:spacing w:before="0" w:after="283"/>
              <w:jc w:val="left"/>
              <w:rPr/>
            </w:pPr>
            <w:r>
              <w:rPr/>
              <w:t> </w:t>
            </w:r>
          </w:p>
        </w:tc>
        <w:tc>
          <w:tcPr>
            <w:tcW w:w="66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4,807</w:t>
            </w:r>
          </w:p>
        </w:tc>
        <w:tc>
          <w:tcPr>
            <w:tcW w:w="110" w:type="dxa"/>
            <w:tcBorders/>
            <w:vAlign w:val="bottom"/>
          </w:tcPr>
          <w:p>
            <w:pPr>
              <w:pStyle w:val="TableContents"/>
              <w:bidi w:val="0"/>
              <w:spacing w:before="0" w:after="283"/>
              <w:jc w:val="left"/>
              <w:rPr/>
            </w:pPr>
            <w:r>
              <w:rPr/>
              <w:t> </w:t>
            </w:r>
          </w:p>
        </w:tc>
      </w:tr>
      <w:tr>
        <w:trPr/>
        <w:tc>
          <w:tcPr>
            <w:tcW w:w="3230" w:type="dxa"/>
            <w:tcBorders/>
            <w:shd w:fill="CCEEFF" w:val="clear"/>
            <w:vAlign w:val="bottom"/>
          </w:tcPr>
          <w:p>
            <w:pPr>
              <w:pStyle w:val="TableContents"/>
              <w:bidi w:val="0"/>
              <w:spacing w:before="0" w:after="0"/>
              <w:ind w:left="504" w:right="0" w:hanging="144"/>
              <w:jc w:val="left"/>
              <w:rPr>
                <w:rFonts w:ascii="Times New Roman" w:hAnsi="Times New Roman"/>
                <w:sz w:val="20"/>
              </w:rPr>
            </w:pPr>
            <w:r>
              <w:rPr>
                <w:rFonts w:ascii="Times New Roman" w:hAnsi="Times New Roman"/>
                <w:sz w:val="20"/>
              </w:rPr>
              <w:t>Servicing fee income</w:t>
            </w:r>
          </w:p>
        </w:tc>
        <w:tc>
          <w:tcPr>
            <w:tcW w:w="60" w:type="dxa"/>
            <w:tcBorders/>
            <w:shd w:fill="CCEEFF" w:val="clear"/>
            <w:vAlign w:val="bottom"/>
          </w:tcPr>
          <w:p>
            <w:pPr>
              <w:pStyle w:val="TableContents"/>
              <w:bidi w:val="0"/>
              <w:spacing w:before="0" w:after="283"/>
              <w:jc w:val="right"/>
              <w:rPr/>
            </w:pPr>
            <w:r>
              <w:rPr/>
              <w:t> </w:t>
            </w:r>
          </w:p>
        </w:tc>
        <w:tc>
          <w:tcPr>
            <w:tcW w:w="219"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21,906</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7" w:type="dxa"/>
            <w:tcBorders/>
            <w:shd w:fill="CCEEFF" w:val="clear"/>
            <w:vAlign w:val="bottom"/>
          </w:tcPr>
          <w:p>
            <w:pPr>
              <w:pStyle w:val="TableContents"/>
              <w:bidi w:val="0"/>
              <w:spacing w:before="0" w:after="283"/>
              <w:jc w:val="left"/>
              <w:rPr/>
            </w:pPr>
            <w:r>
              <w:rPr/>
              <w:t> </w:t>
            </w:r>
          </w:p>
        </w:tc>
        <w:tc>
          <w:tcPr>
            <w:tcW w:w="66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21,906</w:t>
            </w:r>
          </w:p>
        </w:tc>
        <w:tc>
          <w:tcPr>
            <w:tcW w:w="110" w:type="dxa"/>
            <w:tcBorders/>
            <w:shd w:fill="CCEEFF" w:val="clear"/>
            <w:vAlign w:val="bottom"/>
          </w:tcPr>
          <w:p>
            <w:pPr>
              <w:pStyle w:val="TableContents"/>
              <w:bidi w:val="0"/>
              <w:spacing w:before="0" w:after="283"/>
              <w:jc w:val="left"/>
              <w:rPr/>
            </w:pPr>
            <w:r>
              <w:rPr/>
              <w:t> </w:t>
            </w:r>
          </w:p>
        </w:tc>
      </w:tr>
      <w:tr>
        <w:trPr/>
        <w:tc>
          <w:tcPr>
            <w:tcW w:w="3230" w:type="dxa"/>
            <w:tcBorders/>
            <w:vAlign w:val="bottom"/>
          </w:tcPr>
          <w:p>
            <w:pPr>
              <w:pStyle w:val="TableContents"/>
              <w:bidi w:val="0"/>
              <w:spacing w:before="0" w:after="0"/>
              <w:ind w:left="504" w:right="0" w:hanging="144"/>
              <w:jc w:val="left"/>
              <w:rPr>
                <w:rFonts w:ascii="Times New Roman" w:hAnsi="Times New Roman"/>
                <w:sz w:val="20"/>
              </w:rPr>
            </w:pPr>
            <w:r>
              <w:rPr>
                <w:rFonts w:ascii="Times New Roman" w:hAnsi="Times New Roman"/>
                <w:sz w:val="20"/>
              </w:rPr>
              <w:t>Servicing costs</w:t>
            </w:r>
          </w:p>
        </w:tc>
        <w:tc>
          <w:tcPr>
            <w:tcW w:w="60" w:type="dxa"/>
            <w:tcBorders/>
            <w:vAlign w:val="bottom"/>
          </w:tcPr>
          <w:p>
            <w:pPr>
              <w:pStyle w:val="TableContents"/>
              <w:bidi w:val="0"/>
              <w:spacing w:before="0" w:after="283"/>
              <w:jc w:val="right"/>
              <w:rPr/>
            </w:pPr>
            <w:r>
              <w:rPr/>
              <w:t> </w:t>
            </w:r>
          </w:p>
        </w:tc>
        <w:tc>
          <w:tcPr>
            <w:tcW w:w="219" w:type="dxa"/>
            <w:tcBorders>
              <w:bottom w:val="single" w:sz="12" w:space="0" w:color="000000"/>
            </w:tcBorders>
            <w:tcMar>
              <w:bottom w:w="28" w:type="dxa"/>
            </w:tcMar>
            <w:vAlign w:val="bottom"/>
          </w:tcPr>
          <w:p>
            <w:pPr>
              <w:pStyle w:val="TableContents"/>
              <w:bidi w:val="0"/>
              <w:spacing w:before="0" w:after="283"/>
              <w:jc w:val="left"/>
              <w:rPr/>
            </w:pPr>
            <w:r>
              <w:rPr/>
              <w:t> </w:t>
            </w:r>
          </w:p>
        </w:tc>
        <w:tc>
          <w:tcPr>
            <w:tcW w:w="100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4,497</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6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7" w:type="dxa"/>
            <w:tcBorders>
              <w:bottom w:val="single" w:sz="12" w:space="0" w:color="000000"/>
            </w:tcBorders>
            <w:tcMar>
              <w:bottom w:w="28" w:type="dxa"/>
            </w:tcMar>
            <w:vAlign w:val="bottom"/>
          </w:tcPr>
          <w:p>
            <w:pPr>
              <w:pStyle w:val="TableContents"/>
              <w:bidi w:val="0"/>
              <w:spacing w:before="0" w:after="283"/>
              <w:jc w:val="left"/>
              <w:rPr/>
            </w:pPr>
            <w:r>
              <w:rPr/>
              <w:t> </w:t>
            </w:r>
          </w:p>
        </w:tc>
        <w:tc>
          <w:tcPr>
            <w:tcW w:w="667"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6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4,497</w:t>
            </w:r>
          </w:p>
        </w:tc>
        <w:tc>
          <w:tcPr>
            <w:tcW w:w="110" w:type="dxa"/>
            <w:tcBorders/>
            <w:vAlign w:val="bottom"/>
          </w:tcPr>
          <w:p>
            <w:pPr>
              <w:pStyle w:val="TableContents"/>
              <w:bidi w:val="0"/>
              <w:spacing w:before="0" w:after="283"/>
              <w:jc w:val="left"/>
              <w:rPr/>
            </w:pPr>
            <w:r>
              <w:rPr/>
              <w:t> </w:t>
            </w:r>
          </w:p>
        </w:tc>
      </w:tr>
      <w:tr>
        <w:trPr/>
        <w:tc>
          <w:tcPr>
            <w:tcW w:w="3230" w:type="dxa"/>
            <w:tcBorders/>
            <w:shd w:fill="CCEEFF" w:val="clear"/>
            <w:vAlign w:val="bottom"/>
          </w:tcPr>
          <w:p>
            <w:pPr>
              <w:pStyle w:val="TableContents"/>
              <w:bidi w:val="0"/>
              <w:spacing w:before="0" w:after="0"/>
              <w:ind w:left="504" w:right="0" w:hanging="144"/>
              <w:jc w:val="left"/>
              <w:rPr>
                <w:rFonts w:ascii="Times New Roman" w:hAnsi="Times New Roman"/>
                <w:sz w:val="20"/>
              </w:rPr>
            </w:pPr>
            <w:r>
              <w:rPr>
                <w:rFonts w:ascii="Times New Roman" w:hAnsi="Times New Roman"/>
                <w:sz w:val="20"/>
              </w:rPr>
              <w:t>Net servicing income</w:t>
            </w:r>
          </w:p>
        </w:tc>
        <w:tc>
          <w:tcPr>
            <w:tcW w:w="60" w:type="dxa"/>
            <w:tcBorders/>
            <w:shd w:fill="CCEEFF" w:val="clear"/>
            <w:vAlign w:val="bottom"/>
          </w:tcPr>
          <w:p>
            <w:pPr>
              <w:pStyle w:val="TableContents"/>
              <w:bidi w:val="0"/>
              <w:spacing w:before="0" w:after="283"/>
              <w:jc w:val="right"/>
              <w:rPr/>
            </w:pPr>
            <w:r>
              <w:rPr/>
              <w:t> </w:t>
            </w:r>
          </w:p>
        </w:tc>
        <w:tc>
          <w:tcPr>
            <w:tcW w:w="219"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17,409</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7" w:type="dxa"/>
            <w:tcBorders/>
            <w:shd w:fill="CCEEFF" w:val="clear"/>
            <w:vAlign w:val="bottom"/>
          </w:tcPr>
          <w:p>
            <w:pPr>
              <w:pStyle w:val="TableContents"/>
              <w:bidi w:val="0"/>
              <w:spacing w:before="0" w:after="283"/>
              <w:jc w:val="left"/>
              <w:rPr/>
            </w:pPr>
            <w:r>
              <w:rPr/>
              <w:t> </w:t>
            </w:r>
          </w:p>
        </w:tc>
        <w:tc>
          <w:tcPr>
            <w:tcW w:w="66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17,409</w:t>
            </w:r>
          </w:p>
        </w:tc>
        <w:tc>
          <w:tcPr>
            <w:tcW w:w="110" w:type="dxa"/>
            <w:tcBorders/>
            <w:shd w:fill="CCEEFF" w:val="clear"/>
            <w:vAlign w:val="bottom"/>
          </w:tcPr>
          <w:p>
            <w:pPr>
              <w:pStyle w:val="TableContents"/>
              <w:bidi w:val="0"/>
              <w:spacing w:before="0" w:after="283"/>
              <w:jc w:val="left"/>
              <w:rPr/>
            </w:pPr>
            <w:r>
              <w:rPr/>
              <w:t> </w:t>
            </w:r>
          </w:p>
        </w:tc>
      </w:tr>
      <w:tr>
        <w:trPr/>
        <w:tc>
          <w:tcPr>
            <w:tcW w:w="3230" w:type="dxa"/>
            <w:tcBorders/>
            <w:vAlign w:val="bottom"/>
          </w:tcPr>
          <w:p>
            <w:pPr>
              <w:pStyle w:val="TableContents"/>
              <w:bidi w:val="0"/>
              <w:spacing w:before="0" w:after="0"/>
              <w:ind w:left="504" w:right="0" w:hanging="144"/>
              <w:jc w:val="left"/>
              <w:rPr>
                <w:rFonts w:ascii="Times New Roman" w:hAnsi="Times New Roman"/>
                <w:color w:val="000000"/>
                <w:sz w:val="20"/>
              </w:rPr>
            </w:pPr>
            <w:r>
              <w:rPr>
                <w:rFonts w:ascii="Times New Roman" w:hAnsi="Times New Roman"/>
                <w:color w:val="000000"/>
                <w:sz w:val="20"/>
              </w:rPr>
              <w:t xml:space="preserve">Other expense </w:t>
            </w:r>
            <w:r>
              <w:rPr>
                <w:rFonts w:ascii="Times New Roman" w:hAnsi="Times New Roman"/>
                <w:color w:val="000000"/>
                <w:position w:val="7"/>
                <w:sz w:val="16"/>
                <w:sz w:val="20"/>
              </w:rPr>
              <w:t>(A)</w:t>
            </w:r>
          </w:p>
        </w:tc>
        <w:tc>
          <w:tcPr>
            <w:tcW w:w="60" w:type="dxa"/>
            <w:tcBorders/>
            <w:vAlign w:val="bottom"/>
          </w:tcPr>
          <w:p>
            <w:pPr>
              <w:pStyle w:val="TableContents"/>
              <w:bidi w:val="0"/>
              <w:spacing w:before="0" w:after="283"/>
              <w:jc w:val="right"/>
              <w:rPr/>
            </w:pPr>
            <w:r>
              <w:rPr/>
              <w:t> </w:t>
            </w:r>
          </w:p>
        </w:tc>
        <w:tc>
          <w:tcPr>
            <w:tcW w:w="219"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(8,720</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(10,509</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47" w:type="dxa"/>
            <w:tcBorders/>
            <w:vAlign w:val="bottom"/>
          </w:tcPr>
          <w:p>
            <w:pPr>
              <w:pStyle w:val="TableContents"/>
              <w:bidi w:val="0"/>
              <w:spacing w:before="0" w:after="283"/>
              <w:jc w:val="left"/>
              <w:rPr/>
            </w:pPr>
            <w:r>
              <w:rPr/>
              <w:t> </w:t>
            </w:r>
          </w:p>
        </w:tc>
        <w:tc>
          <w:tcPr>
            <w:tcW w:w="66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(19,229</w:t>
            </w:r>
          </w:p>
        </w:tc>
        <w:tc>
          <w:tcPr>
            <w:tcW w:w="11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3230" w:type="dxa"/>
            <w:tcBorders/>
            <w:shd w:fill="CCEEFF" w:val="clear"/>
            <w:vAlign w:val="bottom"/>
          </w:tcPr>
          <w:p>
            <w:pPr>
              <w:pStyle w:val="TableContents"/>
              <w:bidi w:val="0"/>
              <w:spacing w:before="0" w:after="0"/>
              <w:ind w:left="504" w:right="0" w:hanging="144"/>
              <w:jc w:val="left"/>
              <w:rPr>
                <w:rFonts w:ascii="Times New Roman" w:hAnsi="Times New Roman"/>
                <w:sz w:val="20"/>
              </w:rPr>
            </w:pPr>
            <w:r>
              <w:rPr>
                <w:rFonts w:ascii="Times New Roman" w:hAnsi="Times New Roman"/>
                <w:sz w:val="20"/>
              </w:rPr>
              <w:t xml:space="preserve">Other operating expenses </w:t>
            </w:r>
            <w:r>
              <w:rPr>
                <w:rFonts w:ascii="Times New Roman" w:hAnsi="Times New Roman"/>
                <w:position w:val="7"/>
                <w:sz w:val="16"/>
                <w:sz w:val="20"/>
              </w:rPr>
              <w:t>(B)</w:t>
            </w:r>
          </w:p>
        </w:tc>
        <w:tc>
          <w:tcPr>
            <w:tcW w:w="60" w:type="dxa"/>
            <w:tcBorders/>
            <w:shd w:fill="CCEEFF" w:val="clear"/>
            <w:vAlign w:val="bottom"/>
          </w:tcPr>
          <w:p>
            <w:pPr>
              <w:pStyle w:val="TableContents"/>
              <w:bidi w:val="0"/>
              <w:spacing w:before="0" w:after="283"/>
              <w:jc w:val="right"/>
              <w:rPr/>
            </w:pPr>
            <w:r>
              <w:rPr/>
              <w:t> </w:t>
            </w:r>
          </w:p>
        </w:tc>
        <w:tc>
          <w:tcPr>
            <w:tcW w:w="219"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(1,757</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(1,431</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47" w:type="dxa"/>
            <w:tcBorders/>
            <w:shd w:fill="CCEEFF" w:val="clear"/>
            <w:vAlign w:val="bottom"/>
          </w:tcPr>
          <w:p>
            <w:pPr>
              <w:pStyle w:val="TableContents"/>
              <w:bidi w:val="0"/>
              <w:spacing w:before="0" w:after="283"/>
              <w:jc w:val="left"/>
              <w:rPr/>
            </w:pPr>
            <w:r>
              <w:rPr/>
              <w:t> </w:t>
            </w:r>
          </w:p>
        </w:tc>
        <w:tc>
          <w:tcPr>
            <w:tcW w:w="66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(3,936</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(7,124</w:t>
            </w:r>
          </w:p>
        </w:tc>
        <w:tc>
          <w:tcPr>
            <w:tcW w:w="11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3230" w:type="dxa"/>
            <w:tcBorders/>
            <w:vAlign w:val="bottom"/>
          </w:tcPr>
          <w:p>
            <w:pPr>
              <w:pStyle w:val="TableContents"/>
              <w:bidi w:val="0"/>
              <w:spacing w:before="0" w:after="0"/>
              <w:ind w:left="504" w:right="0" w:hanging="144"/>
              <w:jc w:val="left"/>
              <w:rPr>
                <w:rFonts w:ascii="Times New Roman" w:hAnsi="Times New Roman"/>
                <w:sz w:val="20"/>
              </w:rPr>
            </w:pPr>
            <w:r>
              <w:rPr>
                <w:rFonts w:ascii="Times New Roman" w:hAnsi="Times New Roman"/>
                <w:sz w:val="20"/>
              </w:rPr>
              <w:t>Provision for corporate business taxes</w:t>
            </w:r>
          </w:p>
        </w:tc>
        <w:tc>
          <w:tcPr>
            <w:tcW w:w="60" w:type="dxa"/>
            <w:tcBorders/>
            <w:vAlign w:val="bottom"/>
          </w:tcPr>
          <w:p>
            <w:pPr>
              <w:pStyle w:val="TableContents"/>
              <w:bidi w:val="0"/>
              <w:spacing w:before="0" w:after="283"/>
              <w:jc w:val="right"/>
              <w:rPr/>
            </w:pPr>
            <w:r>
              <w:rPr/>
              <w:t> </w:t>
            </w:r>
          </w:p>
        </w:tc>
        <w:tc>
          <w:tcPr>
            <w:tcW w:w="219"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(1,294</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7" w:type="dxa"/>
            <w:tcBorders/>
            <w:vAlign w:val="bottom"/>
          </w:tcPr>
          <w:p>
            <w:pPr>
              <w:pStyle w:val="TableContents"/>
              <w:bidi w:val="0"/>
              <w:spacing w:before="0" w:after="283"/>
              <w:jc w:val="left"/>
              <w:rPr/>
            </w:pPr>
            <w:r>
              <w:rPr/>
              <w:t> </w:t>
            </w:r>
          </w:p>
        </w:tc>
        <w:tc>
          <w:tcPr>
            <w:tcW w:w="66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(1,294</w:t>
            </w:r>
          </w:p>
        </w:tc>
        <w:tc>
          <w:tcPr>
            <w:tcW w:w="11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3230" w:type="dxa"/>
            <w:tcBorders/>
            <w:shd w:fill="CCEEFF" w:val="clear"/>
            <w:vAlign w:val="bottom"/>
          </w:tcPr>
          <w:p>
            <w:pPr>
              <w:pStyle w:val="TableContents"/>
              <w:bidi w:val="0"/>
              <w:spacing w:before="0" w:after="0"/>
              <w:ind w:left="504" w:right="0" w:hanging="144"/>
              <w:jc w:val="left"/>
              <w:rPr>
                <w:rFonts w:ascii="Times New Roman" w:hAnsi="Times New Roman"/>
                <w:sz w:val="20"/>
              </w:rPr>
            </w:pPr>
            <w:r>
              <w:rPr>
                <w:rFonts w:ascii="Times New Roman" w:hAnsi="Times New Roman"/>
                <w:sz w:val="20"/>
              </w:rPr>
              <w:t>Net other comprehensive income (loss)</w:t>
            </w:r>
          </w:p>
        </w:tc>
        <w:tc>
          <w:tcPr>
            <w:tcW w:w="60" w:type="dxa"/>
            <w:tcBorders/>
            <w:shd w:fill="CCEEFF" w:val="clear"/>
            <w:vAlign w:val="bottom"/>
          </w:tcPr>
          <w:p>
            <w:pPr>
              <w:pStyle w:val="TableContents"/>
              <w:bidi w:val="0"/>
              <w:spacing w:before="0" w:after="283"/>
              <w:jc w:val="right"/>
              <w:rPr/>
            </w:pPr>
            <w:r>
              <w:rPr/>
              <w:t> </w:t>
            </w:r>
          </w:p>
        </w:tc>
        <w:tc>
          <w:tcPr>
            <w:tcW w:w="21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0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7,170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67"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7,170</w:t>
            </w:r>
          </w:p>
        </w:tc>
        <w:tc>
          <w:tcPr>
            <w:tcW w:w="110" w:type="dxa"/>
            <w:tcBorders/>
            <w:shd w:fill="CCEEFF" w:val="clear"/>
            <w:vAlign w:val="bottom"/>
          </w:tcPr>
          <w:p>
            <w:pPr>
              <w:pStyle w:val="TableContents"/>
              <w:bidi w:val="0"/>
              <w:spacing w:before="0" w:after="283"/>
              <w:jc w:val="left"/>
              <w:rPr/>
            </w:pPr>
            <w:r>
              <w:rPr/>
              <w:t> </w:t>
            </w:r>
          </w:p>
        </w:tc>
      </w:tr>
      <w:tr>
        <w:trPr/>
        <w:tc>
          <w:tcPr>
            <w:tcW w:w="3230" w:type="dxa"/>
            <w:tcBorders/>
            <w:vAlign w:val="bottom"/>
          </w:tcPr>
          <w:p>
            <w:pPr>
              <w:pStyle w:val="TableContents"/>
              <w:bidi w:val="0"/>
              <w:spacing w:before="0" w:after="0"/>
              <w:ind w:left="360" w:right="0" w:hanging="0"/>
              <w:jc w:val="left"/>
              <w:rPr>
                <w:rFonts w:ascii="Times New Roman" w:hAnsi="Times New Roman"/>
                <w:color w:val="000000"/>
                <w:sz w:val="20"/>
              </w:rPr>
            </w:pPr>
            <w:r>
              <w:rPr>
                <w:rFonts w:ascii="Times New Roman" w:hAnsi="Times New Roman"/>
                <w:color w:val="000000"/>
                <w:sz w:val="20"/>
              </w:rPr>
              <w:t>Comprehensive income (loss)</w:t>
            </w:r>
          </w:p>
        </w:tc>
        <w:tc>
          <w:tcPr>
            <w:tcW w:w="60" w:type="dxa"/>
            <w:tcBorders/>
            <w:vAlign w:val="bottom"/>
          </w:tcPr>
          <w:p>
            <w:pPr>
              <w:pStyle w:val="TableContents"/>
              <w:bidi w:val="0"/>
              <w:spacing w:before="0" w:after="283"/>
              <w:jc w:val="right"/>
              <w:rPr/>
            </w:pPr>
            <w:r>
              <w:rPr/>
              <w:t> </w:t>
            </w:r>
          </w:p>
        </w:tc>
        <w:tc>
          <w:tcPr>
            <w:tcW w:w="219" w:type="dxa"/>
            <w:tcBorders/>
            <w:vAlign w:val="bottom"/>
          </w:tcPr>
          <w:p>
            <w:pPr>
              <w:pStyle w:val="TableContents"/>
              <w:bidi w:val="0"/>
              <w:spacing w:before="0" w:after="283"/>
              <w:jc w:val="left"/>
              <w:rPr/>
            </w:pPr>
            <w:r>
              <w:rPr/>
              <w:t>$</w:t>
            </w:r>
          </w:p>
        </w:tc>
        <w:tc>
          <w:tcPr>
            <w:tcW w:w="1000" w:type="dxa"/>
            <w:tcBorders/>
            <w:vAlign w:val="bottom"/>
          </w:tcPr>
          <w:p>
            <w:pPr>
              <w:pStyle w:val="TableContents"/>
              <w:bidi w:val="0"/>
              <w:spacing w:before="0" w:after="283"/>
              <w:jc w:val="right"/>
              <w:rPr/>
            </w:pPr>
            <w:r>
              <w:rPr/>
              <w:t>4,578</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w:t>
            </w:r>
          </w:p>
        </w:tc>
        <w:tc>
          <w:tcPr>
            <w:tcW w:w="650" w:type="dxa"/>
            <w:tcBorders/>
            <w:vAlign w:val="bottom"/>
          </w:tcPr>
          <w:p>
            <w:pPr>
              <w:pStyle w:val="TableContents"/>
              <w:bidi w:val="0"/>
              <w:spacing w:before="0" w:after="283"/>
              <w:jc w:val="right"/>
              <w:rPr/>
            </w:pPr>
            <w:r>
              <w:rPr/>
              <w:t>1,097</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7" w:type="dxa"/>
            <w:tcBorders/>
            <w:vAlign w:val="bottom"/>
          </w:tcPr>
          <w:p>
            <w:pPr>
              <w:pStyle w:val="TableContents"/>
              <w:bidi w:val="0"/>
              <w:spacing w:before="0" w:after="283"/>
              <w:jc w:val="left"/>
              <w:rPr/>
            </w:pPr>
            <w:r>
              <w:rPr/>
              <w:t>$</w:t>
            </w:r>
          </w:p>
        </w:tc>
        <w:tc>
          <w:tcPr>
            <w:tcW w:w="667" w:type="dxa"/>
            <w:tcBorders/>
            <w:vAlign w:val="bottom"/>
          </w:tcPr>
          <w:p>
            <w:pPr>
              <w:pStyle w:val="TableContents"/>
              <w:bidi w:val="0"/>
              <w:spacing w:before="0" w:after="283"/>
              <w:jc w:val="right"/>
              <w:rPr/>
            </w:pPr>
            <w:r>
              <w:rPr/>
              <w:t>(3,936</w:t>
            </w:r>
          </w:p>
        </w:tc>
        <w:tc>
          <w:tcPr>
            <w:tcW w:w="95" w:type="dxa"/>
            <w:tcBorders/>
            <w:vAlign w:val="bottom"/>
          </w:tcPr>
          <w:p>
            <w:pPr>
              <w:pStyle w:val="TableContents"/>
              <w:bidi w:val="0"/>
              <w:spacing w:before="0" w:after="283"/>
              <w:jc w:val="left"/>
              <w:rPr/>
            </w:pPr>
            <w:r>
              <w:rPr/>
              <w: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w:t>
            </w:r>
          </w:p>
        </w:tc>
        <w:tc>
          <w:tcPr>
            <w:tcW w:w="650" w:type="dxa"/>
            <w:tcBorders/>
            <w:vAlign w:val="bottom"/>
          </w:tcPr>
          <w:p>
            <w:pPr>
              <w:pStyle w:val="TableContents"/>
              <w:bidi w:val="0"/>
              <w:spacing w:before="0" w:after="283"/>
              <w:jc w:val="right"/>
              <w:rPr/>
            </w:pPr>
            <w:r>
              <w:rPr/>
              <w:t>1,739</w:t>
            </w:r>
          </w:p>
        </w:tc>
        <w:tc>
          <w:tcPr>
            <w:tcW w:w="110"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270"/>
        <w:gridCol w:w="9935"/>
      </w:tblGrid>
      <w:tr>
        <w:trPr/>
        <w:tc>
          <w:tcPr>
            <w:tcW w:w="270"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w:t>
            </w:r>
          </w:p>
        </w:tc>
        <w:tc>
          <w:tcPr>
            <w:tcW w:w="9935"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Included in other income (expense) are realized and unrealized gains (losses) on Servicing Related Assets, RMBS and derivatives and credit loss and impairment on other asset.</w:t>
            </w:r>
          </w:p>
        </w:tc>
      </w:tr>
    </w:tbl>
    <w:tbl>
      <w:tblPr>
        <w:tblW w:w="9205" w:type="dxa"/>
        <w:jc w:val="left"/>
        <w:tblInd w:w="0" w:type="dxa"/>
        <w:tblLayout w:type="fixed"/>
        <w:tblCellMar>
          <w:top w:w="0" w:type="dxa"/>
          <w:left w:w="0" w:type="dxa"/>
          <w:bottom w:w="0" w:type="dxa"/>
          <w:right w:w="0" w:type="dxa"/>
        </w:tblCellMar>
      </w:tblPr>
      <w:tblGrid>
        <w:gridCol w:w="290"/>
        <w:gridCol w:w="8915"/>
      </w:tblGrid>
      <w:tr>
        <w:trPr/>
        <w:tc>
          <w:tcPr>
            <w:tcW w:w="290"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w:t>
            </w:r>
          </w:p>
        </w:tc>
        <w:tc>
          <w:tcPr>
            <w:tcW w:w="8915"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Included in other operating expenses are general and administrative expenses and compensation and benefits.</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17</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tbl>
      <w:tblPr>
        <w:tblW w:w="6213" w:type="dxa"/>
        <w:jc w:val="left"/>
        <w:tblInd w:w="0" w:type="dxa"/>
        <w:tblLayout w:type="fixed"/>
        <w:tblCellMar>
          <w:top w:w="0" w:type="dxa"/>
          <w:left w:w="0" w:type="dxa"/>
          <w:bottom w:w="0" w:type="dxa"/>
          <w:right w:w="0" w:type="dxa"/>
        </w:tblCellMar>
      </w:tblPr>
      <w:tblGrid>
        <w:gridCol w:w="1310"/>
        <w:gridCol w:w="60"/>
        <w:gridCol w:w="226"/>
        <w:gridCol w:w="1263"/>
        <w:gridCol w:w="60"/>
        <w:gridCol w:w="60"/>
        <w:gridCol w:w="125"/>
        <w:gridCol w:w="845"/>
        <w:gridCol w:w="60"/>
        <w:gridCol w:w="60"/>
        <w:gridCol w:w="171"/>
        <w:gridCol w:w="808"/>
        <w:gridCol w:w="60"/>
        <w:gridCol w:w="60"/>
        <w:gridCol w:w="125"/>
        <w:gridCol w:w="845"/>
        <w:gridCol w:w="75"/>
      </w:tblGrid>
      <w:tr>
        <w:trPr/>
        <w:tc>
          <w:tcPr>
            <w:tcW w:w="13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89" w:type="dxa"/>
            <w:gridSpan w:val="2"/>
            <w:tcBorders>
              <w:bottom w:val="single" w:sz="12" w:space="0" w:color="000000"/>
            </w:tcBorders>
            <w:tcMar>
              <w:bottom w:w="28" w:type="dxa"/>
            </w:tcMar>
            <w:vAlign w:val="bottom"/>
          </w:tcPr>
          <w:p>
            <w:pPr>
              <w:pStyle w:val="TableContents"/>
              <w:bidi w:val="0"/>
              <w:spacing w:before="0" w:after="0"/>
              <w:jc w:val="center"/>
              <w:rPr>
                <w:b/>
              </w:rPr>
            </w:pPr>
            <w:r>
              <w:rPr>
                <w:b/>
              </w:rPr>
              <w:t xml:space="preserve">Servicing </w:t>
            </w:r>
          </w:p>
          <w:p>
            <w:pPr>
              <w:pStyle w:val="TableContents"/>
              <w:bidi w:val="0"/>
              <w:spacing w:before="0" w:after="0"/>
              <w:jc w:val="center"/>
              <w:rPr>
                <w:b/>
              </w:rPr>
            </w:pPr>
            <w:r>
              <w:rPr>
                <w:b/>
              </w:rPr>
              <w:t>Related Assets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970" w:type="dxa"/>
            <w:gridSpan w:val="2"/>
            <w:tcBorders>
              <w:bottom w:val="single" w:sz="12" w:space="0" w:color="000000"/>
            </w:tcBorders>
            <w:tcMar>
              <w:bottom w:w="28" w:type="dxa"/>
            </w:tcMar>
            <w:vAlign w:val="bottom"/>
          </w:tcPr>
          <w:p>
            <w:pPr>
              <w:pStyle w:val="TableContents"/>
              <w:bidi w:val="0"/>
              <w:spacing w:before="0" w:after="283"/>
              <w:jc w:val="center"/>
              <w:rPr>
                <w:b/>
              </w:rPr>
            </w:pPr>
            <w:r>
              <w:rPr>
                <w:b/>
              </w:rPr>
              <w:t>RMBS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979" w:type="dxa"/>
            <w:gridSpan w:val="2"/>
            <w:tcBorders>
              <w:bottom w:val="single" w:sz="12" w:space="0" w:color="000000"/>
            </w:tcBorders>
            <w:tcMar>
              <w:bottom w:w="28" w:type="dxa"/>
            </w:tcMar>
            <w:vAlign w:val="bottom"/>
          </w:tcPr>
          <w:p>
            <w:pPr>
              <w:pStyle w:val="TableContents"/>
              <w:bidi w:val="0"/>
              <w:spacing w:before="0" w:after="283"/>
              <w:jc w:val="center"/>
              <w:rPr>
                <w:b/>
              </w:rPr>
            </w:pPr>
            <w:r>
              <w:rPr>
                <w:b/>
              </w:rPr>
              <w:t>All Other</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970" w:type="dxa"/>
            <w:gridSpan w:val="2"/>
            <w:tcBorders>
              <w:bottom w:val="single" w:sz="12" w:space="0" w:color="000000"/>
            </w:tcBorders>
            <w:tcMar>
              <w:bottom w:w="28" w:type="dxa"/>
            </w:tcMar>
            <w:vAlign w:val="bottom"/>
          </w:tcPr>
          <w:p>
            <w:pPr>
              <w:pStyle w:val="TableContents"/>
              <w:bidi w:val="0"/>
              <w:spacing w:before="0" w:after="283"/>
              <w:jc w:val="center"/>
              <w:rPr>
                <w:b/>
              </w:rPr>
            </w:pPr>
            <w:r>
              <w:rPr>
                <w:b/>
              </w:rPr>
              <w:t>Total</w:t>
            </w:r>
          </w:p>
        </w:tc>
        <w:tc>
          <w:tcPr>
            <w:tcW w:w="75" w:type="dxa"/>
            <w:tcBorders/>
            <w:vAlign w:val="bottom"/>
          </w:tcPr>
          <w:p>
            <w:pPr>
              <w:pStyle w:val="TableContents"/>
              <w:bidi w:val="0"/>
              <w:spacing w:before="0" w:after="283"/>
              <w:jc w:val="left"/>
              <w:rPr/>
            </w:pPr>
            <w:r>
              <w:rPr/>
              <w:t> </w:t>
            </w:r>
          </w:p>
        </w:tc>
      </w:tr>
      <w:tr>
        <w:trPr/>
        <w:tc>
          <w:tcPr>
            <w:tcW w:w="1310" w:type="dxa"/>
            <w:tcBorders/>
            <w:shd w:fill="CCEEFF" w:val="clear"/>
            <w:vAlign w:val="bottom"/>
          </w:tcPr>
          <w:p>
            <w:pPr>
              <w:pStyle w:val="TableContents"/>
              <w:bidi w:val="0"/>
              <w:spacing w:before="0" w:after="0"/>
              <w:ind w:left="144" w:right="0" w:hanging="144"/>
              <w:jc w:val="left"/>
              <w:rPr>
                <w:rFonts w:ascii="Times New Roman" w:hAnsi="Times New Roman"/>
                <w:b/>
                <w:sz w:val="20"/>
              </w:rPr>
            </w:pPr>
            <w:r>
              <w:rPr>
                <w:rFonts w:ascii="Times New Roman" w:hAnsi="Times New Roman"/>
                <w:b/>
                <w:sz w:val="20"/>
              </w:rPr>
              <w:t>Balance Sheet</w:t>
            </w:r>
          </w:p>
        </w:tc>
        <w:tc>
          <w:tcPr>
            <w:tcW w:w="60" w:type="dxa"/>
            <w:tcBorders/>
            <w:shd w:fill="CCEEFF" w:val="clear"/>
            <w:vAlign w:val="bottom"/>
          </w:tcPr>
          <w:p>
            <w:pPr>
              <w:pStyle w:val="TableContents"/>
              <w:bidi w:val="0"/>
              <w:spacing w:before="0" w:after="283"/>
              <w:jc w:val="left"/>
              <w:rPr/>
            </w:pPr>
            <w:r>
              <w:rPr/>
              <w:t> </w:t>
            </w:r>
          </w:p>
        </w:tc>
        <w:tc>
          <w:tcPr>
            <w:tcW w:w="1489" w:type="dxa"/>
            <w:gridSpan w:val="2"/>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70" w:type="dxa"/>
            <w:gridSpan w:val="2"/>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79" w:type="dxa"/>
            <w:gridSpan w:val="2"/>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70" w:type="dxa"/>
            <w:gridSpan w:val="2"/>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r>
      <w:tr>
        <w:trPr/>
        <w:tc>
          <w:tcPr>
            <w:tcW w:w="1310" w:type="dxa"/>
            <w:tcBorders/>
            <w:vAlign w:val="bottom"/>
          </w:tcPr>
          <w:p>
            <w:pPr>
              <w:pStyle w:val="TableContents"/>
              <w:bidi w:val="0"/>
              <w:spacing w:before="0" w:after="0"/>
              <w:ind w:left="180" w:right="0" w:hanging="0"/>
              <w:jc w:val="left"/>
              <w:rPr>
                <w:rFonts w:ascii="Times New Roman" w:hAnsi="Times New Roman"/>
                <w:b/>
                <w:sz w:val="20"/>
              </w:rPr>
            </w:pPr>
            <w:r>
              <w:rPr>
                <w:rFonts w:ascii="Times New Roman" w:hAnsi="Times New Roman"/>
                <w:b/>
                <w:sz w:val="20"/>
              </w:rPr>
              <w:t>June 30, 2026</w:t>
            </w:r>
          </w:p>
        </w:tc>
        <w:tc>
          <w:tcPr>
            <w:tcW w:w="60" w:type="dxa"/>
            <w:tcBorders/>
            <w:vAlign w:val="bottom"/>
          </w:tcPr>
          <w:p>
            <w:pPr>
              <w:pStyle w:val="TableContents"/>
              <w:bidi w:val="0"/>
              <w:spacing w:before="0" w:after="283"/>
              <w:jc w:val="left"/>
              <w:rPr/>
            </w:pPr>
            <w:r>
              <w:rPr/>
              <w:t> </w:t>
            </w:r>
          </w:p>
        </w:tc>
        <w:tc>
          <w:tcPr>
            <w:tcW w:w="1489"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9"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1310" w:type="dxa"/>
            <w:tcBorders/>
            <w:shd w:fill="CCEEFF" w:val="clear"/>
            <w:vAlign w:val="bottom"/>
          </w:tcPr>
          <w:p>
            <w:pPr>
              <w:pStyle w:val="TableContents"/>
              <w:bidi w:val="0"/>
              <w:spacing w:before="0" w:after="0"/>
              <w:ind w:left="468" w:right="0" w:hanging="144"/>
              <w:jc w:val="left"/>
              <w:rPr>
                <w:rFonts w:ascii="Times New Roman" w:hAnsi="Times New Roman"/>
                <w:sz w:val="20"/>
              </w:rPr>
            </w:pPr>
            <w:r>
              <w:rPr>
                <w:rFonts w:ascii="Times New Roman" w:hAnsi="Times New Roman"/>
                <w:sz w:val="20"/>
              </w:rPr>
              <w:t>Investments</w:t>
            </w:r>
          </w:p>
        </w:tc>
        <w:tc>
          <w:tcPr>
            <w:tcW w:w="60" w:type="dxa"/>
            <w:tcBorders/>
            <w:shd w:fill="CCEEFF" w:val="clear"/>
            <w:vAlign w:val="bottom"/>
          </w:tcPr>
          <w:p>
            <w:pPr>
              <w:pStyle w:val="TableContents"/>
              <w:bidi w:val="0"/>
              <w:spacing w:before="0" w:after="283"/>
              <w:jc w:val="right"/>
              <w:rPr/>
            </w:pPr>
            <w:r>
              <w:rPr/>
              <w:t> </w:t>
            </w:r>
          </w:p>
        </w:tc>
        <w:tc>
          <w:tcPr>
            <w:tcW w:w="22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26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211,105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1,079,802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0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1,290,907</w:t>
            </w:r>
          </w:p>
        </w:tc>
        <w:tc>
          <w:tcPr>
            <w:tcW w:w="75" w:type="dxa"/>
            <w:tcBorders/>
            <w:shd w:fill="CCEEFF" w:val="clear"/>
            <w:vAlign w:val="bottom"/>
          </w:tcPr>
          <w:p>
            <w:pPr>
              <w:pStyle w:val="TableContents"/>
              <w:bidi w:val="0"/>
              <w:spacing w:before="0" w:after="283"/>
              <w:jc w:val="left"/>
              <w:rPr/>
            </w:pPr>
            <w:r>
              <w:rPr/>
              <w:t> </w:t>
            </w:r>
          </w:p>
        </w:tc>
      </w:tr>
      <w:tr>
        <w:trPr/>
        <w:tc>
          <w:tcPr>
            <w:tcW w:w="1310" w:type="dxa"/>
            <w:tcBorders/>
            <w:vAlign w:val="bottom"/>
          </w:tcPr>
          <w:p>
            <w:pPr>
              <w:pStyle w:val="TableContents"/>
              <w:bidi w:val="0"/>
              <w:spacing w:before="0" w:after="0"/>
              <w:ind w:left="468" w:right="0" w:hanging="144"/>
              <w:jc w:val="left"/>
              <w:rPr>
                <w:rFonts w:ascii="Times New Roman" w:hAnsi="Times New Roman"/>
                <w:sz w:val="20"/>
              </w:rPr>
            </w:pPr>
            <w:r>
              <w:rPr>
                <w:rFonts w:ascii="Times New Roman" w:hAnsi="Times New Roman"/>
                <w:sz w:val="20"/>
              </w:rPr>
              <w:t>Other assets</w:t>
            </w:r>
          </w:p>
        </w:tc>
        <w:tc>
          <w:tcPr>
            <w:tcW w:w="60" w:type="dxa"/>
            <w:tcBorders/>
            <w:vAlign w:val="bottom"/>
          </w:tcPr>
          <w:p>
            <w:pPr>
              <w:pStyle w:val="TableContents"/>
              <w:bidi w:val="0"/>
              <w:spacing w:before="0" w:after="283"/>
              <w:jc w:val="right"/>
              <w:rPr/>
            </w:pPr>
            <w:r>
              <w:rPr/>
              <w:t> </w:t>
            </w:r>
          </w:p>
        </w:tc>
        <w:tc>
          <w:tcPr>
            <w:tcW w:w="226" w:type="dxa"/>
            <w:tcBorders>
              <w:bottom w:val="single" w:sz="12" w:space="0" w:color="000000"/>
            </w:tcBorders>
            <w:tcMar>
              <w:bottom w:w="28" w:type="dxa"/>
            </w:tcMar>
            <w:vAlign w:val="bottom"/>
          </w:tcPr>
          <w:p>
            <w:pPr>
              <w:pStyle w:val="TableContents"/>
              <w:bidi w:val="0"/>
              <w:spacing w:before="0" w:after="283"/>
              <w:jc w:val="left"/>
              <w:rPr/>
            </w:pPr>
            <w:r>
              <w:rPr/>
              <w:t> </w:t>
            </w:r>
          </w:p>
        </w:tc>
        <w:tc>
          <w:tcPr>
            <w:tcW w:w="1263"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21,075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33,131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1" w:type="dxa"/>
            <w:tcBorders>
              <w:bottom w:val="single" w:sz="12" w:space="0" w:color="000000"/>
            </w:tcBorders>
            <w:tcMar>
              <w:bottom w:w="28" w:type="dxa"/>
            </w:tcMar>
            <w:vAlign w:val="bottom"/>
          </w:tcPr>
          <w:p>
            <w:pPr>
              <w:pStyle w:val="TableContents"/>
              <w:bidi w:val="0"/>
              <w:spacing w:before="0" w:after="283"/>
              <w:jc w:val="left"/>
              <w:rPr/>
            </w:pPr>
            <w:r>
              <w:rPr/>
              <w:t> </w:t>
            </w:r>
          </w:p>
        </w:tc>
        <w:tc>
          <w:tcPr>
            <w:tcW w:w="80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52,431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106,637</w:t>
            </w:r>
          </w:p>
        </w:tc>
        <w:tc>
          <w:tcPr>
            <w:tcW w:w="75" w:type="dxa"/>
            <w:tcBorders/>
            <w:vAlign w:val="bottom"/>
          </w:tcPr>
          <w:p>
            <w:pPr>
              <w:pStyle w:val="TableContents"/>
              <w:bidi w:val="0"/>
              <w:spacing w:before="0" w:after="283"/>
              <w:jc w:val="left"/>
              <w:rPr/>
            </w:pPr>
            <w:r>
              <w:rPr/>
              <w:t> </w:t>
            </w:r>
          </w:p>
        </w:tc>
      </w:tr>
      <w:tr>
        <w:trPr/>
        <w:tc>
          <w:tcPr>
            <w:tcW w:w="1310" w:type="dxa"/>
            <w:tcBorders/>
            <w:shd w:fill="CCEEFF" w:val="clear"/>
            <w:vAlign w:val="bottom"/>
          </w:tcPr>
          <w:p>
            <w:pPr>
              <w:pStyle w:val="TableContents"/>
              <w:bidi w:val="0"/>
              <w:spacing w:before="0" w:after="0"/>
              <w:ind w:left="468" w:right="0" w:hanging="144"/>
              <w:jc w:val="left"/>
              <w:rPr>
                <w:rFonts w:ascii="Times New Roman" w:hAnsi="Times New Roman"/>
                <w:sz w:val="20"/>
              </w:rPr>
            </w:pPr>
            <w:r>
              <w:rPr>
                <w:rFonts w:ascii="Times New Roman" w:hAnsi="Times New Roman"/>
                <w:sz w:val="20"/>
              </w:rPr>
              <w:t>Total assets</w:t>
            </w:r>
          </w:p>
        </w:tc>
        <w:tc>
          <w:tcPr>
            <w:tcW w:w="60" w:type="dxa"/>
            <w:tcBorders/>
            <w:shd w:fill="CCEEFF" w:val="clear"/>
            <w:vAlign w:val="bottom"/>
          </w:tcPr>
          <w:p>
            <w:pPr>
              <w:pStyle w:val="TableContents"/>
              <w:bidi w:val="0"/>
              <w:spacing w:before="0" w:after="283"/>
              <w:jc w:val="right"/>
              <w:rPr/>
            </w:pPr>
            <w:r>
              <w:rPr/>
              <w:t> </w:t>
            </w:r>
          </w:p>
        </w:tc>
        <w:tc>
          <w:tcPr>
            <w:tcW w:w="226" w:type="dxa"/>
            <w:tcBorders/>
            <w:shd w:fill="CCEEFF" w:val="clear"/>
            <w:vAlign w:val="bottom"/>
          </w:tcPr>
          <w:p>
            <w:pPr>
              <w:pStyle w:val="TableContents"/>
              <w:bidi w:val="0"/>
              <w:spacing w:before="0" w:after="283"/>
              <w:jc w:val="left"/>
              <w:rPr/>
            </w:pPr>
            <w:r>
              <w:rPr/>
              <w:t> </w:t>
            </w:r>
          </w:p>
        </w:tc>
        <w:tc>
          <w:tcPr>
            <w:tcW w:w="126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232,180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1,112,933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1" w:type="dxa"/>
            <w:tcBorders/>
            <w:shd w:fill="CCEEFF" w:val="clear"/>
            <w:vAlign w:val="bottom"/>
          </w:tcPr>
          <w:p>
            <w:pPr>
              <w:pStyle w:val="TableContents"/>
              <w:bidi w:val="0"/>
              <w:spacing w:before="0" w:after="283"/>
              <w:jc w:val="left"/>
              <w:rPr/>
            </w:pPr>
            <w:r>
              <w:rPr/>
              <w:t> </w:t>
            </w:r>
          </w:p>
        </w:tc>
        <w:tc>
          <w:tcPr>
            <w:tcW w:w="80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52,431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1,397,544</w:t>
            </w:r>
          </w:p>
        </w:tc>
        <w:tc>
          <w:tcPr>
            <w:tcW w:w="75" w:type="dxa"/>
            <w:tcBorders/>
            <w:shd w:fill="CCEEFF" w:val="clear"/>
            <w:vAlign w:val="bottom"/>
          </w:tcPr>
          <w:p>
            <w:pPr>
              <w:pStyle w:val="TableContents"/>
              <w:bidi w:val="0"/>
              <w:spacing w:before="0" w:after="283"/>
              <w:jc w:val="left"/>
              <w:rPr/>
            </w:pPr>
            <w:r>
              <w:rPr/>
              <w:t> </w:t>
            </w:r>
          </w:p>
        </w:tc>
      </w:tr>
      <w:tr>
        <w:trPr/>
        <w:tc>
          <w:tcPr>
            <w:tcW w:w="1310" w:type="dxa"/>
            <w:tcBorders/>
            <w:vAlign w:val="bottom"/>
          </w:tcPr>
          <w:p>
            <w:pPr>
              <w:pStyle w:val="TableContents"/>
              <w:bidi w:val="0"/>
              <w:spacing w:before="0" w:after="0"/>
              <w:ind w:left="468" w:right="0" w:hanging="144"/>
              <w:jc w:val="left"/>
              <w:rPr>
                <w:rFonts w:ascii="Times New Roman" w:hAnsi="Times New Roman"/>
                <w:sz w:val="20"/>
              </w:rPr>
            </w:pPr>
            <w:r>
              <w:rPr>
                <w:rFonts w:ascii="Times New Roman" w:hAnsi="Times New Roman"/>
                <w:sz w:val="20"/>
              </w:rPr>
              <w:t>Debt</w:t>
            </w:r>
          </w:p>
        </w:tc>
        <w:tc>
          <w:tcPr>
            <w:tcW w:w="60" w:type="dxa"/>
            <w:tcBorders/>
            <w:vAlign w:val="bottom"/>
          </w:tcPr>
          <w:p>
            <w:pPr>
              <w:pStyle w:val="TableContents"/>
              <w:bidi w:val="0"/>
              <w:spacing w:before="0" w:after="283"/>
              <w:jc w:val="right"/>
              <w:rPr/>
            </w:pPr>
            <w:r>
              <w:rPr/>
              <w:t> </w:t>
            </w:r>
          </w:p>
        </w:tc>
        <w:tc>
          <w:tcPr>
            <w:tcW w:w="226"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140,648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1,008,738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1" w:type="dxa"/>
            <w:tcBorders/>
            <w:vAlign w:val="bottom"/>
          </w:tcPr>
          <w:p>
            <w:pPr>
              <w:pStyle w:val="TableContents"/>
              <w:bidi w:val="0"/>
              <w:spacing w:before="0" w:after="283"/>
              <w:jc w:val="left"/>
              <w:rPr/>
            </w:pPr>
            <w:r>
              <w:rPr/>
              <w:t> </w:t>
            </w:r>
          </w:p>
        </w:tc>
        <w:tc>
          <w:tcPr>
            <w:tcW w:w="808"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1,149,386</w:t>
            </w:r>
          </w:p>
        </w:tc>
        <w:tc>
          <w:tcPr>
            <w:tcW w:w="75" w:type="dxa"/>
            <w:tcBorders/>
            <w:vAlign w:val="bottom"/>
          </w:tcPr>
          <w:p>
            <w:pPr>
              <w:pStyle w:val="TableContents"/>
              <w:bidi w:val="0"/>
              <w:spacing w:before="0" w:after="283"/>
              <w:jc w:val="left"/>
              <w:rPr/>
            </w:pPr>
            <w:r>
              <w:rPr/>
              <w:t> </w:t>
            </w:r>
          </w:p>
        </w:tc>
      </w:tr>
      <w:tr>
        <w:trPr/>
        <w:tc>
          <w:tcPr>
            <w:tcW w:w="1310" w:type="dxa"/>
            <w:tcBorders/>
            <w:shd w:fill="CCEEFF" w:val="clear"/>
            <w:vAlign w:val="bottom"/>
          </w:tcPr>
          <w:p>
            <w:pPr>
              <w:pStyle w:val="TableContents"/>
              <w:bidi w:val="0"/>
              <w:spacing w:before="0" w:after="0"/>
              <w:ind w:left="468" w:right="0" w:hanging="144"/>
              <w:jc w:val="left"/>
              <w:rPr>
                <w:rFonts w:ascii="Times New Roman" w:hAnsi="Times New Roman"/>
                <w:sz w:val="20"/>
              </w:rPr>
            </w:pPr>
            <w:r>
              <w:rPr>
                <w:rFonts w:ascii="Times New Roman" w:hAnsi="Times New Roman"/>
                <w:sz w:val="20"/>
              </w:rPr>
              <w:t>Other liabilities</w:t>
            </w:r>
          </w:p>
        </w:tc>
        <w:tc>
          <w:tcPr>
            <w:tcW w:w="60" w:type="dxa"/>
            <w:tcBorders/>
            <w:shd w:fill="CCEEFF" w:val="clear"/>
            <w:vAlign w:val="bottom"/>
          </w:tcPr>
          <w:p>
            <w:pPr>
              <w:pStyle w:val="TableContents"/>
              <w:bidi w:val="0"/>
              <w:spacing w:before="0" w:after="283"/>
              <w:jc w:val="right"/>
              <w:rPr/>
            </w:pPr>
            <w:r>
              <w:rPr/>
              <w:t> </w:t>
            </w:r>
          </w:p>
        </w:tc>
        <w:tc>
          <w:tcPr>
            <w:tcW w:w="22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6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1,507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10,150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7,577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19,234</w:t>
            </w:r>
          </w:p>
        </w:tc>
        <w:tc>
          <w:tcPr>
            <w:tcW w:w="75" w:type="dxa"/>
            <w:tcBorders/>
            <w:shd w:fill="CCEEFF" w:val="clear"/>
            <w:vAlign w:val="bottom"/>
          </w:tcPr>
          <w:p>
            <w:pPr>
              <w:pStyle w:val="TableContents"/>
              <w:bidi w:val="0"/>
              <w:spacing w:before="0" w:after="283"/>
              <w:jc w:val="left"/>
              <w:rPr/>
            </w:pPr>
            <w:r>
              <w:rPr/>
              <w:t> </w:t>
            </w:r>
          </w:p>
        </w:tc>
      </w:tr>
      <w:tr>
        <w:trPr/>
        <w:tc>
          <w:tcPr>
            <w:tcW w:w="1310" w:type="dxa"/>
            <w:tcBorders/>
            <w:vAlign w:val="bottom"/>
          </w:tcPr>
          <w:p>
            <w:pPr>
              <w:pStyle w:val="TableContents"/>
              <w:bidi w:val="0"/>
              <w:spacing w:before="0" w:after="0"/>
              <w:ind w:left="468" w:right="0" w:hanging="144"/>
              <w:jc w:val="left"/>
              <w:rPr>
                <w:rFonts w:ascii="Times New Roman" w:hAnsi="Times New Roman"/>
                <w:sz w:val="20"/>
              </w:rPr>
            </w:pPr>
            <w:r>
              <w:rPr>
                <w:rFonts w:ascii="Times New Roman" w:hAnsi="Times New Roman"/>
                <w:sz w:val="20"/>
              </w:rPr>
              <w:t>Total liabilities</w:t>
            </w:r>
          </w:p>
        </w:tc>
        <w:tc>
          <w:tcPr>
            <w:tcW w:w="60" w:type="dxa"/>
            <w:tcBorders/>
            <w:vAlign w:val="bottom"/>
          </w:tcPr>
          <w:p>
            <w:pPr>
              <w:pStyle w:val="TableContents"/>
              <w:bidi w:val="0"/>
              <w:spacing w:before="0" w:after="283"/>
              <w:jc w:val="right"/>
              <w:rPr/>
            </w:pPr>
            <w:r>
              <w:rPr/>
              <w:t> </w:t>
            </w:r>
          </w:p>
        </w:tc>
        <w:tc>
          <w:tcPr>
            <w:tcW w:w="226" w:type="dxa"/>
            <w:tcBorders/>
            <w:vAlign w:val="bottom"/>
          </w:tcPr>
          <w:p>
            <w:pPr>
              <w:pStyle w:val="TableContents"/>
              <w:bidi w:val="0"/>
              <w:spacing w:before="0" w:after="283"/>
              <w:jc w:val="left"/>
              <w:rPr/>
            </w:pPr>
            <w:r>
              <w:rPr/>
              <w:t> </w:t>
            </w:r>
          </w:p>
        </w:tc>
        <w:tc>
          <w:tcPr>
            <w:tcW w:w="126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142,155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1,018,888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1" w:type="dxa"/>
            <w:tcBorders/>
            <w:vAlign w:val="bottom"/>
          </w:tcPr>
          <w:p>
            <w:pPr>
              <w:pStyle w:val="TableContents"/>
              <w:bidi w:val="0"/>
              <w:spacing w:before="0" w:after="283"/>
              <w:jc w:val="left"/>
              <w:rPr/>
            </w:pPr>
            <w:r>
              <w:rPr/>
              <w:t> </w:t>
            </w:r>
          </w:p>
        </w:tc>
        <w:tc>
          <w:tcPr>
            <w:tcW w:w="808"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7,577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1,168,620</w:t>
            </w:r>
          </w:p>
        </w:tc>
        <w:tc>
          <w:tcPr>
            <w:tcW w:w="75" w:type="dxa"/>
            <w:tcBorders/>
            <w:vAlign w:val="bottom"/>
          </w:tcPr>
          <w:p>
            <w:pPr>
              <w:pStyle w:val="TableContents"/>
              <w:bidi w:val="0"/>
              <w:spacing w:before="0" w:after="283"/>
              <w:jc w:val="left"/>
              <w:rPr/>
            </w:pPr>
            <w:r>
              <w:rPr/>
              <w:t> </w:t>
            </w:r>
          </w:p>
        </w:tc>
      </w:tr>
      <w:tr>
        <w:trPr/>
        <w:tc>
          <w:tcPr>
            <w:tcW w:w="1310" w:type="dxa"/>
            <w:tcBorders/>
            <w:shd w:fill="CCEEFF" w:val="clear"/>
            <w:vAlign w:val="bottom"/>
          </w:tcPr>
          <w:p>
            <w:pPr>
              <w:pStyle w:val="TableContents"/>
              <w:bidi w:val="0"/>
              <w:spacing w:before="0" w:after="0"/>
              <w:ind w:left="468" w:right="0" w:hanging="144"/>
              <w:jc w:val="left"/>
              <w:rPr>
                <w:rFonts w:ascii="Times New Roman" w:hAnsi="Times New Roman"/>
                <w:sz w:val="20"/>
              </w:rPr>
            </w:pPr>
            <w:r>
              <w:rPr>
                <w:rFonts w:ascii="Times New Roman" w:hAnsi="Times New Roman"/>
                <w:sz w:val="20"/>
              </w:rPr>
              <w:t>Net Assets</w:t>
            </w:r>
          </w:p>
        </w:tc>
        <w:tc>
          <w:tcPr>
            <w:tcW w:w="60" w:type="dxa"/>
            <w:tcBorders/>
            <w:shd w:fill="CCEEFF" w:val="clear"/>
            <w:vAlign w:val="bottom"/>
          </w:tcPr>
          <w:p>
            <w:pPr>
              <w:pStyle w:val="TableContents"/>
              <w:bidi w:val="0"/>
              <w:spacing w:before="0" w:after="283"/>
              <w:jc w:val="right"/>
              <w:rPr/>
            </w:pPr>
            <w:r>
              <w:rPr/>
              <w:t> </w:t>
            </w:r>
          </w:p>
        </w:tc>
        <w:tc>
          <w:tcPr>
            <w:tcW w:w="22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26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90,025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94,045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0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44,854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228,924</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tbl>
      <w:tblPr>
        <w:tblW w:w="5940" w:type="dxa"/>
        <w:jc w:val="left"/>
        <w:tblInd w:w="0" w:type="dxa"/>
        <w:tblLayout w:type="fixed"/>
        <w:tblCellMar>
          <w:top w:w="0" w:type="dxa"/>
          <w:left w:w="0" w:type="dxa"/>
          <w:bottom w:w="0" w:type="dxa"/>
          <w:right w:w="0" w:type="dxa"/>
        </w:tblCellMar>
      </w:tblPr>
      <w:tblGrid>
        <w:gridCol w:w="1970"/>
        <w:gridCol w:w="60"/>
        <w:gridCol w:w="125"/>
        <w:gridCol w:w="695"/>
        <w:gridCol w:w="60"/>
        <w:gridCol w:w="60"/>
        <w:gridCol w:w="125"/>
        <w:gridCol w:w="845"/>
        <w:gridCol w:w="60"/>
        <w:gridCol w:w="60"/>
        <w:gridCol w:w="125"/>
        <w:gridCol w:w="590"/>
        <w:gridCol w:w="60"/>
        <w:gridCol w:w="60"/>
        <w:gridCol w:w="125"/>
        <w:gridCol w:w="845"/>
        <w:gridCol w:w="75"/>
      </w:tblGrid>
      <w:tr>
        <w:trPr/>
        <w:tc>
          <w:tcPr>
            <w:tcW w:w="1970" w:type="dxa"/>
            <w:tcBorders/>
            <w:shd w:fill="CCEEFF" w:val="clear"/>
            <w:vAlign w:val="bottom"/>
          </w:tcPr>
          <w:p>
            <w:pPr>
              <w:pStyle w:val="TableContents"/>
              <w:bidi w:val="0"/>
              <w:spacing w:before="0" w:after="0"/>
              <w:ind w:left="180" w:right="0" w:hanging="0"/>
              <w:jc w:val="left"/>
              <w:rPr>
                <w:b/>
              </w:rPr>
            </w:pPr>
            <w:r>
              <w:rPr>
                <w:b/>
              </w:rPr>
              <w:t>December 31, 2025</w:t>
            </w:r>
          </w:p>
        </w:tc>
        <w:tc>
          <w:tcPr>
            <w:tcW w:w="60" w:type="dxa"/>
            <w:tcBorders/>
            <w:shd w:fill="CCEEFF" w:val="clear"/>
            <w:vAlign w:val="bottom"/>
          </w:tcPr>
          <w:p>
            <w:pPr>
              <w:pStyle w:val="TableContents"/>
              <w:bidi w:val="0"/>
              <w:spacing w:before="0" w:after="283"/>
              <w:jc w:val="left"/>
              <w:rPr/>
            </w:pPr>
            <w:r>
              <w:rPr/>
              <w:t> </w:t>
            </w:r>
          </w:p>
        </w:tc>
        <w:tc>
          <w:tcPr>
            <w:tcW w:w="820" w:type="dxa"/>
            <w:gridSpan w:val="2"/>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70" w:type="dxa"/>
            <w:gridSpan w:val="2"/>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5" w:type="dxa"/>
            <w:gridSpan w:val="2"/>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70" w:type="dxa"/>
            <w:gridSpan w:val="2"/>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r>
      <w:tr>
        <w:trPr/>
        <w:tc>
          <w:tcPr>
            <w:tcW w:w="1970" w:type="dxa"/>
            <w:tcBorders/>
            <w:vAlign w:val="bottom"/>
          </w:tcPr>
          <w:p>
            <w:pPr>
              <w:pStyle w:val="TableContents"/>
              <w:bidi w:val="0"/>
              <w:spacing w:before="0" w:after="0"/>
              <w:ind w:left="468" w:right="0" w:hanging="144"/>
              <w:jc w:val="left"/>
              <w:rPr>
                <w:rFonts w:ascii="Times New Roman" w:hAnsi="Times New Roman"/>
                <w:sz w:val="20"/>
              </w:rPr>
            </w:pPr>
            <w:r>
              <w:rPr>
                <w:rFonts w:ascii="Times New Roman" w:hAnsi="Times New Roman"/>
                <w:sz w:val="20"/>
              </w:rPr>
              <w:t>Investments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214,831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1,213,851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1,428,682</w:t>
            </w:r>
          </w:p>
        </w:tc>
        <w:tc>
          <w:tcPr>
            <w:tcW w:w="75" w:type="dxa"/>
            <w:tcBorders/>
            <w:vAlign w:val="bottom"/>
          </w:tcPr>
          <w:p>
            <w:pPr>
              <w:pStyle w:val="TableContents"/>
              <w:bidi w:val="0"/>
              <w:spacing w:before="0" w:after="283"/>
              <w:jc w:val="left"/>
              <w:rPr/>
            </w:pPr>
            <w:r>
              <w:rPr/>
              <w:t> </w:t>
            </w:r>
          </w:p>
        </w:tc>
      </w:tr>
      <w:tr>
        <w:trPr/>
        <w:tc>
          <w:tcPr>
            <w:tcW w:w="1970" w:type="dxa"/>
            <w:tcBorders/>
            <w:shd w:fill="CCEEFF" w:val="clear"/>
            <w:vAlign w:val="bottom"/>
          </w:tcPr>
          <w:p>
            <w:pPr>
              <w:pStyle w:val="TableContents"/>
              <w:bidi w:val="0"/>
              <w:spacing w:before="0" w:after="0"/>
              <w:ind w:left="468" w:right="0" w:hanging="144"/>
              <w:jc w:val="left"/>
              <w:rPr>
                <w:rFonts w:ascii="Times New Roman" w:hAnsi="Times New Roman"/>
                <w:sz w:val="20"/>
              </w:rPr>
            </w:pPr>
            <w:r>
              <w:rPr>
                <w:rFonts w:ascii="Times New Roman" w:hAnsi="Times New Roman"/>
                <w:sz w:val="20"/>
              </w:rPr>
              <w:t>Other assets</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28,904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27,293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55,677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111,874</w:t>
            </w:r>
          </w:p>
        </w:tc>
        <w:tc>
          <w:tcPr>
            <w:tcW w:w="75" w:type="dxa"/>
            <w:tcBorders/>
            <w:shd w:fill="CCEEFF" w:val="clear"/>
            <w:vAlign w:val="bottom"/>
          </w:tcPr>
          <w:p>
            <w:pPr>
              <w:pStyle w:val="TableContents"/>
              <w:bidi w:val="0"/>
              <w:spacing w:before="0" w:after="283"/>
              <w:jc w:val="left"/>
              <w:rPr/>
            </w:pPr>
            <w:r>
              <w:rPr/>
              <w:t> </w:t>
            </w:r>
          </w:p>
        </w:tc>
      </w:tr>
      <w:tr>
        <w:trPr/>
        <w:tc>
          <w:tcPr>
            <w:tcW w:w="1970" w:type="dxa"/>
            <w:tcBorders/>
            <w:vAlign w:val="bottom"/>
          </w:tcPr>
          <w:p>
            <w:pPr>
              <w:pStyle w:val="TableContents"/>
              <w:bidi w:val="0"/>
              <w:spacing w:before="0" w:after="0"/>
              <w:ind w:left="468" w:right="0" w:hanging="144"/>
              <w:jc w:val="left"/>
              <w:rPr>
                <w:rFonts w:ascii="Times New Roman" w:hAnsi="Times New Roman"/>
                <w:sz w:val="20"/>
              </w:rPr>
            </w:pPr>
            <w:r>
              <w:rPr>
                <w:rFonts w:ascii="Times New Roman" w:hAnsi="Times New Roman"/>
                <w:sz w:val="20"/>
              </w:rPr>
              <w:t>Total assets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243,735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1,241,144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55,677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1,540,556</w:t>
            </w:r>
          </w:p>
        </w:tc>
        <w:tc>
          <w:tcPr>
            <w:tcW w:w="75" w:type="dxa"/>
            <w:tcBorders/>
            <w:vAlign w:val="bottom"/>
          </w:tcPr>
          <w:p>
            <w:pPr>
              <w:pStyle w:val="TableContents"/>
              <w:bidi w:val="0"/>
              <w:spacing w:before="0" w:after="283"/>
              <w:jc w:val="left"/>
              <w:rPr/>
            </w:pPr>
            <w:r>
              <w:rPr/>
              <w:t> </w:t>
            </w:r>
          </w:p>
        </w:tc>
      </w:tr>
      <w:tr>
        <w:trPr/>
        <w:tc>
          <w:tcPr>
            <w:tcW w:w="1970" w:type="dxa"/>
            <w:tcBorders/>
            <w:shd w:fill="CCEEFF" w:val="clear"/>
            <w:vAlign w:val="bottom"/>
          </w:tcPr>
          <w:p>
            <w:pPr>
              <w:pStyle w:val="TableContents"/>
              <w:bidi w:val="0"/>
              <w:spacing w:before="0" w:after="0"/>
              <w:ind w:left="468" w:right="0" w:hanging="144"/>
              <w:jc w:val="left"/>
              <w:rPr>
                <w:rFonts w:ascii="Times New Roman" w:hAnsi="Times New Roman"/>
                <w:sz w:val="20"/>
              </w:rPr>
            </w:pPr>
            <w:r>
              <w:rPr>
                <w:rFonts w:ascii="Times New Roman" w:hAnsi="Times New Roman"/>
                <w:sz w:val="20"/>
              </w:rPr>
              <w:t>Debt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145,191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1,137,200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1,282,391</w:t>
            </w:r>
          </w:p>
        </w:tc>
        <w:tc>
          <w:tcPr>
            <w:tcW w:w="75" w:type="dxa"/>
            <w:tcBorders/>
            <w:shd w:fill="CCEEFF" w:val="clear"/>
            <w:vAlign w:val="bottom"/>
          </w:tcPr>
          <w:p>
            <w:pPr>
              <w:pStyle w:val="TableContents"/>
              <w:bidi w:val="0"/>
              <w:spacing w:before="0" w:after="283"/>
              <w:jc w:val="left"/>
              <w:rPr/>
            </w:pPr>
            <w:r>
              <w:rPr/>
              <w:t> </w:t>
            </w:r>
          </w:p>
        </w:tc>
      </w:tr>
      <w:tr>
        <w:trPr/>
        <w:tc>
          <w:tcPr>
            <w:tcW w:w="1970" w:type="dxa"/>
            <w:tcBorders/>
            <w:vAlign w:val="bottom"/>
          </w:tcPr>
          <w:p>
            <w:pPr>
              <w:pStyle w:val="TableContents"/>
              <w:bidi w:val="0"/>
              <w:spacing w:before="0" w:after="0"/>
              <w:ind w:left="468" w:right="0" w:hanging="144"/>
              <w:jc w:val="left"/>
              <w:rPr>
                <w:rFonts w:ascii="Times New Roman" w:hAnsi="Times New Roman"/>
                <w:sz w:val="20"/>
              </w:rPr>
            </w:pPr>
            <w:r>
              <w:rPr>
                <w:rFonts w:ascii="Times New Roman" w:hAnsi="Times New Roman"/>
                <w:sz w:val="20"/>
              </w:rPr>
              <w:t>Other liabilities</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2,575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9,504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7,554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19,633</w:t>
            </w:r>
          </w:p>
        </w:tc>
        <w:tc>
          <w:tcPr>
            <w:tcW w:w="75" w:type="dxa"/>
            <w:tcBorders/>
            <w:vAlign w:val="bottom"/>
          </w:tcPr>
          <w:p>
            <w:pPr>
              <w:pStyle w:val="TableContents"/>
              <w:bidi w:val="0"/>
              <w:spacing w:before="0" w:after="283"/>
              <w:jc w:val="left"/>
              <w:rPr/>
            </w:pPr>
            <w:r>
              <w:rPr/>
              <w:t> </w:t>
            </w:r>
          </w:p>
        </w:tc>
      </w:tr>
      <w:tr>
        <w:trPr/>
        <w:tc>
          <w:tcPr>
            <w:tcW w:w="1970" w:type="dxa"/>
            <w:tcBorders/>
            <w:shd w:fill="CCEEFF" w:val="clear"/>
            <w:vAlign w:val="bottom"/>
          </w:tcPr>
          <w:p>
            <w:pPr>
              <w:pStyle w:val="TableContents"/>
              <w:bidi w:val="0"/>
              <w:spacing w:before="0" w:after="0"/>
              <w:ind w:left="468" w:right="0" w:hanging="144"/>
              <w:jc w:val="left"/>
              <w:rPr>
                <w:rFonts w:ascii="Times New Roman" w:hAnsi="Times New Roman"/>
                <w:sz w:val="20"/>
              </w:rPr>
            </w:pPr>
            <w:r>
              <w:rPr>
                <w:rFonts w:ascii="Times New Roman" w:hAnsi="Times New Roman"/>
                <w:sz w:val="20"/>
              </w:rPr>
              <w:t>Total liabilities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147,766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1,146,704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7,554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1,302,024</w:t>
            </w:r>
          </w:p>
        </w:tc>
        <w:tc>
          <w:tcPr>
            <w:tcW w:w="75" w:type="dxa"/>
            <w:tcBorders/>
            <w:shd w:fill="CCEEFF" w:val="clear"/>
            <w:vAlign w:val="bottom"/>
          </w:tcPr>
          <w:p>
            <w:pPr>
              <w:pStyle w:val="TableContents"/>
              <w:bidi w:val="0"/>
              <w:spacing w:before="0" w:after="283"/>
              <w:jc w:val="left"/>
              <w:rPr/>
            </w:pPr>
            <w:r>
              <w:rPr/>
              <w:t> </w:t>
            </w:r>
          </w:p>
        </w:tc>
      </w:tr>
      <w:tr>
        <w:trPr/>
        <w:tc>
          <w:tcPr>
            <w:tcW w:w="1970" w:type="dxa"/>
            <w:tcBorders/>
            <w:vAlign w:val="bottom"/>
          </w:tcPr>
          <w:p>
            <w:pPr>
              <w:pStyle w:val="TableContents"/>
              <w:bidi w:val="0"/>
              <w:spacing w:before="0" w:after="0"/>
              <w:ind w:left="468" w:right="0" w:hanging="144"/>
              <w:jc w:val="left"/>
              <w:rPr>
                <w:rFonts w:ascii="Times New Roman" w:hAnsi="Times New Roman"/>
                <w:sz w:val="20"/>
              </w:rPr>
            </w:pPr>
            <w:r>
              <w:rPr>
                <w:rFonts w:ascii="Times New Roman" w:hAnsi="Times New Roman"/>
                <w:sz w:val="20"/>
              </w:rPr>
              <w:t>Net Assets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95,969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94,440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48,123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238,532</w:t>
            </w:r>
          </w:p>
        </w:tc>
        <w:tc>
          <w:tcPr>
            <w:tcW w:w="75"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18</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Note 4 — Investments in RMBS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At June 30, 2026 and December 31, 2025, the Company’s investments in RMBS consisted solely of Agency RMBS. The Company’s investments in RMBS may also include, from time to time, any of the following: Collateralized mortgage obligations (“CMOs”), which are either loss share securities issued by Fannie Mae or Freddie Mac; or non-Agency RMBS, sometimes called “private label MBS”, which are structured debt instruments representing interests in specified pools of mortgage loans subdivided into multiple classes, or tranches, of securities, with each tranche having different maturities or risk profiles and different ratings by one or more nationally recognized statistical rating organizations.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following is a summary of the Company’s investments in RMBS as of the dates indicated (dollars in thousands):</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Summary of RMBS Assets</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As of June 30, 2026</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83"/>
        <w:gridCol w:w="60"/>
        <w:gridCol w:w="125"/>
        <w:gridCol w:w="845"/>
        <w:gridCol w:w="60"/>
        <w:gridCol w:w="60"/>
        <w:gridCol w:w="125"/>
        <w:gridCol w:w="845"/>
        <w:gridCol w:w="60"/>
        <w:gridCol w:w="60"/>
        <w:gridCol w:w="125"/>
        <w:gridCol w:w="590"/>
        <w:gridCol w:w="60"/>
        <w:gridCol w:w="60"/>
        <w:gridCol w:w="125"/>
        <w:gridCol w:w="635"/>
        <w:gridCol w:w="95"/>
        <w:gridCol w:w="60"/>
        <w:gridCol w:w="125"/>
        <w:gridCol w:w="845"/>
        <w:gridCol w:w="60"/>
        <w:gridCol w:w="60"/>
        <w:gridCol w:w="128"/>
        <w:gridCol w:w="717"/>
        <w:gridCol w:w="60"/>
        <w:gridCol w:w="590"/>
        <w:gridCol w:w="60"/>
        <w:gridCol w:w="81"/>
        <w:gridCol w:w="599"/>
        <w:gridCol w:w="215"/>
        <w:gridCol w:w="60"/>
        <w:gridCol w:w="63"/>
        <w:gridCol w:w="467"/>
        <w:gridCol w:w="215"/>
        <w:gridCol w:w="60"/>
        <w:gridCol w:w="147"/>
        <w:gridCol w:w="638"/>
        <w:gridCol w:w="242"/>
      </w:tblGrid>
      <w:tr>
        <w:trPr/>
        <w:tc>
          <w:tcPr>
            <w:tcW w:w="78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7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5"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Gross Unrealized</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195" w:type="dxa"/>
            <w:gridSpan w:val="1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Weighted Average</w:t>
            </w:r>
          </w:p>
        </w:tc>
        <w:tc>
          <w:tcPr>
            <w:tcW w:w="242" w:type="dxa"/>
            <w:tcBorders/>
            <w:vAlign w:val="bottom"/>
          </w:tcPr>
          <w:p>
            <w:pPr>
              <w:pStyle w:val="TableContents"/>
              <w:bidi w:val="0"/>
              <w:spacing w:before="0" w:after="283"/>
              <w:jc w:val="left"/>
              <w:rPr/>
            </w:pPr>
            <w:r>
              <w:rPr/>
              <w:t> </w:t>
            </w:r>
          </w:p>
        </w:tc>
      </w:tr>
      <w:tr>
        <w:trPr/>
        <w:tc>
          <w:tcPr>
            <w:tcW w:w="783" w:type="dxa"/>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Asset Type</w:t>
            </w:r>
          </w:p>
        </w:tc>
        <w:tc>
          <w:tcPr>
            <w:tcW w:w="60" w:type="dxa"/>
            <w:tcBorders/>
            <w:vAlign w:val="bottom"/>
          </w:tcPr>
          <w:p>
            <w:pPr>
              <w:pStyle w:val="TableContents"/>
              <w:bidi w:val="0"/>
              <w:spacing w:before="0" w:after="283"/>
              <w:jc w:val="left"/>
              <w:rPr/>
            </w:pPr>
            <w:r>
              <w:rPr/>
              <w:t> </w:t>
            </w:r>
          </w:p>
        </w:tc>
        <w:tc>
          <w:tcPr>
            <w:tcW w:w="97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Original</w:t>
            </w:r>
          </w:p>
          <w:p>
            <w:pPr>
              <w:pStyle w:val="TableContents"/>
              <w:bidi w:val="0"/>
              <w:spacing w:before="0" w:after="0"/>
              <w:jc w:val="center"/>
              <w:rPr>
                <w:rFonts w:ascii="Times New Roman" w:hAnsi="Times New Roman"/>
                <w:b/>
                <w:sz w:val="20"/>
              </w:rPr>
            </w:pPr>
            <w:r>
              <w:rPr>
                <w:rFonts w:ascii="Times New Roman" w:hAnsi="Times New Roman"/>
                <w:b/>
                <w:sz w:val="20"/>
              </w:rPr>
              <w:t>Face</w:t>
            </w:r>
          </w:p>
          <w:p>
            <w:pPr>
              <w:pStyle w:val="TableContents"/>
              <w:bidi w:val="0"/>
              <w:spacing w:before="0" w:after="0"/>
              <w:jc w:val="center"/>
              <w:rPr>
                <w:rFonts w:ascii="Times New Roman" w:hAnsi="Times New Roman"/>
                <w:b/>
                <w:sz w:val="20"/>
              </w:rPr>
            </w:pPr>
            <w:r>
              <w:rPr>
                <w:rFonts w:ascii="Times New Roman" w:hAnsi="Times New Roman"/>
                <w:b/>
                <w:sz w:val="20"/>
              </w:rPr>
              <w:t>Value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Book</w:t>
            </w:r>
          </w:p>
          <w:p>
            <w:pPr>
              <w:pStyle w:val="TableContents"/>
              <w:bidi w:val="0"/>
              <w:spacing w:before="0" w:after="0"/>
              <w:jc w:val="center"/>
              <w:rPr>
                <w:rFonts w:ascii="Times New Roman" w:hAnsi="Times New Roman"/>
                <w:b/>
                <w:sz w:val="20"/>
              </w:rPr>
            </w:pPr>
            <w:r>
              <w:rPr>
                <w:rFonts w:ascii="Times New Roman" w:hAnsi="Times New Roman"/>
                <w:b/>
                <w:sz w:val="20"/>
              </w:rPr>
              <w:t>Value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Gains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Losses</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Carrying</w:t>
            </w:r>
          </w:p>
          <w:p>
            <w:pPr>
              <w:pStyle w:val="TableContents"/>
              <w:bidi w:val="0"/>
              <w:spacing w:before="0" w:after="0"/>
              <w:jc w:val="center"/>
              <w:rPr>
                <w:rFonts w:ascii="Times New Roman" w:hAnsi="Times New Roman"/>
                <w:b/>
                <w:sz w:val="20"/>
              </w:rPr>
            </w:pPr>
            <w:r>
              <w:rPr>
                <w:rFonts w:ascii="Times New Roman" w:hAnsi="Times New Roman"/>
                <w:b/>
                <w:sz w:val="20"/>
              </w:rPr>
              <w:t>Value</w:t>
            </w:r>
            <w:r>
              <w:rPr>
                <w:rFonts w:ascii="Times New Roman" w:hAnsi="Times New Roman"/>
                <w:b/>
                <w:i w:val="false"/>
                <w:caps w:val="false"/>
                <w:smallCaps w:val="false"/>
                <w:position w:val="7"/>
                <w:sz w:val="16"/>
                <w:sz w:val="20"/>
              </w:rPr>
              <w:t>(A)</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Number of</w:t>
            </w:r>
          </w:p>
          <w:p>
            <w:pPr>
              <w:pStyle w:val="TableContents"/>
              <w:bidi w:val="0"/>
              <w:spacing w:before="0" w:after="0"/>
              <w:jc w:val="center"/>
              <w:rPr>
                <w:rFonts w:ascii="Times New Roman" w:hAnsi="Times New Roman"/>
                <w:b/>
                <w:sz w:val="20"/>
              </w:rPr>
            </w:pPr>
            <w:r>
              <w:rPr>
                <w:rFonts w:ascii="Times New Roman" w:hAnsi="Times New Roman"/>
                <w:b/>
                <w:sz w:val="20"/>
              </w:rPr>
              <w:t>Securities</w:t>
            </w:r>
          </w:p>
        </w:tc>
        <w:tc>
          <w:tcPr>
            <w:tcW w:w="60" w:type="dxa"/>
            <w:tcBorders/>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Rating</w:t>
            </w:r>
          </w:p>
        </w:tc>
        <w:tc>
          <w:tcPr>
            <w:tcW w:w="60" w:type="dxa"/>
            <w:tcBorders/>
            <w:vAlign w:val="bottom"/>
          </w:tcPr>
          <w:p>
            <w:pPr>
              <w:pStyle w:val="TableContents"/>
              <w:bidi w:val="0"/>
              <w:spacing w:before="0" w:after="283"/>
              <w:jc w:val="left"/>
              <w:rPr/>
            </w:pPr>
            <w:r>
              <w:rPr/>
              <w:t> </w:t>
            </w:r>
          </w:p>
        </w:tc>
        <w:tc>
          <w:tcPr>
            <w:tcW w:w="68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Coupon</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Yield</w:t>
            </w:r>
            <w:r>
              <w:rPr>
                <w:rFonts w:ascii="Times New Roman" w:hAnsi="Times New Roman"/>
                <w:b/>
                <w:i w:val="false"/>
                <w:caps w:val="false"/>
                <w:smallCaps w:val="false"/>
                <w:position w:val="7"/>
                <w:sz w:val="16"/>
                <w:sz w:val="20"/>
              </w:rPr>
              <w:t>(C)</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Maturity</w:t>
            </w:r>
          </w:p>
          <w:p>
            <w:pPr>
              <w:pStyle w:val="TableContents"/>
              <w:bidi w:val="0"/>
              <w:spacing w:before="0" w:after="0"/>
              <w:jc w:val="center"/>
              <w:rPr>
                <w:rFonts w:ascii="Times New Roman" w:hAnsi="Times New Roman"/>
                <w:b/>
                <w:sz w:val="20"/>
              </w:rPr>
            </w:pPr>
            <w:r>
              <w:rPr>
                <w:rFonts w:ascii="Times New Roman" w:hAnsi="Times New Roman"/>
                <w:b/>
                <w:sz w:val="20"/>
              </w:rPr>
              <w:t>(Years)</w:t>
            </w:r>
          </w:p>
        </w:tc>
        <w:tc>
          <w:tcPr>
            <w:tcW w:w="242" w:type="dxa"/>
            <w:tcBorders/>
            <w:vAlign w:val="bottom"/>
          </w:tcPr>
          <w:p>
            <w:pPr>
              <w:pStyle w:val="TableContents"/>
              <w:bidi w:val="0"/>
              <w:spacing w:before="0" w:after="283"/>
              <w:jc w:val="left"/>
              <w:rPr/>
            </w:pPr>
            <w:r>
              <w:rPr/>
              <w:t> </w:t>
            </w:r>
          </w:p>
        </w:tc>
      </w:tr>
      <w:tr>
        <w:trPr/>
        <w:tc>
          <w:tcPr>
            <w:tcW w:w="783" w:type="dxa"/>
            <w:tcBorders/>
            <w:shd w:fill="CCEEFF" w:val="clear"/>
            <w:vAlign w:val="bottom"/>
          </w:tcPr>
          <w:p>
            <w:pPr>
              <w:pStyle w:val="TableContents"/>
              <w:bidi w:val="0"/>
              <w:spacing w:before="0" w:after="0"/>
              <w:ind w:left="180" w:right="0" w:hanging="180"/>
              <w:jc w:val="left"/>
              <w:rPr>
                <w:rFonts w:ascii="Times New Roman" w:hAnsi="Times New Roman"/>
                <w:b/>
                <w:sz w:val="20"/>
              </w:rPr>
            </w:pPr>
            <w:r>
              <w:rPr>
                <w:rFonts w:ascii="Times New Roman" w:hAnsi="Times New Roman"/>
                <w:b/>
                <w:sz w:val="20"/>
              </w:rPr>
              <w:t>RMBS, available-for-sale, measured at fair value through OCI</w:t>
            </w:r>
          </w:p>
        </w:tc>
        <w:tc>
          <w:tcPr>
            <w:tcW w:w="60" w:type="dxa"/>
            <w:tcBorders/>
            <w:shd w:fill="CCEEFF" w:val="clear"/>
            <w:vAlign w:val="bottom"/>
          </w:tcPr>
          <w:p>
            <w:pPr>
              <w:pStyle w:val="TableContents"/>
              <w:bidi w:val="0"/>
              <w:spacing w:before="0" w:after="283"/>
              <w:jc w:val="left"/>
              <w:rPr/>
            </w:pPr>
            <w:r>
              <w:rPr/>
              <w:t> </w:t>
            </w:r>
          </w:p>
        </w:tc>
        <w:tc>
          <w:tcPr>
            <w:tcW w:w="970" w:type="dxa"/>
            <w:gridSpan w:val="2"/>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70" w:type="dxa"/>
            <w:gridSpan w:val="2"/>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5" w:type="dxa"/>
            <w:gridSpan w:val="2"/>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0" w:type="dxa"/>
            <w:gridSpan w:val="2"/>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70" w:type="dxa"/>
            <w:gridSpan w:val="2"/>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5" w:type="dxa"/>
            <w:gridSpan w:val="2"/>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gridSpan w:val="2"/>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30" w:type="dxa"/>
            <w:gridSpan w:val="2"/>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5" w:type="dxa"/>
            <w:gridSpan w:val="2"/>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r>
      <w:tr>
        <w:trPr/>
        <w:tc>
          <w:tcPr>
            <w:tcW w:w="783" w:type="dxa"/>
            <w:tcBorders/>
            <w:vAlign w:val="bottom"/>
          </w:tcPr>
          <w:p>
            <w:pPr>
              <w:pStyle w:val="TableContents"/>
              <w:bidi w:val="0"/>
              <w:spacing w:before="0" w:after="0"/>
              <w:ind w:left="1051" w:right="0" w:hanging="907"/>
              <w:jc w:val="left"/>
              <w:rPr>
                <w:rFonts w:ascii="Times New Roman" w:hAnsi="Times New Roman"/>
                <w:sz w:val="20"/>
              </w:rPr>
            </w:pPr>
            <w:r>
              <w:rPr>
                <w:rFonts w:ascii="Times New Roman" w:hAnsi="Times New Roman"/>
                <w:sz w:val="20"/>
              </w:rPr>
              <w:t>Fannie Mae</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125,830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88,167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1,799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3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(72</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89,894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8" w:type="dxa"/>
            <w:tcBorders/>
            <w:vAlign w:val="bottom"/>
          </w:tcPr>
          <w:p>
            <w:pPr>
              <w:pStyle w:val="TableContents"/>
              <w:bidi w:val="0"/>
              <w:spacing w:before="0" w:after="283"/>
              <w:jc w:val="left"/>
              <w:rPr/>
            </w:pPr>
            <w:r>
              <w:rPr/>
              <w:t> </w:t>
            </w:r>
          </w:p>
        </w:tc>
        <w:tc>
          <w:tcPr>
            <w:tcW w:w="71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9</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center"/>
              <w:rPr>
                <w:rFonts w:ascii="Times New Roman" w:hAnsi="Times New Roman"/>
                <w:sz w:val="20"/>
              </w:rPr>
            </w:pPr>
            <w:r>
              <w:rPr>
                <w:rFonts w:ascii="Times New Roman" w:hAnsi="Times New Roman"/>
                <w:sz w:val="20"/>
              </w:rPr>
              <w:t>(B)</w:t>
            </w:r>
          </w:p>
        </w:tc>
        <w:tc>
          <w:tcPr>
            <w:tcW w:w="60" w:type="dxa"/>
            <w:tcBorders/>
            <w:vAlign w:val="bottom"/>
          </w:tcPr>
          <w:p>
            <w:pPr>
              <w:pStyle w:val="TableContents"/>
              <w:bidi w:val="0"/>
              <w:spacing w:before="0" w:after="283"/>
              <w:jc w:val="right"/>
              <w:rPr/>
            </w:pPr>
            <w:r>
              <w:rPr/>
              <w:t> </w:t>
            </w:r>
          </w:p>
        </w:tc>
        <w:tc>
          <w:tcPr>
            <w:tcW w:w="81" w:type="dxa"/>
            <w:tcBorders/>
            <w:vAlign w:val="bottom"/>
          </w:tcPr>
          <w:p>
            <w:pPr>
              <w:pStyle w:val="TableContents"/>
              <w:bidi w:val="0"/>
              <w:spacing w:before="0" w:after="283"/>
              <w:jc w:val="left"/>
              <w:rPr/>
            </w:pPr>
            <w:r>
              <w:rPr/>
              <w:t> </w:t>
            </w:r>
          </w:p>
        </w:tc>
        <w:tc>
          <w:tcPr>
            <w:tcW w:w="59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5.00</w:t>
            </w:r>
          </w:p>
        </w:tc>
        <w:tc>
          <w:tcPr>
            <w:tcW w:w="21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63" w:type="dxa"/>
            <w:tcBorders/>
            <w:vAlign w:val="bottom"/>
          </w:tcPr>
          <w:p>
            <w:pPr>
              <w:pStyle w:val="TableContents"/>
              <w:bidi w:val="0"/>
              <w:spacing w:before="0" w:after="283"/>
              <w:jc w:val="left"/>
              <w:rPr/>
            </w:pPr>
            <w:r>
              <w:rPr/>
              <w:t> </w:t>
            </w:r>
          </w:p>
        </w:tc>
        <w:tc>
          <w:tcPr>
            <w:tcW w:w="46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5.12</w:t>
            </w:r>
          </w:p>
        </w:tc>
        <w:tc>
          <w:tcPr>
            <w:tcW w:w="21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47" w:type="dxa"/>
            <w:tcBorders/>
            <w:vAlign w:val="bottom"/>
          </w:tcPr>
          <w:p>
            <w:pPr>
              <w:pStyle w:val="TableContents"/>
              <w:bidi w:val="0"/>
              <w:spacing w:before="0" w:after="283"/>
              <w:jc w:val="left"/>
              <w:rPr/>
            </w:pPr>
            <w:r>
              <w:rPr/>
              <w:t> </w:t>
            </w:r>
          </w:p>
        </w:tc>
        <w:tc>
          <w:tcPr>
            <w:tcW w:w="638"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26</w:t>
            </w:r>
          </w:p>
        </w:tc>
        <w:tc>
          <w:tcPr>
            <w:tcW w:w="242" w:type="dxa"/>
            <w:tcBorders/>
            <w:vAlign w:val="bottom"/>
          </w:tcPr>
          <w:p>
            <w:pPr>
              <w:pStyle w:val="TableContents"/>
              <w:bidi w:val="0"/>
              <w:spacing w:before="0" w:after="283"/>
              <w:jc w:val="left"/>
              <w:rPr/>
            </w:pPr>
            <w:r>
              <w:rPr/>
              <w:t> </w:t>
            </w:r>
          </w:p>
        </w:tc>
      </w:tr>
      <w:tr>
        <w:trPr/>
        <w:tc>
          <w:tcPr>
            <w:tcW w:w="783" w:type="dxa"/>
            <w:tcBorders/>
            <w:shd w:fill="CCEEFF" w:val="clear"/>
            <w:vAlign w:val="bottom"/>
          </w:tcPr>
          <w:p>
            <w:pPr>
              <w:pStyle w:val="TableContents"/>
              <w:bidi w:val="0"/>
              <w:spacing w:before="0" w:after="0"/>
              <w:ind w:left="1051" w:right="0" w:hanging="907"/>
              <w:jc w:val="left"/>
              <w:rPr>
                <w:rFonts w:ascii="Times New Roman" w:hAnsi="Times New Roman"/>
                <w:sz w:val="20"/>
              </w:rPr>
            </w:pPr>
            <w:r>
              <w:rPr>
                <w:rFonts w:ascii="Times New Roman" w:hAnsi="Times New Roman"/>
                <w:sz w:val="20"/>
              </w:rPr>
              <w:t>Freddie Mac</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99,397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70,346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588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(503</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70,431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8" w:type="dxa"/>
            <w:tcBorders/>
            <w:shd w:fill="CCEEFF" w:val="clear"/>
            <w:vAlign w:val="bottom"/>
          </w:tcPr>
          <w:p>
            <w:pPr>
              <w:pStyle w:val="TableContents"/>
              <w:bidi w:val="0"/>
              <w:spacing w:before="0" w:after="283"/>
              <w:jc w:val="left"/>
              <w:rPr/>
            </w:pPr>
            <w:r>
              <w:rPr/>
              <w:t> </w:t>
            </w:r>
          </w:p>
        </w:tc>
        <w:tc>
          <w:tcPr>
            <w:tcW w:w="71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8</w:t>
            </w:r>
          </w:p>
        </w:tc>
        <w:tc>
          <w:tcPr>
            <w:tcW w:w="6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center"/>
              <w:rPr>
                <w:rFonts w:ascii="Times New Roman" w:hAnsi="Times New Roman"/>
                <w:sz w:val="20"/>
              </w:rPr>
            </w:pPr>
            <w:r>
              <w:rPr>
                <w:rFonts w:ascii="Times New Roman" w:hAnsi="Times New Roman"/>
                <w:sz w:val="20"/>
              </w:rPr>
              <w:t>(B)</w:t>
            </w:r>
          </w:p>
        </w:tc>
        <w:tc>
          <w:tcPr>
            <w:tcW w:w="60" w:type="dxa"/>
            <w:tcBorders/>
            <w:shd w:fill="CCEEFF" w:val="clear"/>
            <w:vAlign w:val="bottom"/>
          </w:tcPr>
          <w:p>
            <w:pPr>
              <w:pStyle w:val="TableContents"/>
              <w:bidi w:val="0"/>
              <w:spacing w:before="0" w:after="283"/>
              <w:jc w:val="right"/>
              <w:rPr/>
            </w:pPr>
            <w:r>
              <w:rPr/>
              <w:t> </w:t>
            </w:r>
          </w:p>
        </w:tc>
        <w:tc>
          <w:tcPr>
            <w:tcW w:w="81" w:type="dxa"/>
            <w:tcBorders/>
            <w:shd w:fill="CCEEFF" w:val="clear"/>
            <w:vAlign w:val="bottom"/>
          </w:tcPr>
          <w:p>
            <w:pPr>
              <w:pStyle w:val="TableContents"/>
              <w:bidi w:val="0"/>
              <w:spacing w:before="0" w:after="283"/>
              <w:jc w:val="left"/>
              <w:rPr/>
            </w:pPr>
            <w:r>
              <w:rPr/>
              <w:t> </w:t>
            </w:r>
          </w:p>
        </w:tc>
        <w:tc>
          <w:tcPr>
            <w:tcW w:w="59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4.94</w:t>
            </w:r>
          </w:p>
        </w:tc>
        <w:tc>
          <w:tcPr>
            <w:tcW w:w="21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c>
          <w:tcPr>
            <w:tcW w:w="46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4.99</w:t>
            </w:r>
          </w:p>
        </w:tc>
        <w:tc>
          <w:tcPr>
            <w:tcW w:w="21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47" w:type="dxa"/>
            <w:tcBorders/>
            <w:shd w:fill="CCEEFF" w:val="clear"/>
            <w:vAlign w:val="bottom"/>
          </w:tcPr>
          <w:p>
            <w:pPr>
              <w:pStyle w:val="TableContents"/>
              <w:bidi w:val="0"/>
              <w:spacing w:before="0" w:after="283"/>
              <w:jc w:val="left"/>
              <w:rPr/>
            </w:pPr>
            <w:r>
              <w:rPr/>
              <w:t> </w:t>
            </w:r>
          </w:p>
        </w:tc>
        <w:tc>
          <w:tcPr>
            <w:tcW w:w="63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26</w:t>
            </w:r>
          </w:p>
        </w:tc>
        <w:tc>
          <w:tcPr>
            <w:tcW w:w="242" w:type="dxa"/>
            <w:tcBorders/>
            <w:shd w:fill="CCEEFF" w:val="clear"/>
            <w:vAlign w:val="bottom"/>
          </w:tcPr>
          <w:p>
            <w:pPr>
              <w:pStyle w:val="TableContents"/>
              <w:bidi w:val="0"/>
              <w:spacing w:before="0" w:after="283"/>
              <w:jc w:val="left"/>
              <w:rPr/>
            </w:pPr>
            <w:r>
              <w:rPr/>
              <w:t> </w:t>
            </w:r>
          </w:p>
        </w:tc>
      </w:tr>
      <w:tr>
        <w:trPr/>
        <w:tc>
          <w:tcPr>
            <w:tcW w:w="783" w:type="dxa"/>
            <w:tcBorders/>
            <w:vAlign w:val="bottom"/>
          </w:tcPr>
          <w:p>
            <w:pPr>
              <w:pStyle w:val="TableContents"/>
              <w:bidi w:val="0"/>
              <w:spacing w:before="0" w:after="0"/>
              <w:ind w:left="180" w:right="0" w:hanging="180"/>
              <w:jc w:val="left"/>
              <w:rPr>
                <w:b/>
              </w:rPr>
            </w:pPr>
            <w:r>
              <w:rPr>
                <w:b/>
              </w:rPr>
              <w:t xml:space="preserve">RMBS, measured at fair value through earnings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8" w:type="dxa"/>
            <w:tcBorders/>
            <w:vAlign w:val="bottom"/>
          </w:tcPr>
          <w:p>
            <w:pPr>
              <w:pStyle w:val="TableContents"/>
              <w:bidi w:val="0"/>
              <w:spacing w:before="0" w:after="283"/>
              <w:jc w:val="left"/>
              <w:rPr/>
            </w:pPr>
            <w:r>
              <w:rPr/>
              <w:t> </w:t>
            </w:r>
          </w:p>
        </w:tc>
        <w:tc>
          <w:tcPr>
            <w:tcW w:w="71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81" w:type="dxa"/>
            <w:tcBorders/>
            <w:vAlign w:val="bottom"/>
          </w:tcPr>
          <w:p>
            <w:pPr>
              <w:pStyle w:val="TableContents"/>
              <w:bidi w:val="0"/>
              <w:spacing w:before="0" w:after="283"/>
              <w:jc w:val="left"/>
              <w:rPr/>
            </w:pPr>
            <w:r>
              <w:rPr/>
              <w:t> </w:t>
            </w:r>
          </w:p>
        </w:tc>
        <w:tc>
          <w:tcPr>
            <w:tcW w:w="599"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3" w:type="dxa"/>
            <w:tcBorders/>
            <w:vAlign w:val="bottom"/>
          </w:tcPr>
          <w:p>
            <w:pPr>
              <w:pStyle w:val="TableContents"/>
              <w:bidi w:val="0"/>
              <w:spacing w:before="0" w:after="283"/>
              <w:jc w:val="left"/>
              <w:rPr/>
            </w:pPr>
            <w:r>
              <w:rPr/>
              <w:t> </w:t>
            </w:r>
          </w:p>
        </w:tc>
        <w:tc>
          <w:tcPr>
            <w:tcW w:w="467"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7" w:type="dxa"/>
            <w:tcBorders/>
            <w:vAlign w:val="bottom"/>
          </w:tcPr>
          <w:p>
            <w:pPr>
              <w:pStyle w:val="TableContents"/>
              <w:bidi w:val="0"/>
              <w:spacing w:before="0" w:after="283"/>
              <w:jc w:val="left"/>
              <w:rPr/>
            </w:pPr>
            <w:r>
              <w:rPr/>
              <w:t> </w:t>
            </w:r>
          </w:p>
        </w:tc>
        <w:tc>
          <w:tcPr>
            <w:tcW w:w="638" w:type="dxa"/>
            <w:tcBorders/>
            <w:vAlign w:val="bottom"/>
          </w:tcPr>
          <w:p>
            <w:pPr>
              <w:pStyle w:val="TableContents"/>
              <w:bidi w:val="0"/>
              <w:spacing w:before="0" w:after="283"/>
              <w:jc w:val="right"/>
              <w:rPr/>
            </w:pPr>
            <w:r>
              <w:rPr/>
              <w:t> </w:t>
            </w:r>
          </w:p>
        </w:tc>
        <w:tc>
          <w:tcPr>
            <w:tcW w:w="242" w:type="dxa"/>
            <w:tcBorders/>
            <w:vAlign w:val="bottom"/>
          </w:tcPr>
          <w:p>
            <w:pPr>
              <w:pStyle w:val="TableContents"/>
              <w:bidi w:val="0"/>
              <w:spacing w:before="0" w:after="283"/>
              <w:jc w:val="left"/>
              <w:rPr/>
            </w:pPr>
            <w:r>
              <w:rPr/>
              <w:t> </w:t>
            </w:r>
          </w:p>
        </w:tc>
      </w:tr>
      <w:tr>
        <w:trPr/>
        <w:tc>
          <w:tcPr>
            <w:tcW w:w="783" w:type="dxa"/>
            <w:tcBorders/>
            <w:shd w:fill="CCEEFF" w:val="clear"/>
            <w:vAlign w:val="bottom"/>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Fannie Mae</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457,173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377,824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5,913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(1,332</w:t>
            </w:r>
          </w:p>
        </w:tc>
        <w:tc>
          <w:tcPr>
            <w:tcW w:w="95" w:type="dxa"/>
            <w:tcBorders/>
            <w:shd w:fill="CCEEFF" w:val="clear"/>
            <w:vAlign w:val="bottom"/>
          </w:tcPr>
          <w:p>
            <w:pPr>
              <w:pStyle w:val="TableContents"/>
              <w:bidi w:val="0"/>
              <w:spacing w:before="0" w:after="283"/>
              <w:jc w:val="left"/>
              <w:rPr/>
            </w:pPr>
            <w:r>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382,405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8" w:type="dxa"/>
            <w:tcBorders/>
            <w:shd w:fill="CCEEFF" w:val="clear"/>
            <w:vAlign w:val="bottom"/>
          </w:tcPr>
          <w:p>
            <w:pPr>
              <w:pStyle w:val="TableContents"/>
              <w:bidi w:val="0"/>
              <w:spacing w:before="0" w:after="283"/>
              <w:jc w:val="left"/>
              <w:rPr/>
            </w:pPr>
            <w:r>
              <w:rPr/>
              <w:t> </w:t>
            </w:r>
          </w:p>
        </w:tc>
        <w:tc>
          <w:tcPr>
            <w:tcW w:w="717" w:type="dxa"/>
            <w:tcBorders/>
            <w:shd w:fill="CCEEFF" w:val="clear"/>
            <w:vAlign w:val="bottom"/>
          </w:tcPr>
          <w:p>
            <w:pPr>
              <w:pStyle w:val="TableContents"/>
              <w:bidi w:val="0"/>
              <w:spacing w:before="0" w:after="283"/>
              <w:jc w:val="right"/>
              <w:rPr/>
            </w:pPr>
            <w:r>
              <w:rPr/>
              <w:t>34</w:t>
            </w:r>
          </w:p>
        </w:tc>
        <w:tc>
          <w:tcPr>
            <w:tcW w:w="6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center"/>
              <w:rPr/>
            </w:pPr>
            <w:r>
              <w:rPr/>
              <w:t> </w:t>
            </w:r>
            <w:r>
              <w:rPr/>
              <w:t>(B)</w:t>
            </w:r>
          </w:p>
        </w:tc>
        <w:tc>
          <w:tcPr>
            <w:tcW w:w="60" w:type="dxa"/>
            <w:tcBorders/>
            <w:shd w:fill="CCEEFF" w:val="clear"/>
            <w:vAlign w:val="bottom"/>
          </w:tcPr>
          <w:p>
            <w:pPr>
              <w:pStyle w:val="TableContents"/>
              <w:bidi w:val="0"/>
              <w:spacing w:before="0" w:after="283"/>
              <w:jc w:val="right"/>
              <w:rPr/>
            </w:pPr>
            <w:r>
              <w:rPr/>
              <w:t> </w:t>
            </w:r>
          </w:p>
        </w:tc>
        <w:tc>
          <w:tcPr>
            <w:tcW w:w="81" w:type="dxa"/>
            <w:tcBorders/>
            <w:shd w:fill="CCEEFF" w:val="clear"/>
            <w:vAlign w:val="bottom"/>
          </w:tcPr>
          <w:p>
            <w:pPr>
              <w:pStyle w:val="TableContents"/>
              <w:bidi w:val="0"/>
              <w:spacing w:before="0" w:after="283"/>
              <w:jc w:val="left"/>
              <w:rPr/>
            </w:pPr>
            <w:r>
              <w:rPr/>
              <w:t> </w:t>
            </w:r>
          </w:p>
        </w:tc>
        <w:tc>
          <w:tcPr>
            <w:tcW w:w="599" w:type="dxa"/>
            <w:tcBorders/>
            <w:shd w:fill="CCEEFF" w:val="clear"/>
            <w:vAlign w:val="bottom"/>
          </w:tcPr>
          <w:p>
            <w:pPr>
              <w:pStyle w:val="TableContents"/>
              <w:bidi w:val="0"/>
              <w:spacing w:before="0" w:after="283"/>
              <w:jc w:val="right"/>
              <w:rPr/>
            </w:pPr>
            <w:r>
              <w:rPr/>
              <w:t>5.04</w:t>
            </w:r>
          </w:p>
        </w:tc>
        <w:tc>
          <w:tcPr>
            <w:tcW w:w="215" w:type="dxa"/>
            <w:tcBorders/>
            <w:shd w:fill="CCEEFF" w:val="clear"/>
            <w:vAlign w:val="bottom"/>
          </w:tcPr>
          <w:p>
            <w:pPr>
              <w:pStyle w:val="TableContents"/>
              <w:bidi w:val="0"/>
              <w:spacing w:before="0" w:after="283"/>
              <w:jc w:val="left"/>
              <w:rPr/>
            </w:pPr>
            <w:r>
              <w:rPr/>
              <w:t>%</w:t>
            </w:r>
          </w:p>
        </w:tc>
        <w:tc>
          <w:tcPr>
            <w:tcW w:w="60"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c>
          <w:tcPr>
            <w:tcW w:w="467" w:type="dxa"/>
            <w:tcBorders/>
            <w:shd w:fill="CCEEFF" w:val="clear"/>
            <w:vAlign w:val="bottom"/>
          </w:tcPr>
          <w:p>
            <w:pPr>
              <w:pStyle w:val="TableContents"/>
              <w:bidi w:val="0"/>
              <w:spacing w:before="0" w:after="283"/>
              <w:jc w:val="right"/>
              <w:rPr/>
            </w:pPr>
            <w:r>
              <w:rPr/>
              <w:t>5.13</w:t>
            </w:r>
          </w:p>
        </w:tc>
        <w:tc>
          <w:tcPr>
            <w:tcW w:w="215" w:type="dxa"/>
            <w:tcBorders/>
            <w:shd w:fill="CCEEFF" w:val="clear"/>
            <w:vAlign w:val="bottom"/>
          </w:tcPr>
          <w:p>
            <w:pPr>
              <w:pStyle w:val="TableContents"/>
              <w:bidi w:val="0"/>
              <w:spacing w:before="0" w:after="283"/>
              <w:jc w:val="left"/>
              <w:rPr/>
            </w:pPr>
            <w:r>
              <w:rPr/>
              <w:t>%</w:t>
            </w:r>
          </w:p>
        </w:tc>
        <w:tc>
          <w:tcPr>
            <w:tcW w:w="60" w:type="dxa"/>
            <w:tcBorders/>
            <w:shd w:fill="CCEEFF" w:val="clear"/>
            <w:vAlign w:val="bottom"/>
          </w:tcPr>
          <w:p>
            <w:pPr>
              <w:pStyle w:val="TableContents"/>
              <w:bidi w:val="0"/>
              <w:spacing w:before="0" w:after="283"/>
              <w:jc w:val="right"/>
              <w:rPr/>
            </w:pPr>
            <w:r>
              <w:rPr/>
              <w:t> </w:t>
            </w:r>
          </w:p>
        </w:tc>
        <w:tc>
          <w:tcPr>
            <w:tcW w:w="147" w:type="dxa"/>
            <w:tcBorders/>
            <w:shd w:fill="CCEEFF" w:val="clear"/>
            <w:vAlign w:val="bottom"/>
          </w:tcPr>
          <w:p>
            <w:pPr>
              <w:pStyle w:val="TableContents"/>
              <w:bidi w:val="0"/>
              <w:spacing w:before="0" w:after="283"/>
              <w:jc w:val="left"/>
              <w:rPr/>
            </w:pPr>
            <w:r>
              <w:rPr/>
              <w:t> </w:t>
            </w:r>
          </w:p>
        </w:tc>
        <w:tc>
          <w:tcPr>
            <w:tcW w:w="638" w:type="dxa"/>
            <w:tcBorders/>
            <w:shd w:fill="CCEEFF" w:val="clear"/>
            <w:vAlign w:val="bottom"/>
          </w:tcPr>
          <w:p>
            <w:pPr>
              <w:pStyle w:val="TableContents"/>
              <w:bidi w:val="0"/>
              <w:spacing w:before="0" w:after="283"/>
              <w:jc w:val="right"/>
              <w:rPr/>
            </w:pPr>
            <w:r>
              <w:rPr/>
              <w:t>27</w:t>
            </w:r>
          </w:p>
        </w:tc>
        <w:tc>
          <w:tcPr>
            <w:tcW w:w="242" w:type="dxa"/>
            <w:tcBorders/>
            <w:shd w:fill="CCEEFF" w:val="clear"/>
            <w:vAlign w:val="bottom"/>
          </w:tcPr>
          <w:p>
            <w:pPr>
              <w:pStyle w:val="TableContents"/>
              <w:bidi w:val="0"/>
              <w:spacing w:before="0" w:after="283"/>
              <w:ind w:left="0" w:right="0" w:firstLine="180"/>
              <w:jc w:val="left"/>
              <w:rPr/>
            </w:pPr>
            <w:r>
              <w:rPr/>
              <w:t> </w:t>
            </w:r>
          </w:p>
        </w:tc>
      </w:tr>
      <w:tr>
        <w:trPr/>
        <w:tc>
          <w:tcPr>
            <w:tcW w:w="783" w:type="dxa"/>
            <w:tcBorders/>
            <w:vAlign w:val="bottom"/>
          </w:tcPr>
          <w:p>
            <w:pPr>
              <w:pStyle w:val="TableContents"/>
              <w:bidi w:val="0"/>
              <w:spacing w:before="0" w:after="283"/>
              <w:jc w:val="left"/>
              <w:rPr/>
            </w:pPr>
            <w:r>
              <w:rPr/>
              <w:t xml:space="preserve">Freddie Mac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283"/>
              <w:jc w:val="right"/>
              <w:rPr/>
            </w:pPr>
            <w:r>
              <w:rPr/>
              <w:t>655,179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283"/>
              <w:jc w:val="right"/>
              <w:rPr/>
            </w:pPr>
            <w:r>
              <w:rPr/>
              <w:t>529,062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283"/>
              <w:jc w:val="right"/>
              <w:rPr/>
            </w:pPr>
            <w:r>
              <w:rPr/>
              <w:t>9,084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35" w:type="dxa"/>
            <w:tcBorders>
              <w:bottom w:val="single" w:sz="12" w:space="0" w:color="000000"/>
            </w:tcBorders>
            <w:tcMar>
              <w:bottom w:w="28" w:type="dxa"/>
            </w:tcMar>
            <w:vAlign w:val="bottom"/>
          </w:tcPr>
          <w:p>
            <w:pPr>
              <w:pStyle w:val="TableContents"/>
              <w:bidi w:val="0"/>
              <w:spacing w:before="0" w:after="283"/>
              <w:jc w:val="right"/>
              <w:rPr/>
            </w:pPr>
            <w:r>
              <w:rPr/>
              <w:t>(1,074</w:t>
            </w:r>
          </w:p>
        </w:tc>
        <w:tc>
          <w:tcPr>
            <w:tcW w:w="95" w:type="dxa"/>
            <w:tcBorders/>
            <w:vAlign w:val="bottom"/>
          </w:tcPr>
          <w:p>
            <w:pPr>
              <w:pStyle w:val="TableContents"/>
              <w:bidi w:val="0"/>
              <w:spacing w:before="0" w:after="283"/>
              <w:jc w:val="left"/>
              <w:rPr/>
            </w:pPr>
            <w:r>
              <w:rPr/>
              <w:t>)</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283"/>
              <w:jc w:val="right"/>
              <w:rPr/>
            </w:pPr>
            <w:r>
              <w:rPr/>
              <w:t>537,072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8" w:type="dxa"/>
            <w:tcBorders>
              <w:bottom w:val="single" w:sz="12" w:space="0" w:color="000000"/>
            </w:tcBorders>
            <w:tcMar>
              <w:bottom w:w="28" w:type="dxa"/>
            </w:tcMar>
            <w:vAlign w:val="bottom"/>
          </w:tcPr>
          <w:p>
            <w:pPr>
              <w:pStyle w:val="TableContents"/>
              <w:bidi w:val="0"/>
              <w:spacing w:before="0" w:after="283"/>
              <w:jc w:val="left"/>
              <w:rPr/>
            </w:pPr>
            <w:r>
              <w:rPr/>
              <w:t> </w:t>
            </w:r>
          </w:p>
        </w:tc>
        <w:tc>
          <w:tcPr>
            <w:tcW w:w="717" w:type="dxa"/>
            <w:tcBorders>
              <w:bottom w:val="single" w:sz="12" w:space="0" w:color="000000"/>
            </w:tcBorders>
            <w:tcMar>
              <w:bottom w:w="28" w:type="dxa"/>
            </w:tcMar>
            <w:vAlign w:val="bottom"/>
          </w:tcPr>
          <w:p>
            <w:pPr>
              <w:pStyle w:val="TableContents"/>
              <w:bidi w:val="0"/>
              <w:spacing w:before="0" w:after="283"/>
              <w:jc w:val="right"/>
              <w:rPr/>
            </w:pPr>
            <w:r>
              <w:rPr/>
              <w:t>51</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center"/>
              <w:rPr/>
            </w:pPr>
            <w:r>
              <w:rPr/>
              <w:t> </w:t>
            </w:r>
            <w:r>
              <w:rPr/>
              <w:t>(B)</w:t>
            </w:r>
          </w:p>
        </w:tc>
        <w:tc>
          <w:tcPr>
            <w:tcW w:w="60" w:type="dxa"/>
            <w:tcBorders/>
            <w:vAlign w:val="bottom"/>
          </w:tcPr>
          <w:p>
            <w:pPr>
              <w:pStyle w:val="TableContents"/>
              <w:bidi w:val="0"/>
              <w:spacing w:before="0" w:after="283"/>
              <w:jc w:val="right"/>
              <w:rPr/>
            </w:pPr>
            <w:r>
              <w:rPr/>
              <w:t> </w:t>
            </w:r>
          </w:p>
        </w:tc>
        <w:tc>
          <w:tcPr>
            <w:tcW w:w="81" w:type="dxa"/>
            <w:tcBorders>
              <w:bottom w:val="single" w:sz="12" w:space="0" w:color="000000"/>
            </w:tcBorders>
            <w:tcMar>
              <w:bottom w:w="28" w:type="dxa"/>
            </w:tcMar>
            <w:vAlign w:val="bottom"/>
          </w:tcPr>
          <w:p>
            <w:pPr>
              <w:pStyle w:val="TableContents"/>
              <w:bidi w:val="0"/>
              <w:spacing w:before="0" w:after="283"/>
              <w:jc w:val="left"/>
              <w:rPr/>
            </w:pPr>
            <w:r>
              <w:rPr/>
              <w:t> </w:t>
            </w:r>
          </w:p>
        </w:tc>
        <w:tc>
          <w:tcPr>
            <w:tcW w:w="599" w:type="dxa"/>
            <w:tcBorders>
              <w:bottom w:val="single" w:sz="12" w:space="0" w:color="000000"/>
            </w:tcBorders>
            <w:tcMar>
              <w:bottom w:w="28" w:type="dxa"/>
            </w:tcMar>
            <w:vAlign w:val="bottom"/>
          </w:tcPr>
          <w:p>
            <w:pPr>
              <w:pStyle w:val="TableContents"/>
              <w:bidi w:val="0"/>
              <w:spacing w:before="0" w:after="283"/>
              <w:jc w:val="right"/>
              <w:rPr/>
            </w:pPr>
            <w:r>
              <w:rPr/>
              <w:t>5.13</w:t>
            </w:r>
          </w:p>
        </w:tc>
        <w:tc>
          <w:tcPr>
            <w:tcW w:w="215" w:type="dxa"/>
            <w:tcBorders/>
            <w:vAlign w:val="bottom"/>
          </w:tcPr>
          <w:p>
            <w:pPr>
              <w:pStyle w:val="TableContents"/>
              <w:bidi w:val="0"/>
              <w:spacing w:before="0" w:after="283"/>
              <w:jc w:val="left"/>
              <w:rPr/>
            </w:pPr>
            <w:r>
              <w:rPr/>
              <w:t>%</w:t>
            </w:r>
          </w:p>
        </w:tc>
        <w:tc>
          <w:tcPr>
            <w:tcW w:w="60" w:type="dxa"/>
            <w:tcBorders/>
            <w:vAlign w:val="bottom"/>
          </w:tcPr>
          <w:p>
            <w:pPr>
              <w:pStyle w:val="TableContents"/>
              <w:bidi w:val="0"/>
              <w:spacing w:before="0" w:after="283"/>
              <w:jc w:val="right"/>
              <w:rPr/>
            </w:pPr>
            <w:r>
              <w:rPr/>
              <w:t> </w:t>
            </w:r>
          </w:p>
        </w:tc>
        <w:tc>
          <w:tcPr>
            <w:tcW w:w="63" w:type="dxa"/>
            <w:tcBorders>
              <w:bottom w:val="single" w:sz="12" w:space="0" w:color="000000"/>
            </w:tcBorders>
            <w:tcMar>
              <w:bottom w:w="28" w:type="dxa"/>
            </w:tcMar>
            <w:vAlign w:val="bottom"/>
          </w:tcPr>
          <w:p>
            <w:pPr>
              <w:pStyle w:val="TableContents"/>
              <w:bidi w:val="0"/>
              <w:spacing w:before="0" w:after="283"/>
              <w:jc w:val="left"/>
              <w:rPr/>
            </w:pPr>
            <w:r>
              <w:rPr/>
              <w:t> </w:t>
            </w:r>
          </w:p>
        </w:tc>
        <w:tc>
          <w:tcPr>
            <w:tcW w:w="467" w:type="dxa"/>
            <w:tcBorders>
              <w:bottom w:val="single" w:sz="12" w:space="0" w:color="000000"/>
            </w:tcBorders>
            <w:tcMar>
              <w:bottom w:w="28" w:type="dxa"/>
            </w:tcMar>
            <w:vAlign w:val="bottom"/>
          </w:tcPr>
          <w:p>
            <w:pPr>
              <w:pStyle w:val="TableContents"/>
              <w:bidi w:val="0"/>
              <w:spacing w:before="0" w:after="283"/>
              <w:jc w:val="right"/>
              <w:rPr/>
            </w:pPr>
            <w:r>
              <w:rPr/>
              <w:t>5.21</w:t>
            </w:r>
          </w:p>
        </w:tc>
        <w:tc>
          <w:tcPr>
            <w:tcW w:w="215" w:type="dxa"/>
            <w:tcBorders/>
            <w:vAlign w:val="bottom"/>
          </w:tcPr>
          <w:p>
            <w:pPr>
              <w:pStyle w:val="TableContents"/>
              <w:bidi w:val="0"/>
              <w:spacing w:before="0" w:after="283"/>
              <w:jc w:val="left"/>
              <w:rPr/>
            </w:pPr>
            <w:r>
              <w:rPr/>
              <w:t>%</w:t>
            </w:r>
          </w:p>
        </w:tc>
        <w:tc>
          <w:tcPr>
            <w:tcW w:w="60" w:type="dxa"/>
            <w:tcBorders/>
            <w:vAlign w:val="bottom"/>
          </w:tcPr>
          <w:p>
            <w:pPr>
              <w:pStyle w:val="TableContents"/>
              <w:bidi w:val="0"/>
              <w:spacing w:before="0" w:after="283"/>
              <w:jc w:val="right"/>
              <w:rPr/>
            </w:pPr>
            <w:r>
              <w:rPr/>
              <w:t> </w:t>
            </w:r>
          </w:p>
        </w:tc>
        <w:tc>
          <w:tcPr>
            <w:tcW w:w="147" w:type="dxa"/>
            <w:tcBorders>
              <w:bottom w:val="single" w:sz="12" w:space="0" w:color="000000"/>
            </w:tcBorders>
            <w:tcMar>
              <w:bottom w:w="28" w:type="dxa"/>
            </w:tcMar>
            <w:vAlign w:val="bottom"/>
          </w:tcPr>
          <w:p>
            <w:pPr>
              <w:pStyle w:val="TableContents"/>
              <w:bidi w:val="0"/>
              <w:spacing w:before="0" w:after="283"/>
              <w:jc w:val="left"/>
              <w:rPr/>
            </w:pPr>
            <w:r>
              <w:rPr/>
              <w:t> </w:t>
            </w:r>
          </w:p>
        </w:tc>
        <w:tc>
          <w:tcPr>
            <w:tcW w:w="638" w:type="dxa"/>
            <w:tcBorders>
              <w:bottom w:val="single" w:sz="12" w:space="0" w:color="000000"/>
            </w:tcBorders>
            <w:tcMar>
              <w:bottom w:w="28" w:type="dxa"/>
            </w:tcMar>
            <w:vAlign w:val="bottom"/>
          </w:tcPr>
          <w:p>
            <w:pPr>
              <w:pStyle w:val="TableContents"/>
              <w:bidi w:val="0"/>
              <w:spacing w:before="0" w:after="283"/>
              <w:jc w:val="right"/>
              <w:rPr/>
            </w:pPr>
            <w:r>
              <w:rPr/>
              <w:t>27</w:t>
            </w:r>
          </w:p>
        </w:tc>
        <w:tc>
          <w:tcPr>
            <w:tcW w:w="242" w:type="dxa"/>
            <w:tcBorders/>
            <w:vAlign w:val="bottom"/>
          </w:tcPr>
          <w:p>
            <w:pPr>
              <w:pStyle w:val="TableContents"/>
              <w:bidi w:val="0"/>
              <w:spacing w:before="0" w:after="283"/>
              <w:jc w:val="left"/>
              <w:rPr/>
            </w:pPr>
            <w:r>
              <w:rPr/>
              <w:t> </w:t>
            </w:r>
          </w:p>
        </w:tc>
      </w:tr>
      <w:tr>
        <w:trPr/>
        <w:tc>
          <w:tcPr>
            <w:tcW w:w="783" w:type="dxa"/>
            <w:tcBorders/>
            <w:shd w:fill="CCEEFF" w:val="clear"/>
            <w:vAlign w:val="bottom"/>
          </w:tcPr>
          <w:p>
            <w:pPr>
              <w:pStyle w:val="TableContents"/>
              <w:bidi w:val="0"/>
              <w:spacing w:before="0" w:after="0"/>
              <w:ind w:left="180" w:right="0" w:hanging="180"/>
              <w:jc w:val="left"/>
              <w:rPr>
                <w:rFonts w:ascii="Times New Roman" w:hAnsi="Times New Roman"/>
                <w:b/>
                <w:sz w:val="20"/>
              </w:rPr>
            </w:pPr>
            <w:r>
              <w:rPr>
                <w:rFonts w:ascii="Times New Roman" w:hAnsi="Times New Roman"/>
                <w:b/>
                <w:sz w:val="20"/>
              </w:rPr>
              <w:t>Total/weighted average RMBS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845"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1,337,579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845"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1,065,399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590"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17,384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35"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(2,981</w:t>
            </w:r>
          </w:p>
        </w:tc>
        <w:tc>
          <w:tcPr>
            <w:tcW w:w="9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845"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1,079,802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8" w:type="dxa"/>
            <w:tcBorders/>
            <w:shd w:fill="CCEEFF" w:val="clear"/>
            <w:vAlign w:val="bottom"/>
          </w:tcPr>
          <w:p>
            <w:pPr>
              <w:pStyle w:val="TableContents"/>
              <w:bidi w:val="0"/>
              <w:spacing w:before="0" w:after="283"/>
              <w:jc w:val="left"/>
              <w:rPr/>
            </w:pPr>
            <w:r>
              <w:rPr/>
              <w:t> </w:t>
            </w:r>
          </w:p>
        </w:tc>
        <w:tc>
          <w:tcPr>
            <w:tcW w:w="717"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102</w:t>
            </w:r>
          </w:p>
        </w:tc>
        <w:tc>
          <w:tcPr>
            <w:tcW w:w="6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left"/>
              <w:rPr/>
            </w:pPr>
            <w:r>
              <w:rPr/>
              <w:t> </w:t>
            </w:r>
          </w:p>
        </w:tc>
        <w:tc>
          <w:tcPr>
            <w:tcW w:w="60" w:type="dxa"/>
            <w:tcBorders/>
            <w:shd w:fill="CCEEFF" w:val="clear"/>
            <w:vAlign w:val="bottom"/>
          </w:tcPr>
          <w:p>
            <w:pPr>
              <w:pStyle w:val="TableContents"/>
              <w:bidi w:val="0"/>
              <w:spacing w:before="0" w:after="283"/>
              <w:jc w:val="right"/>
              <w:rPr/>
            </w:pPr>
            <w:r>
              <w:rPr/>
              <w:t> </w:t>
            </w:r>
          </w:p>
        </w:tc>
        <w:tc>
          <w:tcPr>
            <w:tcW w:w="81" w:type="dxa"/>
            <w:tcBorders/>
            <w:shd w:fill="CCEEFF" w:val="clear"/>
            <w:vAlign w:val="bottom"/>
          </w:tcPr>
          <w:p>
            <w:pPr>
              <w:pStyle w:val="TableContents"/>
              <w:bidi w:val="0"/>
              <w:spacing w:before="0" w:after="283"/>
              <w:jc w:val="left"/>
              <w:rPr/>
            </w:pPr>
            <w:r>
              <w:rPr/>
              <w:t> </w:t>
            </w:r>
          </w:p>
        </w:tc>
        <w:tc>
          <w:tcPr>
            <w:tcW w:w="599"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5.08</w:t>
            </w:r>
          </w:p>
        </w:tc>
        <w:tc>
          <w:tcPr>
            <w:tcW w:w="21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c>
          <w:tcPr>
            <w:tcW w:w="467"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5.16</w:t>
            </w:r>
          </w:p>
        </w:tc>
        <w:tc>
          <w:tcPr>
            <w:tcW w:w="21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shd w:fill="CCEEFF" w:val="clear"/>
            <w:vAlign w:val="bottom"/>
          </w:tcPr>
          <w:p>
            <w:pPr>
              <w:pStyle w:val="TableContents"/>
              <w:bidi w:val="0"/>
              <w:spacing w:before="0" w:after="283"/>
              <w:jc w:val="right"/>
              <w:rPr/>
            </w:pPr>
            <w:r>
              <w:rPr/>
              <w:t> </w:t>
            </w:r>
          </w:p>
        </w:tc>
        <w:tc>
          <w:tcPr>
            <w:tcW w:w="147" w:type="dxa"/>
            <w:tcBorders/>
            <w:shd w:fill="CCEEFF" w:val="clear"/>
            <w:vAlign w:val="bottom"/>
          </w:tcPr>
          <w:p>
            <w:pPr>
              <w:pStyle w:val="TableContents"/>
              <w:bidi w:val="0"/>
              <w:spacing w:before="0" w:after="283"/>
              <w:jc w:val="left"/>
              <w:rPr/>
            </w:pPr>
            <w:r>
              <w:rPr/>
              <w:t> </w:t>
            </w:r>
          </w:p>
        </w:tc>
        <w:tc>
          <w:tcPr>
            <w:tcW w:w="638"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27</w:t>
            </w:r>
          </w:p>
        </w:tc>
        <w:tc>
          <w:tcPr>
            <w:tcW w:w="242" w:type="dxa"/>
            <w:tcBorders/>
            <w:shd w:fill="CCEEFF" w:val="clear"/>
            <w:vAlign w:val="bottom"/>
          </w:tcPr>
          <w:p>
            <w:pPr>
              <w:pStyle w:val="TableContents"/>
              <w:bidi w:val="0"/>
              <w:spacing w:before="0" w:after="283"/>
              <w:jc w:val="left"/>
              <w:rPr/>
            </w:pPr>
            <w:r>
              <w:rPr/>
              <w:t> </w:t>
            </w:r>
          </w:p>
        </w:tc>
      </w:tr>
    </w:tbl>
    <w:p>
      <w:pPr>
        <w:pStyle w:val="TextBody"/>
        <w:bidi w:val="0"/>
        <w:spacing w:before="0" w:after="0"/>
        <w:jc w:val="center"/>
        <w:rPr/>
      </w:pPr>
      <w:r>
        <w:rPr/>
      </w:r>
    </w:p>
    <w:p>
      <w:pPr>
        <w:pStyle w:val="TextBody"/>
        <w:bidi w:val="0"/>
        <w:spacing w:before="0" w:after="0"/>
        <w:jc w:val="center"/>
        <w:rPr>
          <w:rFonts w:ascii="Times New Roman" w:hAnsi="Times New Roman"/>
          <w:b/>
          <w:i w:val="false"/>
          <w:caps w:val="false"/>
          <w:smallCaps w:val="false"/>
          <w:color w:val="000000"/>
          <w:sz w:val="20"/>
          <w:shd w:fill="FFFFFF" w:val="clear"/>
        </w:rPr>
      </w:pPr>
      <w:r>
        <w:rPr>
          <w:rFonts w:ascii="Times New Roman" w:hAnsi="Times New Roman"/>
          <w:b/>
          <w:i w:val="false"/>
          <w:caps w:val="false"/>
          <w:smallCaps w:val="false"/>
          <w:color w:val="000000"/>
          <w:sz w:val="20"/>
          <w:shd w:fill="FFFFFF" w:val="clear"/>
        </w:rPr>
        <w:t>As of December 31, 2025</w:t>
      </w:r>
    </w:p>
    <w:p>
      <w:pPr>
        <w:pStyle w:val="TextBody"/>
        <w:bidi w:val="0"/>
        <w:spacing w:before="0" w:after="0"/>
        <w:jc w:val="left"/>
        <w:rPr/>
      </w:pPr>
      <w:r>
        <w:rPr/>
      </w:r>
    </w:p>
    <w:tbl>
      <w:tblPr>
        <w:tblW w:w="10655" w:type="dxa"/>
        <w:jc w:val="left"/>
        <w:tblInd w:w="0" w:type="dxa"/>
        <w:tblLayout w:type="fixed"/>
        <w:tblCellMar>
          <w:top w:w="0" w:type="dxa"/>
          <w:left w:w="0" w:type="dxa"/>
          <w:bottom w:w="0" w:type="dxa"/>
          <w:right w:w="0" w:type="dxa"/>
        </w:tblCellMar>
      </w:tblPr>
      <w:tblGrid>
        <w:gridCol w:w="935"/>
        <w:gridCol w:w="60"/>
        <w:gridCol w:w="140"/>
        <w:gridCol w:w="980"/>
        <w:gridCol w:w="60"/>
        <w:gridCol w:w="60"/>
        <w:gridCol w:w="140"/>
        <w:gridCol w:w="980"/>
        <w:gridCol w:w="60"/>
        <w:gridCol w:w="60"/>
        <w:gridCol w:w="140"/>
        <w:gridCol w:w="680"/>
        <w:gridCol w:w="60"/>
        <w:gridCol w:w="60"/>
        <w:gridCol w:w="140"/>
        <w:gridCol w:w="455"/>
        <w:gridCol w:w="95"/>
        <w:gridCol w:w="60"/>
        <w:gridCol w:w="140"/>
        <w:gridCol w:w="980"/>
        <w:gridCol w:w="60"/>
        <w:gridCol w:w="60"/>
        <w:gridCol w:w="115"/>
        <w:gridCol w:w="730"/>
        <w:gridCol w:w="60"/>
        <w:gridCol w:w="590"/>
        <w:gridCol w:w="60"/>
        <w:gridCol w:w="81"/>
        <w:gridCol w:w="599"/>
        <w:gridCol w:w="260"/>
        <w:gridCol w:w="60"/>
        <w:gridCol w:w="63"/>
        <w:gridCol w:w="467"/>
        <w:gridCol w:w="260"/>
        <w:gridCol w:w="60"/>
        <w:gridCol w:w="147"/>
        <w:gridCol w:w="638"/>
        <w:gridCol w:w="60"/>
      </w:tblGrid>
      <w:tr>
        <w:trPr/>
        <w:tc>
          <w:tcPr>
            <w:tcW w:w="935" w:type="dxa"/>
            <w:tcBorders/>
            <w:vAlign w:val="bottom"/>
          </w:tcPr>
          <w:p>
            <w:pPr>
              <w:pStyle w:val="TableContents"/>
              <w:bidi w:val="0"/>
              <w:spacing w:before="0" w:after="283"/>
              <w:jc w:val="left"/>
              <w:rPr/>
            </w:pPr>
            <w:r>
              <w:rPr/>
            </w:r>
          </w:p>
        </w:tc>
        <w:tc>
          <w:tcPr>
            <w:tcW w:w="60" w:type="dxa"/>
            <w:tcBorders/>
            <w:vAlign w:val="bottom"/>
          </w:tcPr>
          <w:p>
            <w:pPr>
              <w:pStyle w:val="TableContents"/>
              <w:bidi w:val="0"/>
              <w:spacing w:before="0" w:after="283"/>
              <w:jc w:val="left"/>
              <w:rPr/>
            </w:pPr>
            <w:r>
              <w:rPr/>
              <w:t> </w:t>
            </w:r>
          </w:p>
        </w:tc>
        <w:tc>
          <w:tcPr>
            <w:tcW w:w="11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35"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Gross Unrealized</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85" w:type="dxa"/>
            <w:gridSpan w:val="1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Weighted Average</w:t>
            </w:r>
          </w:p>
        </w:tc>
        <w:tc>
          <w:tcPr>
            <w:tcW w:w="60" w:type="dxa"/>
            <w:tcBorders/>
            <w:vAlign w:val="bottom"/>
          </w:tcPr>
          <w:p>
            <w:pPr>
              <w:pStyle w:val="TableContents"/>
              <w:bidi w:val="0"/>
              <w:spacing w:before="0" w:after="283"/>
              <w:jc w:val="left"/>
              <w:rPr/>
            </w:pPr>
            <w:r>
              <w:rPr/>
              <w:t> </w:t>
            </w:r>
          </w:p>
        </w:tc>
      </w:tr>
      <w:tr>
        <w:trPr/>
        <w:tc>
          <w:tcPr>
            <w:tcW w:w="935" w:type="dxa"/>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Asset Type</w:t>
            </w:r>
          </w:p>
        </w:tc>
        <w:tc>
          <w:tcPr>
            <w:tcW w:w="60" w:type="dxa"/>
            <w:tcBorders/>
            <w:vAlign w:val="bottom"/>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Original</w:t>
            </w:r>
          </w:p>
          <w:p>
            <w:pPr>
              <w:pStyle w:val="TableContents"/>
              <w:bidi w:val="0"/>
              <w:spacing w:before="0" w:after="0"/>
              <w:jc w:val="center"/>
              <w:rPr>
                <w:rFonts w:ascii="Times New Roman" w:hAnsi="Times New Roman"/>
                <w:b/>
                <w:sz w:val="20"/>
              </w:rPr>
            </w:pPr>
            <w:r>
              <w:rPr>
                <w:rFonts w:ascii="Times New Roman" w:hAnsi="Times New Roman"/>
                <w:b/>
                <w:sz w:val="20"/>
              </w:rPr>
              <w:t>Face</w:t>
            </w:r>
          </w:p>
          <w:p>
            <w:pPr>
              <w:pStyle w:val="TableContents"/>
              <w:bidi w:val="0"/>
              <w:spacing w:before="0" w:after="0"/>
              <w:jc w:val="center"/>
              <w:rPr>
                <w:rFonts w:ascii="Times New Roman" w:hAnsi="Times New Roman"/>
                <w:b/>
                <w:sz w:val="20"/>
              </w:rPr>
            </w:pPr>
            <w:r>
              <w:rPr>
                <w:rFonts w:ascii="Times New Roman" w:hAnsi="Times New Roman"/>
                <w:b/>
                <w:sz w:val="20"/>
              </w:rPr>
              <w:t>Value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Book</w:t>
            </w:r>
          </w:p>
          <w:p>
            <w:pPr>
              <w:pStyle w:val="TableContents"/>
              <w:bidi w:val="0"/>
              <w:spacing w:before="0" w:after="0"/>
              <w:jc w:val="center"/>
              <w:rPr>
                <w:rFonts w:ascii="Times New Roman" w:hAnsi="Times New Roman"/>
                <w:b/>
                <w:sz w:val="20"/>
              </w:rPr>
            </w:pPr>
            <w:r>
              <w:rPr>
                <w:rFonts w:ascii="Times New Roman" w:hAnsi="Times New Roman"/>
                <w:b/>
                <w:sz w:val="20"/>
              </w:rPr>
              <w:t>Value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Gains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Losses</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Carrying</w:t>
            </w:r>
          </w:p>
          <w:p>
            <w:pPr>
              <w:pStyle w:val="TableContents"/>
              <w:bidi w:val="0"/>
              <w:spacing w:before="0" w:after="0"/>
              <w:jc w:val="center"/>
              <w:rPr>
                <w:rFonts w:ascii="Times New Roman" w:hAnsi="Times New Roman"/>
                <w:b/>
                <w:sz w:val="20"/>
              </w:rPr>
            </w:pPr>
            <w:r>
              <w:rPr>
                <w:rFonts w:ascii="Times New Roman" w:hAnsi="Times New Roman"/>
                <w:b/>
                <w:sz w:val="20"/>
              </w:rPr>
              <w:t>Value</w:t>
            </w:r>
            <w:r>
              <w:rPr>
                <w:rFonts w:ascii="Times New Roman" w:hAnsi="Times New Roman"/>
                <w:b/>
                <w:i w:val="false"/>
                <w:caps w:val="false"/>
                <w:smallCaps w:val="false"/>
                <w:position w:val="7"/>
                <w:sz w:val="16"/>
                <w:sz w:val="20"/>
              </w:rPr>
              <w:t>(A)</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Number of</w:t>
            </w:r>
          </w:p>
          <w:p>
            <w:pPr>
              <w:pStyle w:val="TableContents"/>
              <w:bidi w:val="0"/>
              <w:spacing w:before="0" w:after="0"/>
              <w:jc w:val="center"/>
              <w:rPr>
                <w:rFonts w:ascii="Times New Roman" w:hAnsi="Times New Roman"/>
                <w:b/>
                <w:sz w:val="20"/>
              </w:rPr>
            </w:pPr>
            <w:r>
              <w:rPr>
                <w:rFonts w:ascii="Times New Roman" w:hAnsi="Times New Roman"/>
                <w:b/>
                <w:sz w:val="20"/>
              </w:rPr>
              <w:t>Securities</w:t>
            </w:r>
          </w:p>
        </w:tc>
        <w:tc>
          <w:tcPr>
            <w:tcW w:w="60" w:type="dxa"/>
            <w:tcBorders/>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Rating</w:t>
            </w:r>
          </w:p>
        </w:tc>
        <w:tc>
          <w:tcPr>
            <w:tcW w:w="60" w:type="dxa"/>
            <w:tcBorders/>
            <w:vAlign w:val="bottom"/>
          </w:tcPr>
          <w:p>
            <w:pPr>
              <w:pStyle w:val="TableContents"/>
              <w:bidi w:val="0"/>
              <w:spacing w:before="0" w:after="283"/>
              <w:jc w:val="left"/>
              <w:rPr/>
            </w:pPr>
            <w:r>
              <w:rPr/>
              <w:t> </w:t>
            </w:r>
          </w:p>
        </w:tc>
        <w:tc>
          <w:tcPr>
            <w:tcW w:w="68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Coupon</w:t>
            </w:r>
          </w:p>
        </w:tc>
        <w:tc>
          <w:tcPr>
            <w:tcW w:w="2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Yield</w:t>
            </w:r>
            <w:r>
              <w:rPr>
                <w:rFonts w:ascii="Times New Roman" w:hAnsi="Times New Roman"/>
                <w:b/>
                <w:i w:val="false"/>
                <w:caps w:val="false"/>
                <w:smallCaps w:val="false"/>
                <w:position w:val="7"/>
                <w:sz w:val="16"/>
                <w:sz w:val="20"/>
              </w:rPr>
              <w:t>(C)</w:t>
            </w:r>
          </w:p>
        </w:tc>
        <w:tc>
          <w:tcPr>
            <w:tcW w:w="2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Maturity</w:t>
            </w:r>
          </w:p>
          <w:p>
            <w:pPr>
              <w:pStyle w:val="TableContents"/>
              <w:bidi w:val="0"/>
              <w:spacing w:before="0" w:after="0"/>
              <w:jc w:val="center"/>
              <w:rPr>
                <w:rFonts w:ascii="Times New Roman" w:hAnsi="Times New Roman"/>
                <w:b/>
                <w:sz w:val="20"/>
              </w:rPr>
            </w:pPr>
            <w:r>
              <w:rPr>
                <w:rFonts w:ascii="Times New Roman" w:hAnsi="Times New Roman"/>
                <w:b/>
                <w:sz w:val="20"/>
              </w:rPr>
              <w:t>(Years)</w:t>
            </w:r>
          </w:p>
        </w:tc>
        <w:tc>
          <w:tcPr>
            <w:tcW w:w="60" w:type="dxa"/>
            <w:tcBorders/>
            <w:vAlign w:val="bottom"/>
          </w:tcPr>
          <w:p>
            <w:pPr>
              <w:pStyle w:val="TableContents"/>
              <w:bidi w:val="0"/>
              <w:spacing w:before="0" w:after="283"/>
              <w:jc w:val="left"/>
              <w:rPr/>
            </w:pPr>
            <w:r>
              <w:rPr/>
              <w:t> </w:t>
            </w:r>
          </w:p>
        </w:tc>
      </w:tr>
      <w:tr>
        <w:trPr/>
        <w:tc>
          <w:tcPr>
            <w:tcW w:w="935" w:type="dxa"/>
            <w:tcBorders/>
            <w:shd w:fill="CCEEFF" w:val="clear"/>
            <w:vAlign w:val="bottom"/>
          </w:tcPr>
          <w:p>
            <w:pPr>
              <w:pStyle w:val="TableContents"/>
              <w:bidi w:val="0"/>
              <w:spacing w:before="0" w:after="0"/>
              <w:ind w:left="180" w:right="0" w:hanging="180"/>
              <w:jc w:val="left"/>
              <w:rPr>
                <w:rFonts w:ascii="Times New Roman" w:hAnsi="Times New Roman"/>
                <w:b/>
                <w:sz w:val="20"/>
              </w:rPr>
            </w:pPr>
            <w:r>
              <w:rPr>
                <w:rFonts w:ascii="Times New Roman" w:hAnsi="Times New Roman"/>
                <w:b/>
                <w:sz w:val="20"/>
              </w:rPr>
              <w:t>RMBS, available-for-sale, measured at fair value through OCI</w:t>
            </w:r>
          </w:p>
        </w:tc>
        <w:tc>
          <w:tcPr>
            <w:tcW w:w="60" w:type="dxa"/>
            <w:tcBorders/>
            <w:shd w:fill="CCEEFF" w:val="clear"/>
            <w:vAlign w:val="bottom"/>
          </w:tcPr>
          <w:p>
            <w:pPr>
              <w:pStyle w:val="TableContents"/>
              <w:bidi w:val="0"/>
              <w:spacing w:before="0" w:after="283"/>
              <w:jc w:val="left"/>
              <w:rPr/>
            </w:pPr>
            <w:r>
              <w:rPr/>
              <w:t> </w:t>
            </w:r>
          </w:p>
        </w:tc>
        <w:tc>
          <w:tcPr>
            <w:tcW w:w="1120" w:type="dxa"/>
            <w:gridSpan w:val="2"/>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0" w:type="dxa"/>
            <w:gridSpan w:val="2"/>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20" w:type="dxa"/>
            <w:gridSpan w:val="2"/>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5" w:type="dxa"/>
            <w:gridSpan w:val="2"/>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0" w:type="dxa"/>
            <w:gridSpan w:val="2"/>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5" w:type="dxa"/>
            <w:gridSpan w:val="2"/>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gridSpan w:val="2"/>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30" w:type="dxa"/>
            <w:gridSpan w:val="2"/>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5" w:type="dxa"/>
            <w:gridSpan w:val="2"/>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935" w:type="dxa"/>
            <w:tcBorders/>
            <w:vAlign w:val="bottom"/>
          </w:tcPr>
          <w:p>
            <w:pPr>
              <w:pStyle w:val="TableContents"/>
              <w:bidi w:val="0"/>
              <w:spacing w:before="0" w:after="0"/>
              <w:ind w:left="331" w:right="0" w:hanging="187"/>
              <w:jc w:val="left"/>
              <w:rPr>
                <w:rFonts w:ascii="Times New Roman" w:hAnsi="Times New Roman"/>
                <w:sz w:val="20"/>
              </w:rPr>
            </w:pPr>
            <w:r>
              <w:rPr>
                <w:rFonts w:ascii="Times New Roman" w:hAnsi="Times New Roman"/>
                <w:sz w:val="20"/>
              </w:rPr>
              <w:t>Fannie Mae</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8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150,782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8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110,321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8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3,094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45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(232</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8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113,183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15" w:type="dxa"/>
            <w:tcBorders/>
            <w:vAlign w:val="bottom"/>
          </w:tcPr>
          <w:p>
            <w:pPr>
              <w:pStyle w:val="TableContents"/>
              <w:bidi w:val="0"/>
              <w:spacing w:before="0" w:after="283"/>
              <w:jc w:val="left"/>
              <w:rPr/>
            </w:pPr>
            <w:r>
              <w:rPr/>
              <w:t> </w:t>
            </w:r>
          </w:p>
        </w:tc>
        <w:tc>
          <w:tcPr>
            <w:tcW w:w="73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10</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center"/>
              <w:rPr>
                <w:rFonts w:ascii="Times New Roman" w:hAnsi="Times New Roman"/>
                <w:sz w:val="20"/>
              </w:rPr>
            </w:pPr>
            <w:r>
              <w:rPr>
                <w:rFonts w:ascii="Times New Roman" w:hAnsi="Times New Roman"/>
                <w:sz w:val="20"/>
              </w:rPr>
              <w:t>(B)</w:t>
            </w:r>
          </w:p>
        </w:tc>
        <w:tc>
          <w:tcPr>
            <w:tcW w:w="60" w:type="dxa"/>
            <w:tcBorders/>
            <w:vAlign w:val="bottom"/>
          </w:tcPr>
          <w:p>
            <w:pPr>
              <w:pStyle w:val="TableContents"/>
              <w:bidi w:val="0"/>
              <w:spacing w:before="0" w:after="283"/>
              <w:jc w:val="right"/>
              <w:rPr/>
            </w:pPr>
            <w:r>
              <w:rPr/>
              <w:t> </w:t>
            </w:r>
          </w:p>
        </w:tc>
        <w:tc>
          <w:tcPr>
            <w:tcW w:w="81" w:type="dxa"/>
            <w:tcBorders/>
            <w:vAlign w:val="bottom"/>
          </w:tcPr>
          <w:p>
            <w:pPr>
              <w:pStyle w:val="TableContents"/>
              <w:bidi w:val="0"/>
              <w:spacing w:before="0" w:after="283"/>
              <w:jc w:val="left"/>
              <w:rPr/>
            </w:pPr>
            <w:r>
              <w:rPr/>
              <w:t> </w:t>
            </w:r>
          </w:p>
        </w:tc>
        <w:tc>
          <w:tcPr>
            <w:tcW w:w="59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4.67</w:t>
            </w:r>
          </w:p>
        </w:tc>
        <w:tc>
          <w:tcPr>
            <w:tcW w:w="26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63" w:type="dxa"/>
            <w:tcBorders/>
            <w:vAlign w:val="bottom"/>
          </w:tcPr>
          <w:p>
            <w:pPr>
              <w:pStyle w:val="TableContents"/>
              <w:bidi w:val="0"/>
              <w:spacing w:before="0" w:after="283"/>
              <w:jc w:val="left"/>
              <w:rPr/>
            </w:pPr>
            <w:r>
              <w:rPr/>
              <w:t> </w:t>
            </w:r>
          </w:p>
        </w:tc>
        <w:tc>
          <w:tcPr>
            <w:tcW w:w="46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4.83</w:t>
            </w:r>
          </w:p>
        </w:tc>
        <w:tc>
          <w:tcPr>
            <w:tcW w:w="26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47" w:type="dxa"/>
            <w:tcBorders/>
            <w:vAlign w:val="bottom"/>
          </w:tcPr>
          <w:p>
            <w:pPr>
              <w:pStyle w:val="TableContents"/>
              <w:bidi w:val="0"/>
              <w:spacing w:before="0" w:after="283"/>
              <w:jc w:val="left"/>
              <w:rPr/>
            </w:pPr>
            <w:r>
              <w:rPr/>
              <w:t> </w:t>
            </w:r>
          </w:p>
        </w:tc>
        <w:tc>
          <w:tcPr>
            <w:tcW w:w="638"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26</w:t>
            </w:r>
          </w:p>
        </w:tc>
        <w:tc>
          <w:tcPr>
            <w:tcW w:w="60" w:type="dxa"/>
            <w:tcBorders/>
            <w:vAlign w:val="bottom"/>
          </w:tcPr>
          <w:p>
            <w:pPr>
              <w:pStyle w:val="TableContents"/>
              <w:bidi w:val="0"/>
              <w:spacing w:before="0" w:after="283"/>
              <w:jc w:val="left"/>
              <w:rPr/>
            </w:pPr>
            <w:r>
              <w:rPr/>
              <w:t> </w:t>
            </w:r>
          </w:p>
        </w:tc>
      </w:tr>
      <w:tr>
        <w:trPr/>
        <w:tc>
          <w:tcPr>
            <w:tcW w:w="935" w:type="dxa"/>
            <w:tcBorders/>
            <w:shd w:fill="CCEEFF" w:val="clear"/>
            <w:vAlign w:val="bottom"/>
          </w:tcPr>
          <w:p>
            <w:pPr>
              <w:pStyle w:val="TableContents"/>
              <w:bidi w:val="0"/>
              <w:spacing w:before="0" w:after="0"/>
              <w:ind w:left="331" w:right="0" w:hanging="187"/>
              <w:jc w:val="left"/>
              <w:rPr>
                <w:rFonts w:ascii="Times New Roman" w:hAnsi="Times New Roman"/>
                <w:sz w:val="20"/>
              </w:rPr>
            </w:pPr>
            <w:r>
              <w:rPr>
                <w:rFonts w:ascii="Times New Roman" w:hAnsi="Times New Roman"/>
                <w:sz w:val="20"/>
              </w:rPr>
              <w:t>Freddie Mac</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125,240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92,829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1,149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45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(259</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93,719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15" w:type="dxa"/>
            <w:tcBorders/>
            <w:shd w:fill="CCEEFF" w:val="clear"/>
            <w:vAlign w:val="bottom"/>
          </w:tcPr>
          <w:p>
            <w:pPr>
              <w:pStyle w:val="TableContents"/>
              <w:bidi w:val="0"/>
              <w:spacing w:before="0" w:after="283"/>
              <w:jc w:val="left"/>
              <w:rPr/>
            </w:pPr>
            <w:r>
              <w:rPr/>
              <w:t> </w:t>
            </w:r>
          </w:p>
        </w:tc>
        <w:tc>
          <w:tcPr>
            <w:tcW w:w="73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10</w:t>
            </w:r>
          </w:p>
        </w:tc>
        <w:tc>
          <w:tcPr>
            <w:tcW w:w="6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center"/>
              <w:rPr>
                <w:rFonts w:ascii="Times New Roman" w:hAnsi="Times New Roman"/>
                <w:sz w:val="20"/>
              </w:rPr>
            </w:pPr>
            <w:r>
              <w:rPr>
                <w:rFonts w:ascii="Times New Roman" w:hAnsi="Times New Roman"/>
                <w:sz w:val="20"/>
              </w:rPr>
              <w:t>(B)</w:t>
            </w:r>
          </w:p>
        </w:tc>
        <w:tc>
          <w:tcPr>
            <w:tcW w:w="60" w:type="dxa"/>
            <w:tcBorders/>
            <w:shd w:fill="CCEEFF" w:val="clear"/>
            <w:vAlign w:val="bottom"/>
          </w:tcPr>
          <w:p>
            <w:pPr>
              <w:pStyle w:val="TableContents"/>
              <w:bidi w:val="0"/>
              <w:spacing w:before="0" w:after="283"/>
              <w:jc w:val="right"/>
              <w:rPr/>
            </w:pPr>
            <w:r>
              <w:rPr/>
              <w:t> </w:t>
            </w:r>
          </w:p>
        </w:tc>
        <w:tc>
          <w:tcPr>
            <w:tcW w:w="81" w:type="dxa"/>
            <w:tcBorders/>
            <w:shd w:fill="CCEEFF" w:val="clear"/>
            <w:vAlign w:val="bottom"/>
          </w:tcPr>
          <w:p>
            <w:pPr>
              <w:pStyle w:val="TableContents"/>
              <w:bidi w:val="0"/>
              <w:spacing w:before="0" w:after="283"/>
              <w:jc w:val="left"/>
              <w:rPr/>
            </w:pPr>
            <w:r>
              <w:rPr/>
              <w:t> </w:t>
            </w:r>
          </w:p>
        </w:tc>
        <w:tc>
          <w:tcPr>
            <w:tcW w:w="59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4.67</w:t>
            </w:r>
          </w:p>
        </w:tc>
        <w:tc>
          <w:tcPr>
            <w:tcW w:w="26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c>
          <w:tcPr>
            <w:tcW w:w="46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4.76</w:t>
            </w:r>
          </w:p>
        </w:tc>
        <w:tc>
          <w:tcPr>
            <w:tcW w:w="26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47" w:type="dxa"/>
            <w:tcBorders/>
            <w:shd w:fill="CCEEFF" w:val="clear"/>
            <w:vAlign w:val="bottom"/>
          </w:tcPr>
          <w:p>
            <w:pPr>
              <w:pStyle w:val="TableContents"/>
              <w:bidi w:val="0"/>
              <w:spacing w:before="0" w:after="283"/>
              <w:jc w:val="left"/>
              <w:rPr/>
            </w:pPr>
            <w:r>
              <w:rPr/>
              <w:t> </w:t>
            </w:r>
          </w:p>
        </w:tc>
        <w:tc>
          <w:tcPr>
            <w:tcW w:w="63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26</w:t>
            </w:r>
          </w:p>
        </w:tc>
        <w:tc>
          <w:tcPr>
            <w:tcW w:w="60" w:type="dxa"/>
            <w:tcBorders/>
            <w:shd w:fill="CCEEFF" w:val="clear"/>
            <w:vAlign w:val="bottom"/>
          </w:tcPr>
          <w:p>
            <w:pPr>
              <w:pStyle w:val="TableContents"/>
              <w:bidi w:val="0"/>
              <w:spacing w:before="0" w:after="283"/>
              <w:jc w:val="left"/>
              <w:rPr/>
            </w:pPr>
            <w:r>
              <w:rPr/>
              <w:t> </w:t>
            </w:r>
          </w:p>
        </w:tc>
      </w:tr>
      <w:tr>
        <w:trPr/>
        <w:tc>
          <w:tcPr>
            <w:tcW w:w="935" w:type="dxa"/>
            <w:tcBorders/>
            <w:vAlign w:val="bottom"/>
          </w:tcPr>
          <w:p>
            <w:pPr>
              <w:pStyle w:val="TableContents"/>
              <w:bidi w:val="0"/>
              <w:spacing w:before="0" w:after="283"/>
              <w:jc w:val="left"/>
              <w:rPr>
                <w:b/>
              </w:rPr>
            </w:pPr>
            <w:r>
              <w:rPr>
                <w:b/>
              </w:rPr>
              <w:t>RMBS, measured at fair value through earnings</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45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15" w:type="dxa"/>
            <w:tcBorders/>
            <w:vAlign w:val="bottom"/>
          </w:tcPr>
          <w:p>
            <w:pPr>
              <w:pStyle w:val="TableContents"/>
              <w:bidi w:val="0"/>
              <w:spacing w:before="0" w:after="283"/>
              <w:jc w:val="left"/>
              <w:rPr/>
            </w:pPr>
            <w:r>
              <w:rPr/>
              <w:t> </w:t>
            </w:r>
          </w:p>
        </w:tc>
        <w:tc>
          <w:tcPr>
            <w:tcW w:w="73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center"/>
              <w:rPr/>
            </w:pPr>
            <w:r>
              <w:rPr/>
              <w:t> </w:t>
            </w:r>
          </w:p>
        </w:tc>
        <w:tc>
          <w:tcPr>
            <w:tcW w:w="60" w:type="dxa"/>
            <w:tcBorders/>
            <w:vAlign w:val="bottom"/>
          </w:tcPr>
          <w:p>
            <w:pPr>
              <w:pStyle w:val="TableContents"/>
              <w:bidi w:val="0"/>
              <w:spacing w:before="0" w:after="283"/>
              <w:jc w:val="right"/>
              <w:rPr/>
            </w:pPr>
            <w:r>
              <w:rPr/>
              <w:t> </w:t>
            </w:r>
          </w:p>
        </w:tc>
        <w:tc>
          <w:tcPr>
            <w:tcW w:w="81" w:type="dxa"/>
            <w:tcBorders/>
            <w:vAlign w:val="bottom"/>
          </w:tcPr>
          <w:p>
            <w:pPr>
              <w:pStyle w:val="TableContents"/>
              <w:bidi w:val="0"/>
              <w:spacing w:before="0" w:after="283"/>
              <w:jc w:val="left"/>
              <w:rPr/>
            </w:pPr>
            <w:r>
              <w:rPr/>
              <w:t> </w:t>
            </w:r>
          </w:p>
        </w:tc>
        <w:tc>
          <w:tcPr>
            <w:tcW w:w="599" w:type="dxa"/>
            <w:tcBorders/>
            <w:vAlign w:val="bottom"/>
          </w:tcPr>
          <w:p>
            <w:pPr>
              <w:pStyle w:val="TableContents"/>
              <w:bidi w:val="0"/>
              <w:spacing w:before="0" w:after="283"/>
              <w:jc w:val="right"/>
              <w:rPr/>
            </w:pPr>
            <w:r>
              <w:rPr/>
              <w:t> </w:t>
            </w:r>
          </w:p>
        </w:tc>
        <w:tc>
          <w:tcPr>
            <w:tcW w:w="2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3" w:type="dxa"/>
            <w:tcBorders/>
            <w:vAlign w:val="bottom"/>
          </w:tcPr>
          <w:p>
            <w:pPr>
              <w:pStyle w:val="TableContents"/>
              <w:bidi w:val="0"/>
              <w:spacing w:before="0" w:after="283"/>
              <w:jc w:val="left"/>
              <w:rPr/>
            </w:pPr>
            <w:r>
              <w:rPr/>
              <w:t> </w:t>
            </w:r>
          </w:p>
        </w:tc>
        <w:tc>
          <w:tcPr>
            <w:tcW w:w="467" w:type="dxa"/>
            <w:tcBorders/>
            <w:vAlign w:val="bottom"/>
          </w:tcPr>
          <w:p>
            <w:pPr>
              <w:pStyle w:val="TableContents"/>
              <w:bidi w:val="0"/>
              <w:spacing w:before="0" w:after="283"/>
              <w:jc w:val="right"/>
              <w:rPr/>
            </w:pPr>
            <w:r>
              <w:rPr/>
              <w:t> </w:t>
            </w:r>
          </w:p>
        </w:tc>
        <w:tc>
          <w:tcPr>
            <w:tcW w:w="2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7" w:type="dxa"/>
            <w:tcBorders/>
            <w:vAlign w:val="bottom"/>
          </w:tcPr>
          <w:p>
            <w:pPr>
              <w:pStyle w:val="TableContents"/>
              <w:bidi w:val="0"/>
              <w:spacing w:before="0" w:after="283"/>
              <w:jc w:val="left"/>
              <w:rPr/>
            </w:pPr>
            <w:r>
              <w:rPr/>
              <w:t> </w:t>
            </w:r>
          </w:p>
        </w:tc>
        <w:tc>
          <w:tcPr>
            <w:tcW w:w="63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935" w:type="dxa"/>
            <w:tcBorders/>
            <w:shd w:fill="CCEEFF" w:val="clear"/>
            <w:vAlign w:val="bottom"/>
          </w:tcPr>
          <w:p>
            <w:pPr>
              <w:pStyle w:val="TableContents"/>
              <w:bidi w:val="0"/>
              <w:spacing w:before="0" w:after="0"/>
              <w:ind w:left="180" w:right="0" w:hanging="0"/>
              <w:jc w:val="left"/>
              <w:rPr/>
            </w:pPr>
            <w:r>
              <w:rPr/>
              <w:t>Fannie Mae</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469,667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408,260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10,506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455" w:type="dxa"/>
            <w:tcBorders/>
            <w:shd w:fill="CCEEFF" w:val="clear"/>
            <w:vAlign w:val="bottom"/>
          </w:tcPr>
          <w:p>
            <w:pPr>
              <w:pStyle w:val="TableContents"/>
              <w:bidi w:val="0"/>
              <w:spacing w:before="0" w:after="283"/>
              <w:jc w:val="right"/>
              <w:rPr/>
            </w:pPr>
            <w:r>
              <w:rPr/>
              <w:t>(121</w:t>
            </w:r>
          </w:p>
        </w:tc>
        <w:tc>
          <w:tcPr>
            <w:tcW w:w="95" w:type="dxa"/>
            <w:tcBorders/>
            <w:shd w:fill="CCEEFF" w:val="clear"/>
            <w:vAlign w:val="bottom"/>
          </w:tcPr>
          <w:p>
            <w:pPr>
              <w:pStyle w:val="TableContents"/>
              <w:bidi w:val="0"/>
              <w:spacing w:before="0" w:after="283"/>
              <w:jc w:val="left"/>
              <w:rPr/>
            </w:pPr>
            <w:r>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418,645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15" w:type="dxa"/>
            <w:tcBorders/>
            <w:shd w:fill="CCEEFF" w:val="clear"/>
            <w:vAlign w:val="bottom"/>
          </w:tcPr>
          <w:p>
            <w:pPr>
              <w:pStyle w:val="TableContents"/>
              <w:bidi w:val="0"/>
              <w:spacing w:before="0" w:after="283"/>
              <w:jc w:val="left"/>
              <w:rPr/>
            </w:pPr>
            <w:r>
              <w:rPr/>
              <w:t> </w:t>
            </w:r>
          </w:p>
        </w:tc>
        <w:tc>
          <w:tcPr>
            <w:tcW w:w="730" w:type="dxa"/>
            <w:tcBorders/>
            <w:shd w:fill="CCEEFF" w:val="clear"/>
            <w:vAlign w:val="bottom"/>
          </w:tcPr>
          <w:p>
            <w:pPr>
              <w:pStyle w:val="TableContents"/>
              <w:bidi w:val="0"/>
              <w:spacing w:before="0" w:after="283"/>
              <w:jc w:val="right"/>
              <w:rPr/>
            </w:pPr>
            <w:r>
              <w:rPr/>
              <w:t>35</w:t>
            </w:r>
          </w:p>
        </w:tc>
        <w:tc>
          <w:tcPr>
            <w:tcW w:w="6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center"/>
              <w:rPr/>
            </w:pPr>
            <w:r>
              <w:rPr/>
              <w:t>(B)</w:t>
            </w:r>
          </w:p>
        </w:tc>
        <w:tc>
          <w:tcPr>
            <w:tcW w:w="60" w:type="dxa"/>
            <w:tcBorders/>
            <w:shd w:fill="CCEEFF" w:val="clear"/>
            <w:vAlign w:val="bottom"/>
          </w:tcPr>
          <w:p>
            <w:pPr>
              <w:pStyle w:val="TableContents"/>
              <w:bidi w:val="0"/>
              <w:spacing w:before="0" w:after="283"/>
              <w:jc w:val="right"/>
              <w:rPr/>
            </w:pPr>
            <w:r>
              <w:rPr/>
              <w:t> </w:t>
            </w:r>
          </w:p>
        </w:tc>
        <w:tc>
          <w:tcPr>
            <w:tcW w:w="81" w:type="dxa"/>
            <w:tcBorders/>
            <w:shd w:fill="CCEEFF" w:val="clear"/>
            <w:vAlign w:val="bottom"/>
          </w:tcPr>
          <w:p>
            <w:pPr>
              <w:pStyle w:val="TableContents"/>
              <w:bidi w:val="0"/>
              <w:spacing w:before="0" w:after="283"/>
              <w:jc w:val="left"/>
              <w:rPr/>
            </w:pPr>
            <w:r>
              <w:rPr/>
              <w:t> </w:t>
            </w:r>
          </w:p>
        </w:tc>
        <w:tc>
          <w:tcPr>
            <w:tcW w:w="599" w:type="dxa"/>
            <w:tcBorders/>
            <w:shd w:fill="CCEEFF" w:val="clear"/>
            <w:vAlign w:val="bottom"/>
          </w:tcPr>
          <w:p>
            <w:pPr>
              <w:pStyle w:val="TableContents"/>
              <w:bidi w:val="0"/>
              <w:spacing w:before="0" w:after="283"/>
              <w:jc w:val="right"/>
              <w:rPr/>
            </w:pPr>
            <w:r>
              <w:rPr/>
              <w:t>5.04</w:t>
            </w:r>
          </w:p>
        </w:tc>
        <w:tc>
          <w:tcPr>
            <w:tcW w:w="260" w:type="dxa"/>
            <w:tcBorders/>
            <w:shd w:fill="CCEEFF" w:val="clear"/>
            <w:vAlign w:val="bottom"/>
          </w:tcPr>
          <w:p>
            <w:pPr>
              <w:pStyle w:val="TableContents"/>
              <w:bidi w:val="0"/>
              <w:spacing w:before="0" w:after="283"/>
              <w:jc w:val="left"/>
              <w:rPr/>
            </w:pPr>
            <w:r>
              <w:rPr/>
              <w:t>%</w:t>
            </w:r>
          </w:p>
        </w:tc>
        <w:tc>
          <w:tcPr>
            <w:tcW w:w="60"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c>
          <w:tcPr>
            <w:tcW w:w="467" w:type="dxa"/>
            <w:tcBorders/>
            <w:shd w:fill="CCEEFF" w:val="clear"/>
            <w:vAlign w:val="bottom"/>
          </w:tcPr>
          <w:p>
            <w:pPr>
              <w:pStyle w:val="TableContents"/>
              <w:bidi w:val="0"/>
              <w:spacing w:before="0" w:after="283"/>
              <w:jc w:val="right"/>
              <w:rPr/>
            </w:pPr>
            <w:r>
              <w:rPr/>
              <w:t>5.14</w:t>
            </w:r>
          </w:p>
        </w:tc>
        <w:tc>
          <w:tcPr>
            <w:tcW w:w="260" w:type="dxa"/>
            <w:tcBorders/>
            <w:shd w:fill="CCEEFF" w:val="clear"/>
            <w:vAlign w:val="bottom"/>
          </w:tcPr>
          <w:p>
            <w:pPr>
              <w:pStyle w:val="TableContents"/>
              <w:bidi w:val="0"/>
              <w:spacing w:before="0" w:after="283"/>
              <w:jc w:val="left"/>
              <w:rPr/>
            </w:pPr>
            <w:r>
              <w:rPr/>
              <w:t>%</w:t>
            </w:r>
          </w:p>
        </w:tc>
        <w:tc>
          <w:tcPr>
            <w:tcW w:w="60" w:type="dxa"/>
            <w:tcBorders/>
            <w:shd w:fill="CCEEFF" w:val="clear"/>
            <w:vAlign w:val="bottom"/>
          </w:tcPr>
          <w:p>
            <w:pPr>
              <w:pStyle w:val="TableContents"/>
              <w:bidi w:val="0"/>
              <w:spacing w:before="0" w:after="283"/>
              <w:jc w:val="right"/>
              <w:rPr/>
            </w:pPr>
            <w:r>
              <w:rPr/>
              <w:t> </w:t>
            </w:r>
          </w:p>
        </w:tc>
        <w:tc>
          <w:tcPr>
            <w:tcW w:w="147" w:type="dxa"/>
            <w:tcBorders/>
            <w:shd w:fill="CCEEFF" w:val="clear"/>
            <w:vAlign w:val="bottom"/>
          </w:tcPr>
          <w:p>
            <w:pPr>
              <w:pStyle w:val="TableContents"/>
              <w:bidi w:val="0"/>
              <w:spacing w:before="0" w:after="283"/>
              <w:jc w:val="left"/>
              <w:rPr/>
            </w:pPr>
            <w:r>
              <w:rPr/>
              <w:t> </w:t>
            </w:r>
          </w:p>
        </w:tc>
        <w:tc>
          <w:tcPr>
            <w:tcW w:w="638" w:type="dxa"/>
            <w:tcBorders/>
            <w:shd w:fill="CCEEFF" w:val="clear"/>
            <w:vAlign w:val="bottom"/>
          </w:tcPr>
          <w:p>
            <w:pPr>
              <w:pStyle w:val="TableContents"/>
              <w:bidi w:val="0"/>
              <w:spacing w:before="0" w:after="283"/>
              <w:jc w:val="right"/>
              <w:rPr/>
            </w:pPr>
            <w:r>
              <w:rPr/>
              <w:t>28</w:t>
            </w:r>
          </w:p>
        </w:tc>
        <w:tc>
          <w:tcPr>
            <w:tcW w:w="60" w:type="dxa"/>
            <w:tcBorders/>
            <w:shd w:fill="CCEEFF" w:val="clear"/>
            <w:vAlign w:val="bottom"/>
          </w:tcPr>
          <w:p>
            <w:pPr>
              <w:pStyle w:val="TableContents"/>
              <w:bidi w:val="0"/>
              <w:spacing w:before="0" w:after="283"/>
              <w:jc w:val="left"/>
              <w:rPr/>
            </w:pPr>
            <w:r>
              <w:rPr/>
              <w:t> </w:t>
            </w:r>
          </w:p>
        </w:tc>
      </w:tr>
      <w:tr>
        <w:trPr/>
        <w:tc>
          <w:tcPr>
            <w:tcW w:w="935" w:type="dxa"/>
            <w:tcBorders/>
            <w:vAlign w:val="bottom"/>
          </w:tcPr>
          <w:p>
            <w:pPr>
              <w:pStyle w:val="TableContents"/>
              <w:bidi w:val="0"/>
              <w:spacing w:before="0" w:after="0"/>
              <w:ind w:left="180" w:right="0" w:hanging="0"/>
              <w:jc w:val="left"/>
              <w:rPr/>
            </w:pPr>
            <w:r>
              <w:rPr/>
              <w:t>Freddie Mac</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tcMar>
              <w:bottom w:w="28" w:type="dxa"/>
            </w:tcMar>
            <w:vAlign w:val="bottom"/>
          </w:tcPr>
          <w:p>
            <w:pPr>
              <w:pStyle w:val="TableContents"/>
              <w:bidi w:val="0"/>
              <w:spacing w:before="0" w:after="283"/>
              <w:jc w:val="right"/>
              <w:rPr/>
            </w:pPr>
            <w:r>
              <w:rPr/>
              <w:t>676,854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tcMar>
              <w:bottom w:w="28" w:type="dxa"/>
            </w:tcMar>
            <w:vAlign w:val="bottom"/>
          </w:tcPr>
          <w:p>
            <w:pPr>
              <w:pStyle w:val="TableContents"/>
              <w:bidi w:val="0"/>
              <w:spacing w:before="0" w:after="283"/>
              <w:jc w:val="right"/>
              <w:rPr/>
            </w:pPr>
            <w:r>
              <w:rPr/>
              <w:t>572,802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tcMar>
              <w:bottom w:w="28" w:type="dxa"/>
            </w:tcMar>
            <w:vAlign w:val="bottom"/>
          </w:tcPr>
          <w:p>
            <w:pPr>
              <w:pStyle w:val="TableContents"/>
              <w:bidi w:val="0"/>
              <w:spacing w:before="0" w:after="283"/>
              <w:jc w:val="right"/>
              <w:rPr/>
            </w:pPr>
            <w:r>
              <w:rPr/>
              <w:t>15,578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455" w:type="dxa"/>
            <w:tcBorders>
              <w:bottom w:val="single" w:sz="12" w:space="0" w:color="000000"/>
            </w:tcBorders>
            <w:tcMar>
              <w:bottom w:w="28" w:type="dxa"/>
            </w:tcMar>
            <w:vAlign w:val="bottom"/>
          </w:tcPr>
          <w:p>
            <w:pPr>
              <w:pStyle w:val="TableContents"/>
              <w:bidi w:val="0"/>
              <w:spacing w:before="0" w:after="283"/>
              <w:jc w:val="right"/>
              <w:rPr/>
            </w:pPr>
            <w:r>
              <w:rPr/>
              <w:t>(76</w:t>
            </w:r>
          </w:p>
        </w:tc>
        <w:tc>
          <w:tcPr>
            <w:tcW w:w="95" w:type="dxa"/>
            <w:tcBorders/>
            <w:vAlign w:val="bottom"/>
          </w:tcPr>
          <w:p>
            <w:pPr>
              <w:pStyle w:val="TableContents"/>
              <w:bidi w:val="0"/>
              <w:spacing w:before="0" w:after="283"/>
              <w:jc w:val="left"/>
              <w:rPr/>
            </w:pPr>
            <w:r>
              <w:rPr/>
              <w:t>)</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tcMar>
              <w:bottom w:w="28" w:type="dxa"/>
            </w:tcMar>
            <w:vAlign w:val="bottom"/>
          </w:tcPr>
          <w:p>
            <w:pPr>
              <w:pStyle w:val="TableContents"/>
              <w:bidi w:val="0"/>
              <w:spacing w:before="0" w:after="283"/>
              <w:jc w:val="right"/>
              <w:rPr/>
            </w:pPr>
            <w:r>
              <w:rPr/>
              <w:t>588,304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15" w:type="dxa"/>
            <w:tcBorders>
              <w:bottom w:val="single" w:sz="12" w:space="0" w:color="000000"/>
            </w:tcBorders>
            <w:tcMar>
              <w:bottom w:w="28" w:type="dxa"/>
            </w:tcMar>
            <w:vAlign w:val="bottom"/>
          </w:tcPr>
          <w:p>
            <w:pPr>
              <w:pStyle w:val="TableContents"/>
              <w:bidi w:val="0"/>
              <w:spacing w:before="0" w:after="283"/>
              <w:jc w:val="left"/>
              <w:rPr/>
            </w:pPr>
            <w:r>
              <w:rPr/>
              <w:t> </w:t>
            </w:r>
          </w:p>
        </w:tc>
        <w:tc>
          <w:tcPr>
            <w:tcW w:w="730" w:type="dxa"/>
            <w:tcBorders>
              <w:bottom w:val="single" w:sz="12" w:space="0" w:color="000000"/>
            </w:tcBorders>
            <w:tcMar>
              <w:bottom w:w="28" w:type="dxa"/>
            </w:tcMar>
            <w:vAlign w:val="bottom"/>
          </w:tcPr>
          <w:p>
            <w:pPr>
              <w:pStyle w:val="TableContents"/>
              <w:bidi w:val="0"/>
              <w:spacing w:before="0" w:after="283"/>
              <w:jc w:val="right"/>
              <w:rPr/>
            </w:pPr>
            <w:r>
              <w:rPr/>
              <w:t>52</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center"/>
              <w:rPr/>
            </w:pPr>
            <w:r>
              <w:rPr/>
              <w:t>(B)</w:t>
            </w:r>
          </w:p>
        </w:tc>
        <w:tc>
          <w:tcPr>
            <w:tcW w:w="60" w:type="dxa"/>
            <w:tcBorders/>
            <w:vAlign w:val="bottom"/>
          </w:tcPr>
          <w:p>
            <w:pPr>
              <w:pStyle w:val="TableContents"/>
              <w:bidi w:val="0"/>
              <w:spacing w:before="0" w:after="283"/>
              <w:jc w:val="right"/>
              <w:rPr/>
            </w:pPr>
            <w:r>
              <w:rPr/>
              <w:t> </w:t>
            </w:r>
          </w:p>
        </w:tc>
        <w:tc>
          <w:tcPr>
            <w:tcW w:w="81" w:type="dxa"/>
            <w:tcBorders>
              <w:bottom w:val="single" w:sz="12" w:space="0" w:color="000000"/>
            </w:tcBorders>
            <w:tcMar>
              <w:bottom w:w="28" w:type="dxa"/>
            </w:tcMar>
            <w:vAlign w:val="bottom"/>
          </w:tcPr>
          <w:p>
            <w:pPr>
              <w:pStyle w:val="TableContents"/>
              <w:bidi w:val="0"/>
              <w:spacing w:before="0" w:after="283"/>
              <w:jc w:val="left"/>
              <w:rPr/>
            </w:pPr>
            <w:r>
              <w:rPr/>
              <w:t> </w:t>
            </w:r>
          </w:p>
        </w:tc>
        <w:tc>
          <w:tcPr>
            <w:tcW w:w="599" w:type="dxa"/>
            <w:tcBorders>
              <w:bottom w:val="single" w:sz="12" w:space="0" w:color="000000"/>
            </w:tcBorders>
            <w:tcMar>
              <w:bottom w:w="28" w:type="dxa"/>
            </w:tcMar>
            <w:vAlign w:val="bottom"/>
          </w:tcPr>
          <w:p>
            <w:pPr>
              <w:pStyle w:val="TableContents"/>
              <w:bidi w:val="0"/>
              <w:spacing w:before="0" w:after="283"/>
              <w:jc w:val="right"/>
              <w:rPr/>
            </w:pPr>
            <w:r>
              <w:rPr/>
              <w:t>5.05</w:t>
            </w:r>
          </w:p>
        </w:tc>
        <w:tc>
          <w:tcPr>
            <w:tcW w:w="260" w:type="dxa"/>
            <w:tcBorders/>
            <w:vAlign w:val="bottom"/>
          </w:tcPr>
          <w:p>
            <w:pPr>
              <w:pStyle w:val="TableContents"/>
              <w:bidi w:val="0"/>
              <w:spacing w:before="0" w:after="283"/>
              <w:jc w:val="left"/>
              <w:rPr/>
            </w:pPr>
            <w:r>
              <w:rPr/>
              <w:t>%</w:t>
            </w:r>
          </w:p>
        </w:tc>
        <w:tc>
          <w:tcPr>
            <w:tcW w:w="60" w:type="dxa"/>
            <w:tcBorders/>
            <w:vAlign w:val="bottom"/>
          </w:tcPr>
          <w:p>
            <w:pPr>
              <w:pStyle w:val="TableContents"/>
              <w:bidi w:val="0"/>
              <w:spacing w:before="0" w:after="283"/>
              <w:jc w:val="right"/>
              <w:rPr/>
            </w:pPr>
            <w:r>
              <w:rPr/>
              <w:t> </w:t>
            </w:r>
          </w:p>
        </w:tc>
        <w:tc>
          <w:tcPr>
            <w:tcW w:w="63" w:type="dxa"/>
            <w:tcBorders>
              <w:bottom w:val="single" w:sz="12" w:space="0" w:color="000000"/>
            </w:tcBorders>
            <w:tcMar>
              <w:bottom w:w="28" w:type="dxa"/>
            </w:tcMar>
            <w:vAlign w:val="bottom"/>
          </w:tcPr>
          <w:p>
            <w:pPr>
              <w:pStyle w:val="TableContents"/>
              <w:bidi w:val="0"/>
              <w:spacing w:before="0" w:after="283"/>
              <w:jc w:val="left"/>
              <w:rPr/>
            </w:pPr>
            <w:r>
              <w:rPr/>
              <w:t> </w:t>
            </w:r>
          </w:p>
        </w:tc>
        <w:tc>
          <w:tcPr>
            <w:tcW w:w="467" w:type="dxa"/>
            <w:tcBorders>
              <w:bottom w:val="single" w:sz="12" w:space="0" w:color="000000"/>
            </w:tcBorders>
            <w:tcMar>
              <w:bottom w:w="28" w:type="dxa"/>
            </w:tcMar>
            <w:vAlign w:val="bottom"/>
          </w:tcPr>
          <w:p>
            <w:pPr>
              <w:pStyle w:val="TableContents"/>
              <w:bidi w:val="0"/>
              <w:spacing w:before="0" w:after="283"/>
              <w:jc w:val="right"/>
              <w:rPr/>
            </w:pPr>
            <w:r>
              <w:rPr/>
              <w:t>5.14</w:t>
            </w:r>
          </w:p>
        </w:tc>
        <w:tc>
          <w:tcPr>
            <w:tcW w:w="260" w:type="dxa"/>
            <w:tcBorders/>
            <w:vAlign w:val="bottom"/>
          </w:tcPr>
          <w:p>
            <w:pPr>
              <w:pStyle w:val="TableContents"/>
              <w:bidi w:val="0"/>
              <w:spacing w:before="0" w:after="283"/>
              <w:jc w:val="left"/>
              <w:rPr/>
            </w:pPr>
            <w:r>
              <w:rPr/>
              <w:t>%</w:t>
            </w:r>
          </w:p>
        </w:tc>
        <w:tc>
          <w:tcPr>
            <w:tcW w:w="60" w:type="dxa"/>
            <w:tcBorders/>
            <w:vAlign w:val="bottom"/>
          </w:tcPr>
          <w:p>
            <w:pPr>
              <w:pStyle w:val="TableContents"/>
              <w:bidi w:val="0"/>
              <w:spacing w:before="0" w:after="283"/>
              <w:jc w:val="right"/>
              <w:rPr/>
            </w:pPr>
            <w:r>
              <w:rPr/>
              <w:t> </w:t>
            </w:r>
          </w:p>
        </w:tc>
        <w:tc>
          <w:tcPr>
            <w:tcW w:w="147" w:type="dxa"/>
            <w:tcBorders>
              <w:bottom w:val="single" w:sz="12" w:space="0" w:color="000000"/>
            </w:tcBorders>
            <w:tcMar>
              <w:bottom w:w="28" w:type="dxa"/>
            </w:tcMar>
            <w:vAlign w:val="bottom"/>
          </w:tcPr>
          <w:p>
            <w:pPr>
              <w:pStyle w:val="TableContents"/>
              <w:bidi w:val="0"/>
              <w:spacing w:before="0" w:after="283"/>
              <w:jc w:val="left"/>
              <w:rPr/>
            </w:pPr>
            <w:r>
              <w:rPr/>
              <w:t> </w:t>
            </w:r>
          </w:p>
        </w:tc>
        <w:tc>
          <w:tcPr>
            <w:tcW w:w="638" w:type="dxa"/>
            <w:tcBorders>
              <w:bottom w:val="single" w:sz="12" w:space="0" w:color="000000"/>
            </w:tcBorders>
            <w:tcMar>
              <w:bottom w:w="28" w:type="dxa"/>
            </w:tcMar>
            <w:vAlign w:val="bottom"/>
          </w:tcPr>
          <w:p>
            <w:pPr>
              <w:pStyle w:val="TableContents"/>
              <w:bidi w:val="0"/>
              <w:spacing w:before="0" w:after="283"/>
              <w:jc w:val="right"/>
              <w:rPr/>
            </w:pPr>
            <w:r>
              <w:rPr/>
              <w:t>27</w:t>
            </w:r>
          </w:p>
        </w:tc>
        <w:tc>
          <w:tcPr>
            <w:tcW w:w="60" w:type="dxa"/>
            <w:tcBorders/>
            <w:vAlign w:val="bottom"/>
          </w:tcPr>
          <w:p>
            <w:pPr>
              <w:pStyle w:val="TableContents"/>
              <w:bidi w:val="0"/>
              <w:spacing w:before="0" w:after="283"/>
              <w:jc w:val="left"/>
              <w:rPr/>
            </w:pPr>
            <w:r>
              <w:rPr/>
              <w:t> </w:t>
            </w:r>
          </w:p>
        </w:tc>
      </w:tr>
      <w:tr>
        <w:trPr/>
        <w:tc>
          <w:tcPr>
            <w:tcW w:w="935" w:type="dxa"/>
            <w:tcBorders/>
            <w:shd w:fill="CCEEFF" w:val="clear"/>
            <w:vAlign w:val="bottom"/>
          </w:tcPr>
          <w:p>
            <w:pPr>
              <w:pStyle w:val="TableContents"/>
              <w:bidi w:val="0"/>
              <w:spacing w:before="0" w:after="283"/>
              <w:jc w:val="left"/>
              <w:rPr>
                <w:b/>
              </w:rPr>
            </w:pPr>
            <w:r>
              <w:rPr>
                <w:b/>
              </w:rPr>
              <w:t>Total/weighted average RMBS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980" w:type="dxa"/>
            <w:tcBorders/>
            <w:shd w:fill="CCEEFF" w:val="clear"/>
            <w:vAlign w:val="bottom"/>
          </w:tcPr>
          <w:p>
            <w:pPr>
              <w:pStyle w:val="TableContents"/>
              <w:bidi w:val="0"/>
              <w:spacing w:before="0" w:after="283"/>
              <w:jc w:val="right"/>
              <w:rPr>
                <w:b/>
              </w:rPr>
            </w:pPr>
            <w:r>
              <w:rPr>
                <w:b/>
              </w:rPr>
              <w:t>1,422,543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980" w:type="dxa"/>
            <w:tcBorders/>
            <w:shd w:fill="CCEEFF" w:val="clear"/>
            <w:vAlign w:val="bottom"/>
          </w:tcPr>
          <w:p>
            <w:pPr>
              <w:pStyle w:val="TableContents"/>
              <w:bidi w:val="0"/>
              <w:spacing w:before="0" w:after="283"/>
              <w:jc w:val="right"/>
              <w:rPr>
                <w:b/>
              </w:rPr>
            </w:pPr>
            <w:r>
              <w:rPr>
                <w:b/>
              </w:rPr>
              <w:t>1,184,212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680" w:type="dxa"/>
            <w:tcBorders/>
            <w:shd w:fill="CCEEFF" w:val="clear"/>
            <w:vAlign w:val="bottom"/>
          </w:tcPr>
          <w:p>
            <w:pPr>
              <w:pStyle w:val="TableContents"/>
              <w:bidi w:val="0"/>
              <w:spacing w:before="0" w:after="283"/>
              <w:jc w:val="right"/>
              <w:rPr>
                <w:b/>
              </w:rPr>
            </w:pPr>
            <w:r>
              <w:rPr>
                <w:b/>
              </w:rPr>
              <w:t>30,327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455" w:type="dxa"/>
            <w:tcBorders/>
            <w:shd w:fill="CCEEFF" w:val="clear"/>
            <w:vAlign w:val="bottom"/>
          </w:tcPr>
          <w:p>
            <w:pPr>
              <w:pStyle w:val="TableContents"/>
              <w:bidi w:val="0"/>
              <w:spacing w:before="0" w:after="283"/>
              <w:jc w:val="right"/>
              <w:rPr>
                <w:b/>
              </w:rPr>
            </w:pPr>
            <w:r>
              <w:rPr>
                <w:b/>
              </w:rPr>
              <w:t>(688</w:t>
            </w:r>
          </w:p>
        </w:tc>
        <w:tc>
          <w:tcPr>
            <w:tcW w:w="95" w:type="dxa"/>
            <w:tcBorders/>
            <w:shd w:fill="CCEEFF" w:val="clear"/>
            <w:vAlign w:val="bottom"/>
          </w:tcPr>
          <w:p>
            <w:pPr>
              <w:pStyle w:val="TableContents"/>
              <w:bidi w:val="0"/>
              <w:spacing w:before="0" w:after="283"/>
              <w:jc w:val="left"/>
              <w:rPr>
                <w:b/>
              </w:rPr>
            </w:pPr>
            <w:r>
              <w:rPr>
                <w:b/>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980" w:type="dxa"/>
            <w:tcBorders/>
            <w:shd w:fill="CCEEFF" w:val="clear"/>
            <w:vAlign w:val="bottom"/>
          </w:tcPr>
          <w:p>
            <w:pPr>
              <w:pStyle w:val="TableContents"/>
              <w:bidi w:val="0"/>
              <w:spacing w:before="0" w:after="283"/>
              <w:jc w:val="right"/>
              <w:rPr>
                <w:b/>
              </w:rPr>
            </w:pPr>
            <w:r>
              <w:rPr>
                <w:b/>
              </w:rPr>
              <w:t>1,213,851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15" w:type="dxa"/>
            <w:tcBorders/>
            <w:shd w:fill="CCEEFF" w:val="clear"/>
            <w:vAlign w:val="bottom"/>
          </w:tcPr>
          <w:p>
            <w:pPr>
              <w:pStyle w:val="TableContents"/>
              <w:bidi w:val="0"/>
              <w:spacing w:before="0" w:after="283"/>
              <w:jc w:val="left"/>
              <w:rPr/>
            </w:pPr>
            <w:r>
              <w:rPr/>
              <w:t> </w:t>
            </w:r>
          </w:p>
        </w:tc>
        <w:tc>
          <w:tcPr>
            <w:tcW w:w="730" w:type="dxa"/>
            <w:tcBorders/>
            <w:shd w:fill="CCEEFF" w:val="clear"/>
            <w:vAlign w:val="bottom"/>
          </w:tcPr>
          <w:p>
            <w:pPr>
              <w:pStyle w:val="TableContents"/>
              <w:bidi w:val="0"/>
              <w:spacing w:before="0" w:after="283"/>
              <w:jc w:val="right"/>
              <w:rPr>
                <w:b/>
              </w:rPr>
            </w:pPr>
            <w:r>
              <w:rPr>
                <w:b/>
              </w:rPr>
              <w:t>107</w:t>
            </w:r>
          </w:p>
        </w:tc>
        <w:tc>
          <w:tcPr>
            <w:tcW w:w="6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81" w:type="dxa"/>
            <w:tcBorders/>
            <w:shd w:fill="CCEEFF" w:val="clear"/>
            <w:vAlign w:val="bottom"/>
          </w:tcPr>
          <w:p>
            <w:pPr>
              <w:pStyle w:val="TableContents"/>
              <w:bidi w:val="0"/>
              <w:spacing w:before="0" w:after="283"/>
              <w:jc w:val="left"/>
              <w:rPr/>
            </w:pPr>
            <w:r>
              <w:rPr/>
              <w:t> </w:t>
            </w:r>
          </w:p>
        </w:tc>
        <w:tc>
          <w:tcPr>
            <w:tcW w:w="599" w:type="dxa"/>
            <w:tcBorders/>
            <w:shd w:fill="CCEEFF" w:val="clear"/>
            <w:vAlign w:val="bottom"/>
          </w:tcPr>
          <w:p>
            <w:pPr>
              <w:pStyle w:val="TableContents"/>
              <w:bidi w:val="0"/>
              <w:spacing w:before="0" w:after="283"/>
              <w:jc w:val="right"/>
              <w:rPr>
                <w:b/>
              </w:rPr>
            </w:pPr>
            <w:r>
              <w:rPr>
                <w:b/>
              </w:rPr>
              <w:t>4.98</w:t>
            </w:r>
          </w:p>
        </w:tc>
        <w:tc>
          <w:tcPr>
            <w:tcW w:w="260" w:type="dxa"/>
            <w:tcBorders/>
            <w:shd w:fill="CCEEFF" w:val="clear"/>
            <w:vAlign w:val="bottom"/>
          </w:tcPr>
          <w:p>
            <w:pPr>
              <w:pStyle w:val="TableContents"/>
              <w:bidi w:val="0"/>
              <w:spacing w:before="0" w:after="283"/>
              <w:jc w:val="left"/>
              <w:rPr>
                <w:b/>
              </w:rPr>
            </w:pPr>
            <w:r>
              <w:rPr>
                <w:b/>
              </w:rPr>
              <w:t>%</w:t>
            </w:r>
          </w:p>
        </w:tc>
        <w:tc>
          <w:tcPr>
            <w:tcW w:w="60"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c>
          <w:tcPr>
            <w:tcW w:w="467" w:type="dxa"/>
            <w:tcBorders/>
            <w:shd w:fill="CCEEFF" w:val="clear"/>
            <w:vAlign w:val="bottom"/>
          </w:tcPr>
          <w:p>
            <w:pPr>
              <w:pStyle w:val="TableContents"/>
              <w:bidi w:val="0"/>
              <w:spacing w:before="0" w:after="283"/>
              <w:jc w:val="right"/>
              <w:rPr>
                <w:b/>
              </w:rPr>
            </w:pPr>
            <w:r>
              <w:rPr>
                <w:b/>
              </w:rPr>
              <w:t>5.08</w:t>
            </w:r>
          </w:p>
        </w:tc>
        <w:tc>
          <w:tcPr>
            <w:tcW w:w="260" w:type="dxa"/>
            <w:tcBorders/>
            <w:shd w:fill="CCEEFF" w:val="clear"/>
            <w:vAlign w:val="bottom"/>
          </w:tcPr>
          <w:p>
            <w:pPr>
              <w:pStyle w:val="TableContents"/>
              <w:bidi w:val="0"/>
              <w:spacing w:before="0" w:after="283"/>
              <w:jc w:val="left"/>
              <w:rPr>
                <w:b/>
              </w:rPr>
            </w:pPr>
            <w:r>
              <w:rPr>
                <w:b/>
              </w:rPr>
              <w:t>%</w:t>
            </w:r>
          </w:p>
        </w:tc>
        <w:tc>
          <w:tcPr>
            <w:tcW w:w="60" w:type="dxa"/>
            <w:tcBorders/>
            <w:shd w:fill="CCEEFF" w:val="clear"/>
            <w:vAlign w:val="bottom"/>
          </w:tcPr>
          <w:p>
            <w:pPr>
              <w:pStyle w:val="TableContents"/>
              <w:bidi w:val="0"/>
              <w:spacing w:before="0" w:after="283"/>
              <w:jc w:val="right"/>
              <w:rPr/>
            </w:pPr>
            <w:r>
              <w:rPr/>
              <w:t> </w:t>
            </w:r>
          </w:p>
        </w:tc>
        <w:tc>
          <w:tcPr>
            <w:tcW w:w="147" w:type="dxa"/>
            <w:tcBorders/>
            <w:shd w:fill="CCEEFF" w:val="clear"/>
            <w:vAlign w:val="bottom"/>
          </w:tcPr>
          <w:p>
            <w:pPr>
              <w:pStyle w:val="TableContents"/>
              <w:bidi w:val="0"/>
              <w:spacing w:before="0" w:after="283"/>
              <w:jc w:val="left"/>
              <w:rPr/>
            </w:pPr>
            <w:r>
              <w:rPr/>
              <w:t> </w:t>
            </w:r>
          </w:p>
        </w:tc>
        <w:tc>
          <w:tcPr>
            <w:tcW w:w="638" w:type="dxa"/>
            <w:tcBorders/>
            <w:shd w:fill="CCEEFF" w:val="clear"/>
            <w:vAlign w:val="bottom"/>
          </w:tcPr>
          <w:p>
            <w:pPr>
              <w:pStyle w:val="TableContents"/>
              <w:bidi w:val="0"/>
              <w:spacing w:before="0" w:after="283"/>
              <w:jc w:val="right"/>
              <w:rPr>
                <w:b/>
              </w:rPr>
            </w:pPr>
            <w:r>
              <w:rPr>
                <w:b/>
              </w:rPr>
              <w:t>27</w:t>
            </w:r>
          </w:p>
        </w:tc>
        <w:tc>
          <w:tcPr>
            <w:tcW w:w="6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tbl>
      <w:tblPr>
        <w:tblW w:w="8560" w:type="dxa"/>
        <w:jc w:val="left"/>
        <w:tblInd w:w="0" w:type="dxa"/>
        <w:tblLayout w:type="fixed"/>
        <w:tblCellMar>
          <w:top w:w="0" w:type="dxa"/>
          <w:left w:w="0" w:type="dxa"/>
          <w:bottom w:w="0" w:type="dxa"/>
          <w:right w:w="0" w:type="dxa"/>
        </w:tblCellMar>
      </w:tblPr>
      <w:tblGrid>
        <w:gridCol w:w="290"/>
        <w:gridCol w:w="8270"/>
      </w:tblGrid>
      <w:tr>
        <w:trPr/>
        <w:tc>
          <w:tcPr>
            <w:tcW w:w="29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(A)</w:t>
            </w:r>
          </w:p>
        </w:tc>
        <w:tc>
          <w:tcPr>
            <w:tcW w:w="827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See Note 8 regarding the estimation of fair value, which approximates carrying value for all securities.</w:t>
            </w:r>
          </w:p>
        </w:tc>
      </w:tr>
    </w:tbl>
    <w:tbl>
      <w:tblPr>
        <w:tblW w:w="5650" w:type="dxa"/>
        <w:jc w:val="left"/>
        <w:tblInd w:w="0" w:type="dxa"/>
        <w:tblLayout w:type="fixed"/>
        <w:tblCellMar>
          <w:top w:w="0" w:type="dxa"/>
          <w:left w:w="0" w:type="dxa"/>
          <w:bottom w:w="0" w:type="dxa"/>
          <w:right w:w="0" w:type="dxa"/>
        </w:tblCellMar>
      </w:tblPr>
      <w:tblGrid>
        <w:gridCol w:w="290"/>
        <w:gridCol w:w="5360"/>
      </w:tblGrid>
      <w:tr>
        <w:trPr/>
        <w:tc>
          <w:tcPr>
            <w:tcW w:w="29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(B)</w:t>
            </w:r>
          </w:p>
        </w:tc>
        <w:tc>
          <w:tcPr>
            <w:tcW w:w="53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The Company used an implied AA+ rating for the Agency RMBS.</w:t>
            </w:r>
          </w:p>
        </w:tc>
      </w:tr>
    </w:tbl>
    <w:tbl>
      <w:tblPr>
        <w:tblW w:w="10205" w:type="dxa"/>
        <w:jc w:val="left"/>
        <w:tblInd w:w="0" w:type="dxa"/>
        <w:tblLayout w:type="fixed"/>
        <w:tblCellMar>
          <w:top w:w="0" w:type="dxa"/>
          <w:left w:w="0" w:type="dxa"/>
          <w:bottom w:w="0" w:type="dxa"/>
          <w:right w:w="0" w:type="dxa"/>
        </w:tblCellMar>
      </w:tblPr>
      <w:tblGrid>
        <w:gridCol w:w="273"/>
        <w:gridCol w:w="9932"/>
      </w:tblGrid>
      <w:tr>
        <w:trPr/>
        <w:tc>
          <w:tcPr>
            <w:tcW w:w="273"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(C)</w:t>
            </w:r>
          </w:p>
        </w:tc>
        <w:tc>
          <w:tcPr>
            <w:tcW w:w="9932"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The weighted average yield is based on the most recent gross monthly interest income, which is then annualized and divided by the book value of settled securities.</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19</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Summary of RMBS Assets by Maturity</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As of June 30, 2026</w:t>
      </w:r>
    </w:p>
    <w:p>
      <w:pPr>
        <w:pStyle w:val="TextBody"/>
        <w:bidi w:val="0"/>
        <w:spacing w:before="0" w:after="0"/>
        <w:jc w:val="center"/>
        <w:rPr>
          <w:rFonts w:ascii="Times New Roman" w:hAnsi="Times New Roman"/>
          <w:b/>
          <w:sz w:val="20"/>
        </w:rPr>
      </w:pPr>
      <w:r>
        <w:rPr>
          <w:rFonts w:ascii="Times New Roman" w:hAnsi="Times New Roman"/>
          <w:b/>
          <w:sz w:val="20"/>
        </w:rPr>
      </w:r>
    </w:p>
    <w:tbl>
      <w:tblPr>
        <w:tblW w:w="10205" w:type="dxa"/>
        <w:jc w:val="left"/>
        <w:tblInd w:w="0" w:type="dxa"/>
        <w:tblLayout w:type="fixed"/>
        <w:tblCellMar>
          <w:top w:w="0" w:type="dxa"/>
          <w:left w:w="0" w:type="dxa"/>
          <w:bottom w:w="0" w:type="dxa"/>
          <w:right w:w="0" w:type="dxa"/>
        </w:tblCellMar>
      </w:tblPr>
      <w:tblGrid>
        <w:gridCol w:w="880"/>
        <w:gridCol w:w="60"/>
        <w:gridCol w:w="125"/>
        <w:gridCol w:w="845"/>
        <w:gridCol w:w="60"/>
        <w:gridCol w:w="60"/>
        <w:gridCol w:w="125"/>
        <w:gridCol w:w="845"/>
        <w:gridCol w:w="60"/>
        <w:gridCol w:w="60"/>
        <w:gridCol w:w="125"/>
        <w:gridCol w:w="592"/>
        <w:gridCol w:w="60"/>
        <w:gridCol w:w="60"/>
        <w:gridCol w:w="125"/>
        <w:gridCol w:w="547"/>
        <w:gridCol w:w="80"/>
        <w:gridCol w:w="60"/>
        <w:gridCol w:w="126"/>
        <w:gridCol w:w="856"/>
        <w:gridCol w:w="60"/>
        <w:gridCol w:w="60"/>
        <w:gridCol w:w="128"/>
        <w:gridCol w:w="718"/>
        <w:gridCol w:w="60"/>
        <w:gridCol w:w="590"/>
        <w:gridCol w:w="60"/>
        <w:gridCol w:w="115"/>
        <w:gridCol w:w="730"/>
        <w:gridCol w:w="215"/>
        <w:gridCol w:w="60"/>
        <w:gridCol w:w="72"/>
        <w:gridCol w:w="461"/>
        <w:gridCol w:w="215"/>
        <w:gridCol w:w="60"/>
        <w:gridCol w:w="162"/>
        <w:gridCol w:w="623"/>
        <w:gridCol w:w="65"/>
      </w:tblGrid>
      <w:tr>
        <w:trPr/>
        <w:tc>
          <w:tcPr>
            <w:tcW w:w="8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1509" w:type="dxa"/>
            <w:gridSpan w:val="6"/>
            <w:tcBorders>
              <w:bottom w:val="single" w:sz="12" w:space="0" w:color="000000"/>
            </w:tcBorders>
            <w:tcMar>
              <w:bottom w:w="28" w:type="dxa"/>
            </w:tcMar>
            <w:vAlign w:val="bottom"/>
          </w:tcPr>
          <w:p>
            <w:pPr>
              <w:pStyle w:val="TableContents"/>
              <w:bidi w:val="0"/>
              <w:spacing w:before="0" w:after="283"/>
              <w:jc w:val="center"/>
              <w:rPr>
                <w:b/>
              </w:rPr>
            </w:pPr>
            <w:r>
              <w:rPr>
                <w:b/>
              </w:rPr>
              <w:t>Gross Unrealized</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2"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6"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363" w:type="dxa"/>
            <w:gridSpan w:val="12"/>
            <w:tcBorders>
              <w:bottom w:val="single" w:sz="12" w:space="0" w:color="000000"/>
            </w:tcBorders>
            <w:tcMar>
              <w:bottom w:w="28" w:type="dxa"/>
            </w:tcMar>
            <w:vAlign w:val="bottom"/>
          </w:tcPr>
          <w:p>
            <w:pPr>
              <w:pStyle w:val="TableContents"/>
              <w:bidi w:val="0"/>
              <w:spacing w:before="0" w:after="0"/>
              <w:jc w:val="center"/>
              <w:rPr>
                <w:b/>
              </w:rPr>
            </w:pPr>
            <w:r>
              <w:rPr>
                <w:b/>
              </w:rPr>
              <w:t>Weighted Average</w:t>
            </w:r>
          </w:p>
        </w:tc>
        <w:tc>
          <w:tcPr>
            <w:tcW w:w="65" w:type="dxa"/>
            <w:tcBorders/>
            <w:vAlign w:val="bottom"/>
          </w:tcPr>
          <w:p>
            <w:pPr>
              <w:pStyle w:val="TableContents"/>
              <w:bidi w:val="0"/>
              <w:spacing w:before="0" w:after="283"/>
              <w:jc w:val="left"/>
              <w:rPr/>
            </w:pPr>
            <w:r>
              <w:rPr/>
              <w:t> </w:t>
            </w:r>
          </w:p>
        </w:tc>
      </w:tr>
      <w:tr>
        <w:trPr/>
        <w:tc>
          <w:tcPr>
            <w:tcW w:w="880" w:type="dxa"/>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Years to Maturity</w:t>
            </w:r>
          </w:p>
        </w:tc>
        <w:tc>
          <w:tcPr>
            <w:tcW w:w="60" w:type="dxa"/>
            <w:tcBorders/>
            <w:vAlign w:val="bottom"/>
          </w:tcPr>
          <w:p>
            <w:pPr>
              <w:pStyle w:val="TableContents"/>
              <w:bidi w:val="0"/>
              <w:spacing w:before="0" w:after="283"/>
              <w:jc w:val="left"/>
              <w:rPr/>
            </w:pPr>
            <w:r>
              <w:rPr/>
              <w:t> </w:t>
            </w:r>
          </w:p>
        </w:tc>
        <w:tc>
          <w:tcPr>
            <w:tcW w:w="97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Original</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Face</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Value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Book</w:t>
              <w:br/>
              <w:t>Value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7"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Gains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72"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Losses</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2"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Carrying Value</w:t>
            </w:r>
            <w:r>
              <w:rPr>
                <w:rFonts w:ascii="Times New Roman" w:hAnsi="Times New Roman"/>
                <w:b/>
                <w:color w:val="000000"/>
                <w:position w:val="7"/>
                <w:sz w:val="16"/>
                <w:sz w:val="20"/>
              </w:rPr>
              <w:t>(A)</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6"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Number of</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Securities</w:t>
            </w:r>
          </w:p>
        </w:tc>
        <w:tc>
          <w:tcPr>
            <w:tcW w:w="60" w:type="dxa"/>
            <w:tcBorders/>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Rating</w:t>
            </w:r>
          </w:p>
        </w:tc>
        <w:tc>
          <w:tcPr>
            <w:tcW w:w="60" w:type="dxa"/>
            <w:tcBorders/>
            <w:vAlign w:val="bottom"/>
          </w:tcPr>
          <w:p>
            <w:pPr>
              <w:pStyle w:val="TableContents"/>
              <w:bidi w:val="0"/>
              <w:spacing w:before="0" w:after="283"/>
              <w:jc w:val="center"/>
              <w:rPr/>
            </w:pPr>
            <w:r>
              <w:rPr/>
              <w:t> </w:t>
            </w:r>
          </w:p>
        </w:tc>
        <w:tc>
          <w:tcPr>
            <w:tcW w:w="845" w:type="dxa"/>
            <w:gridSpan w:val="2"/>
            <w:tcBorders>
              <w:bottom w:val="single" w:sz="12" w:space="0" w:color="000000"/>
            </w:tcBorders>
            <w:tcMar>
              <w:bottom w:w="28" w:type="dxa"/>
            </w:tcMar>
            <w:vAlign w:val="bottom"/>
          </w:tcPr>
          <w:p>
            <w:pPr>
              <w:pStyle w:val="TableContents"/>
              <w:bidi w:val="0"/>
              <w:spacing w:before="0" w:after="283"/>
              <w:jc w:val="center"/>
              <w:rPr>
                <w:b/>
              </w:rPr>
            </w:pPr>
            <w:r>
              <w:rPr>
                <w:b/>
              </w:rPr>
              <w:t>Coupon</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3"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Yield</w:t>
            </w:r>
            <w:r>
              <w:rPr>
                <w:rFonts w:ascii="Times New Roman" w:hAnsi="Times New Roman"/>
                <w:b/>
                <w:color w:val="000000"/>
                <w:position w:val="7"/>
                <w:sz w:val="16"/>
                <w:sz w:val="20"/>
              </w:rPr>
              <w:t>(C)</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Maturity</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(Years)</w:t>
            </w:r>
          </w:p>
        </w:tc>
        <w:tc>
          <w:tcPr>
            <w:tcW w:w="65" w:type="dxa"/>
            <w:tcBorders/>
            <w:vAlign w:val="bottom"/>
          </w:tcPr>
          <w:p>
            <w:pPr>
              <w:pStyle w:val="TableContents"/>
              <w:bidi w:val="0"/>
              <w:spacing w:before="0" w:after="283"/>
              <w:jc w:val="left"/>
              <w:rPr/>
            </w:pPr>
            <w:r>
              <w:rPr/>
              <w:t> </w:t>
            </w:r>
          </w:p>
        </w:tc>
      </w:tr>
      <w:tr>
        <w:trPr/>
        <w:tc>
          <w:tcPr>
            <w:tcW w:w="880" w:type="dxa"/>
            <w:tcBorders/>
            <w:shd w:fill="CCEEFF" w:val="clear"/>
            <w:vAlign w:val="bottom"/>
          </w:tcPr>
          <w:p>
            <w:pPr>
              <w:pStyle w:val="TableContents"/>
              <w:bidi w:val="0"/>
              <w:spacing w:before="0" w:after="0"/>
              <w:ind w:left="180" w:right="0" w:hanging="180"/>
              <w:jc w:val="left"/>
              <w:rPr>
                <w:rFonts w:ascii="Times New Roman" w:hAnsi="Times New Roman"/>
                <w:b/>
                <w:color w:val="000000"/>
                <w:sz w:val="20"/>
              </w:rPr>
            </w:pPr>
            <w:r>
              <w:rPr>
                <w:rFonts w:ascii="Times New Roman" w:hAnsi="Times New Roman"/>
                <w:b/>
                <w:color w:val="000000"/>
                <w:sz w:val="20"/>
              </w:rPr>
              <w:t>RMBS, available-for-sale, measured at fair value through OCI</w:t>
            </w:r>
          </w:p>
        </w:tc>
        <w:tc>
          <w:tcPr>
            <w:tcW w:w="60" w:type="dxa"/>
            <w:tcBorders/>
            <w:shd w:fill="CCEEFF" w:val="clear"/>
            <w:vAlign w:val="bottom"/>
          </w:tcPr>
          <w:p>
            <w:pPr>
              <w:pStyle w:val="TableContents"/>
              <w:bidi w:val="0"/>
              <w:spacing w:before="0" w:after="283"/>
              <w:jc w:val="left"/>
              <w:rPr/>
            </w:pPr>
            <w:r>
              <w:rPr/>
              <w:t> </w:t>
            </w:r>
          </w:p>
        </w:tc>
        <w:tc>
          <w:tcPr>
            <w:tcW w:w="970" w:type="dxa"/>
            <w:gridSpan w:val="2"/>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70" w:type="dxa"/>
            <w:gridSpan w:val="2"/>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7" w:type="dxa"/>
            <w:gridSpan w:val="2"/>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72" w:type="dxa"/>
            <w:gridSpan w:val="2"/>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2" w:type="dxa"/>
            <w:gridSpan w:val="2"/>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6" w:type="dxa"/>
            <w:gridSpan w:val="2"/>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left"/>
              <w:rPr>
                <w:color w:val="000000"/>
              </w:rPr>
            </w:pPr>
            <w:r>
              <w:rPr>
                <w:color w:val="000000"/>
              </w:rPr>
              <w:t> </w:t>
            </w:r>
          </w:p>
        </w:tc>
        <w:tc>
          <w:tcPr>
            <w:tcW w:w="60" w:type="dxa"/>
            <w:tcBorders/>
            <w:shd w:fill="CCEEFF" w:val="clear"/>
            <w:vAlign w:val="bottom"/>
          </w:tcPr>
          <w:p>
            <w:pPr>
              <w:pStyle w:val="TableContents"/>
              <w:bidi w:val="0"/>
              <w:spacing w:before="0" w:after="283"/>
              <w:jc w:val="left"/>
              <w:rPr/>
            </w:pPr>
            <w:r>
              <w:rPr/>
              <w:t> </w:t>
            </w:r>
          </w:p>
        </w:tc>
        <w:tc>
          <w:tcPr>
            <w:tcW w:w="845" w:type="dxa"/>
            <w:gridSpan w:val="2"/>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33" w:type="dxa"/>
            <w:gridSpan w:val="2"/>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5" w:type="dxa"/>
            <w:gridSpan w:val="2"/>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r>
      <w:tr>
        <w:trPr/>
        <w:tc>
          <w:tcPr>
            <w:tcW w:w="880" w:type="dxa"/>
            <w:tcBorders/>
            <w:vAlign w:val="bottom"/>
          </w:tcPr>
          <w:p>
            <w:pPr>
              <w:pStyle w:val="TableContents"/>
              <w:bidi w:val="0"/>
              <w:spacing w:before="0" w:after="0"/>
              <w:ind w:left="360" w:right="0" w:hanging="180"/>
              <w:jc w:val="left"/>
              <w:rPr>
                <w:rFonts w:ascii="Times New Roman" w:hAnsi="Times New Roman"/>
                <w:color w:val="000000"/>
                <w:sz w:val="20"/>
              </w:rPr>
            </w:pPr>
            <w:r>
              <w:rPr>
                <w:rFonts w:ascii="Times New Roman" w:hAnsi="Times New Roman"/>
                <w:color w:val="000000"/>
                <w:sz w:val="20"/>
              </w:rPr>
              <w:t>Over 10 Years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4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225,227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4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158,514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2"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2,387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47"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(575</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26"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56"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160,326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8" w:type="dxa"/>
            <w:tcBorders/>
            <w:vAlign w:val="bottom"/>
          </w:tcPr>
          <w:p>
            <w:pPr>
              <w:pStyle w:val="TableContents"/>
              <w:bidi w:val="0"/>
              <w:spacing w:before="0" w:after="283"/>
              <w:jc w:val="left"/>
              <w:rPr/>
            </w:pPr>
            <w:r>
              <w:rPr/>
              <w:t> </w:t>
            </w:r>
          </w:p>
        </w:tc>
        <w:tc>
          <w:tcPr>
            <w:tcW w:w="71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(B)</w:t>
            </w:r>
          </w:p>
        </w:tc>
        <w:tc>
          <w:tcPr>
            <w:tcW w:w="60" w:type="dxa"/>
            <w:tcBorders/>
            <w:vAlign w:val="bottom"/>
          </w:tcPr>
          <w:p>
            <w:pPr>
              <w:pStyle w:val="TableContents"/>
              <w:bidi w:val="0"/>
              <w:spacing w:before="0" w:after="283"/>
              <w:jc w:val="right"/>
              <w:rPr/>
            </w:pPr>
            <w:r>
              <w:rPr/>
              <w:t> </w:t>
            </w:r>
          </w:p>
        </w:tc>
        <w:tc>
          <w:tcPr>
            <w:tcW w:w="115" w:type="dxa"/>
            <w:tcBorders/>
            <w:vAlign w:val="bottom"/>
          </w:tcPr>
          <w:p>
            <w:pPr>
              <w:pStyle w:val="TableContents"/>
              <w:bidi w:val="0"/>
              <w:spacing w:before="0" w:after="283"/>
              <w:jc w:val="left"/>
              <w:rPr/>
            </w:pPr>
            <w:r>
              <w:rPr/>
              <w:t> </w:t>
            </w:r>
          </w:p>
        </w:tc>
        <w:tc>
          <w:tcPr>
            <w:tcW w:w="73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4.97</w:t>
            </w:r>
          </w:p>
        </w:tc>
        <w:tc>
          <w:tcPr>
            <w:tcW w:w="21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72" w:type="dxa"/>
            <w:tcBorders/>
            <w:vAlign w:val="bottom"/>
          </w:tcPr>
          <w:p>
            <w:pPr>
              <w:pStyle w:val="TableContents"/>
              <w:bidi w:val="0"/>
              <w:spacing w:before="0" w:after="283"/>
              <w:jc w:val="left"/>
              <w:rPr/>
            </w:pPr>
            <w:r>
              <w:rPr/>
              <w:t> </w:t>
            </w:r>
          </w:p>
        </w:tc>
        <w:tc>
          <w:tcPr>
            <w:tcW w:w="461"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5.07</w:t>
            </w:r>
          </w:p>
        </w:tc>
        <w:tc>
          <w:tcPr>
            <w:tcW w:w="21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62" w:type="dxa"/>
            <w:tcBorders/>
            <w:vAlign w:val="bottom"/>
          </w:tcPr>
          <w:p>
            <w:pPr>
              <w:pStyle w:val="TableContents"/>
              <w:bidi w:val="0"/>
              <w:spacing w:before="0" w:after="283"/>
              <w:jc w:val="left"/>
              <w:rPr/>
            </w:pPr>
            <w:r>
              <w:rPr/>
              <w:t> </w:t>
            </w:r>
          </w:p>
        </w:tc>
        <w:tc>
          <w:tcPr>
            <w:tcW w:w="623" w:type="dxa"/>
            <w:tcBorders/>
            <w:vAlign w:val="bottom"/>
          </w:tcPr>
          <w:p>
            <w:pPr>
              <w:pStyle w:val="TableContents"/>
              <w:bidi w:val="0"/>
              <w:spacing w:before="0" w:after="0"/>
              <w:jc w:val="right"/>
              <w:rPr>
                <w:rFonts w:ascii="Times New Roman" w:hAnsi="Times New Roman"/>
                <w:b w:val="false"/>
                <w:color w:val="000000"/>
                <w:sz w:val="20"/>
              </w:rPr>
            </w:pPr>
            <w:r>
              <w:rPr>
                <w:rFonts w:ascii="Times New Roman" w:hAnsi="Times New Roman"/>
                <w:b w:val="false"/>
                <w:color w:val="000000"/>
                <w:sz w:val="20"/>
              </w:rPr>
              <w:t>26</w:t>
            </w:r>
          </w:p>
        </w:tc>
        <w:tc>
          <w:tcPr>
            <w:tcW w:w="65" w:type="dxa"/>
            <w:tcBorders/>
            <w:vAlign w:val="bottom"/>
          </w:tcPr>
          <w:p>
            <w:pPr>
              <w:pStyle w:val="TableContents"/>
              <w:bidi w:val="0"/>
              <w:spacing w:before="0" w:after="283"/>
              <w:jc w:val="left"/>
              <w:rPr/>
            </w:pPr>
            <w:r>
              <w:rPr/>
              <w:t> </w:t>
            </w:r>
          </w:p>
        </w:tc>
      </w:tr>
      <w:tr>
        <w:trPr/>
        <w:tc>
          <w:tcPr>
            <w:tcW w:w="880" w:type="dxa"/>
            <w:tcBorders/>
            <w:shd w:fill="CCEEFF" w:val="clear"/>
            <w:vAlign w:val="bottom"/>
          </w:tcPr>
          <w:p>
            <w:pPr>
              <w:pStyle w:val="TableContents"/>
              <w:bidi w:val="0"/>
              <w:spacing w:before="0" w:after="0"/>
              <w:ind w:left="180" w:right="0" w:hanging="180"/>
              <w:jc w:val="left"/>
              <w:rPr>
                <w:rFonts w:ascii="Times New Roman" w:hAnsi="Times New Roman"/>
                <w:b/>
                <w:color w:val="000000"/>
                <w:sz w:val="20"/>
              </w:rPr>
            </w:pPr>
            <w:r>
              <w:rPr>
                <w:rFonts w:ascii="Times New Roman" w:hAnsi="Times New Roman"/>
                <w:b/>
                <w:color w:val="000000"/>
                <w:sz w:val="20"/>
              </w:rPr>
              <w:t xml:space="preserve">RMBS, measured at fair value through earnings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47"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6"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8" w:type="dxa"/>
            <w:tcBorders/>
            <w:shd w:fill="CCEEFF" w:val="clear"/>
            <w:vAlign w:val="bottom"/>
          </w:tcPr>
          <w:p>
            <w:pPr>
              <w:pStyle w:val="TableContents"/>
              <w:bidi w:val="0"/>
              <w:spacing w:before="0" w:after="283"/>
              <w:jc w:val="left"/>
              <w:rPr/>
            </w:pPr>
            <w:r>
              <w:rPr/>
              <w:t> </w:t>
            </w:r>
          </w:p>
        </w:tc>
        <w:tc>
          <w:tcPr>
            <w:tcW w:w="71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pPr>
            <w:r>
              <w:rPr/>
              <w:t> </w:t>
            </w:r>
          </w:p>
        </w:tc>
        <w:tc>
          <w:tcPr>
            <w:tcW w:w="115" w:type="dxa"/>
            <w:tcBorders/>
            <w:shd w:fill="CCEEFF" w:val="clear"/>
            <w:vAlign w:val="bottom"/>
          </w:tcPr>
          <w:p>
            <w:pPr>
              <w:pStyle w:val="TableContents"/>
              <w:bidi w:val="0"/>
              <w:spacing w:before="0" w:after="283"/>
              <w:jc w:val="left"/>
              <w:rPr/>
            </w:pPr>
            <w:r>
              <w:rPr/>
              <w:t> </w:t>
            </w:r>
          </w:p>
        </w:tc>
        <w:tc>
          <w:tcPr>
            <w:tcW w:w="730"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72" w:type="dxa"/>
            <w:tcBorders/>
            <w:shd w:fill="CCEEFF" w:val="clear"/>
            <w:vAlign w:val="bottom"/>
          </w:tcPr>
          <w:p>
            <w:pPr>
              <w:pStyle w:val="TableContents"/>
              <w:bidi w:val="0"/>
              <w:spacing w:before="0" w:after="283"/>
              <w:jc w:val="left"/>
              <w:rPr/>
            </w:pPr>
            <w:r>
              <w:rPr/>
              <w:t> </w:t>
            </w:r>
          </w:p>
        </w:tc>
        <w:tc>
          <w:tcPr>
            <w:tcW w:w="461"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2" w:type="dxa"/>
            <w:tcBorders/>
            <w:shd w:fill="CCEEFF" w:val="clear"/>
            <w:vAlign w:val="bottom"/>
          </w:tcPr>
          <w:p>
            <w:pPr>
              <w:pStyle w:val="TableContents"/>
              <w:bidi w:val="0"/>
              <w:spacing w:before="0" w:after="283"/>
              <w:jc w:val="left"/>
              <w:rPr/>
            </w:pPr>
            <w:r>
              <w:rPr/>
              <w:t> </w:t>
            </w:r>
          </w:p>
        </w:tc>
        <w:tc>
          <w:tcPr>
            <w:tcW w:w="623"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r>
      <w:tr>
        <w:trPr/>
        <w:tc>
          <w:tcPr>
            <w:tcW w:w="880" w:type="dxa"/>
            <w:tcBorders/>
            <w:vAlign w:val="bottom"/>
          </w:tcPr>
          <w:p>
            <w:pPr>
              <w:pStyle w:val="TableContents"/>
              <w:bidi w:val="0"/>
              <w:spacing w:before="0" w:after="0"/>
              <w:ind w:left="360" w:right="0" w:hanging="180"/>
              <w:jc w:val="left"/>
              <w:rPr>
                <w:rFonts w:ascii="Times New Roman" w:hAnsi="Times New Roman"/>
                <w:color w:val="000000"/>
                <w:sz w:val="20"/>
              </w:rPr>
            </w:pPr>
            <w:r>
              <w:rPr>
                <w:rFonts w:ascii="Times New Roman" w:hAnsi="Times New Roman"/>
                <w:color w:val="000000"/>
                <w:sz w:val="20"/>
              </w:rPr>
              <w:t>Over 10 Years</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1,112,352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906,885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2"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14,997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47"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(2,406</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26" w:type="dxa"/>
            <w:tcBorders>
              <w:bottom w:val="single" w:sz="12" w:space="0" w:color="000000"/>
            </w:tcBorders>
            <w:tcMar>
              <w:bottom w:w="28" w:type="dxa"/>
            </w:tcMar>
            <w:vAlign w:val="bottom"/>
          </w:tcPr>
          <w:p>
            <w:pPr>
              <w:pStyle w:val="TableContents"/>
              <w:bidi w:val="0"/>
              <w:spacing w:before="0" w:after="283"/>
              <w:jc w:val="left"/>
              <w:rPr/>
            </w:pPr>
            <w:r>
              <w:rPr/>
              <w:t> </w:t>
            </w:r>
          </w:p>
        </w:tc>
        <w:tc>
          <w:tcPr>
            <w:tcW w:w="856"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919,476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8" w:type="dxa"/>
            <w:tcBorders>
              <w:bottom w:val="single" w:sz="12" w:space="0" w:color="000000"/>
            </w:tcBorders>
            <w:tcMar>
              <w:bottom w:w="28" w:type="dxa"/>
            </w:tcMar>
            <w:vAlign w:val="bottom"/>
          </w:tcPr>
          <w:p>
            <w:pPr>
              <w:pStyle w:val="TableContents"/>
              <w:bidi w:val="0"/>
              <w:spacing w:before="0" w:after="283"/>
              <w:jc w:val="left"/>
              <w:rPr/>
            </w:pPr>
            <w:r>
              <w:rPr/>
              <w:t> </w:t>
            </w:r>
          </w:p>
        </w:tc>
        <w:tc>
          <w:tcPr>
            <w:tcW w:w="71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85</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(B)</w:t>
            </w:r>
          </w:p>
        </w:tc>
        <w:tc>
          <w:tcPr>
            <w:tcW w:w="60" w:type="dxa"/>
            <w:tcBorders/>
            <w:vAlign w:val="bottom"/>
          </w:tcPr>
          <w:p>
            <w:pPr>
              <w:pStyle w:val="TableContents"/>
              <w:bidi w:val="0"/>
              <w:spacing w:before="0" w:after="283"/>
              <w:jc w:val="right"/>
              <w:rPr/>
            </w:pPr>
            <w:r>
              <w:rPr/>
              <w:t> </w:t>
            </w:r>
          </w:p>
        </w:tc>
        <w:tc>
          <w:tcPr>
            <w:tcW w:w="115" w:type="dxa"/>
            <w:tcBorders>
              <w:bottom w:val="single" w:sz="12" w:space="0" w:color="000000"/>
            </w:tcBorders>
            <w:tcMar>
              <w:bottom w:w="28" w:type="dxa"/>
            </w:tcMar>
            <w:vAlign w:val="bottom"/>
          </w:tcPr>
          <w:p>
            <w:pPr>
              <w:pStyle w:val="TableContents"/>
              <w:bidi w:val="0"/>
              <w:spacing w:before="0" w:after="283"/>
              <w:jc w:val="left"/>
              <w:rPr/>
            </w:pPr>
            <w:r>
              <w:rPr/>
              <w:t> </w:t>
            </w:r>
          </w:p>
        </w:tc>
        <w:tc>
          <w:tcPr>
            <w:tcW w:w="73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5.09</w:t>
            </w:r>
          </w:p>
        </w:tc>
        <w:tc>
          <w:tcPr>
            <w:tcW w:w="21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72" w:type="dxa"/>
            <w:tcBorders>
              <w:bottom w:val="single" w:sz="12" w:space="0" w:color="000000"/>
            </w:tcBorders>
            <w:tcMar>
              <w:bottom w:w="28" w:type="dxa"/>
            </w:tcMar>
            <w:vAlign w:val="bottom"/>
          </w:tcPr>
          <w:p>
            <w:pPr>
              <w:pStyle w:val="TableContents"/>
              <w:bidi w:val="0"/>
              <w:spacing w:before="0" w:after="283"/>
              <w:jc w:val="left"/>
              <w:rPr/>
            </w:pPr>
            <w:r>
              <w:rPr/>
              <w:t> </w:t>
            </w:r>
          </w:p>
        </w:tc>
        <w:tc>
          <w:tcPr>
            <w:tcW w:w="461"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5.18</w:t>
            </w:r>
          </w:p>
        </w:tc>
        <w:tc>
          <w:tcPr>
            <w:tcW w:w="21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62" w:type="dxa"/>
            <w:tcBorders>
              <w:bottom w:val="single" w:sz="12" w:space="0" w:color="000000"/>
            </w:tcBorders>
            <w:tcMar>
              <w:bottom w:w="28" w:type="dxa"/>
            </w:tcMar>
            <w:vAlign w:val="bottom"/>
          </w:tcPr>
          <w:p>
            <w:pPr>
              <w:pStyle w:val="TableContents"/>
              <w:bidi w:val="0"/>
              <w:spacing w:before="0" w:after="283"/>
              <w:jc w:val="left"/>
              <w:rPr/>
            </w:pPr>
            <w:r>
              <w:rPr/>
              <w:t> </w:t>
            </w:r>
          </w:p>
        </w:tc>
        <w:tc>
          <w:tcPr>
            <w:tcW w:w="623"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27</w:t>
            </w:r>
          </w:p>
        </w:tc>
        <w:tc>
          <w:tcPr>
            <w:tcW w:w="65" w:type="dxa"/>
            <w:tcBorders/>
            <w:vAlign w:val="bottom"/>
          </w:tcPr>
          <w:p>
            <w:pPr>
              <w:pStyle w:val="TableContents"/>
              <w:bidi w:val="0"/>
              <w:spacing w:before="0" w:after="283"/>
              <w:jc w:val="left"/>
              <w:rPr/>
            </w:pPr>
            <w:r>
              <w:rPr/>
              <w:t> </w:t>
            </w:r>
          </w:p>
        </w:tc>
      </w:tr>
      <w:tr>
        <w:trPr/>
        <w:tc>
          <w:tcPr>
            <w:tcW w:w="880" w:type="dxa"/>
            <w:tcBorders/>
            <w:shd w:fill="CCEEFF" w:val="clear"/>
            <w:vAlign w:val="bottom"/>
          </w:tcPr>
          <w:p>
            <w:pPr>
              <w:pStyle w:val="TableContents"/>
              <w:bidi w:val="0"/>
              <w:spacing w:before="0" w:after="0"/>
              <w:ind w:left="180" w:right="0" w:hanging="180"/>
              <w:jc w:val="left"/>
              <w:rPr>
                <w:rFonts w:ascii="Times New Roman" w:hAnsi="Times New Roman"/>
                <w:b/>
                <w:color w:val="000000"/>
                <w:sz w:val="20"/>
              </w:rPr>
            </w:pPr>
            <w:r>
              <w:rPr>
                <w:rFonts w:ascii="Times New Roman" w:hAnsi="Times New Roman"/>
                <w:b/>
                <w:color w:val="000000"/>
                <w:sz w:val="20"/>
              </w:rPr>
              <w:t>Total/weighted average RMBS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845" w:type="dxa"/>
            <w:tcBorders/>
            <w:shd w:fill="CCEEFF" w:val="cle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1,337,579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845" w:type="dxa"/>
            <w:tcBorders/>
            <w:shd w:fill="CCEEFF" w:val="cle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1,065,399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592" w:type="dxa"/>
            <w:tcBorders/>
            <w:shd w:fill="CCEEFF" w:val="cle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17,384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547" w:type="dxa"/>
            <w:tcBorders/>
            <w:shd w:fill="CCEEFF" w:val="cle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(2,981</w:t>
            </w:r>
          </w:p>
        </w:tc>
        <w:tc>
          <w:tcPr>
            <w:tcW w:w="80" w:type="dxa"/>
            <w:tcBorders/>
            <w:shd w:fill="CCEEFF" w:val="cle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26" w:type="dxa"/>
            <w:tcBorders/>
            <w:shd w:fill="CCEEFF" w:val="cle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856" w:type="dxa"/>
            <w:tcBorders/>
            <w:shd w:fill="CCEEFF" w:val="cle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1,079,802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8" w:type="dxa"/>
            <w:tcBorders/>
            <w:shd w:fill="CCEEFF" w:val="clear"/>
            <w:vAlign w:val="bottom"/>
          </w:tcPr>
          <w:p>
            <w:pPr>
              <w:pStyle w:val="TableContents"/>
              <w:bidi w:val="0"/>
              <w:spacing w:before="0" w:after="283"/>
              <w:jc w:val="left"/>
              <w:rPr/>
            </w:pPr>
            <w:r>
              <w:rPr/>
              <w:t> </w:t>
            </w:r>
          </w:p>
        </w:tc>
        <w:tc>
          <w:tcPr>
            <w:tcW w:w="718" w:type="dxa"/>
            <w:tcBorders/>
            <w:shd w:fill="CCEEFF" w:val="cle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102</w:t>
            </w:r>
          </w:p>
        </w:tc>
        <w:tc>
          <w:tcPr>
            <w:tcW w:w="6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pPr>
            <w:r>
              <w:rPr/>
              <w:t> </w:t>
            </w:r>
          </w:p>
        </w:tc>
        <w:tc>
          <w:tcPr>
            <w:tcW w:w="115" w:type="dxa"/>
            <w:tcBorders/>
            <w:shd w:fill="CCEEFF" w:val="clear"/>
            <w:vAlign w:val="bottom"/>
          </w:tcPr>
          <w:p>
            <w:pPr>
              <w:pStyle w:val="TableContents"/>
              <w:bidi w:val="0"/>
              <w:spacing w:before="0" w:after="283"/>
              <w:jc w:val="left"/>
              <w:rPr/>
            </w:pPr>
            <w:r>
              <w:rPr/>
              <w:t> </w:t>
            </w:r>
          </w:p>
        </w:tc>
        <w:tc>
          <w:tcPr>
            <w:tcW w:w="730" w:type="dxa"/>
            <w:tcBorders/>
            <w:shd w:fill="CCEEFF" w:val="cle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5.08</w:t>
            </w:r>
          </w:p>
        </w:tc>
        <w:tc>
          <w:tcPr>
            <w:tcW w:w="215" w:type="dxa"/>
            <w:tcBorders/>
            <w:shd w:fill="CCEEFF" w:val="cle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72" w:type="dxa"/>
            <w:tcBorders/>
            <w:shd w:fill="CCEEFF" w:val="clear"/>
            <w:vAlign w:val="bottom"/>
          </w:tcPr>
          <w:p>
            <w:pPr>
              <w:pStyle w:val="TableContents"/>
              <w:bidi w:val="0"/>
              <w:spacing w:before="0" w:after="283"/>
              <w:jc w:val="left"/>
              <w:rPr/>
            </w:pPr>
            <w:r>
              <w:rPr/>
              <w:t> </w:t>
            </w:r>
          </w:p>
        </w:tc>
        <w:tc>
          <w:tcPr>
            <w:tcW w:w="461" w:type="dxa"/>
            <w:tcBorders/>
            <w:shd w:fill="CCEEFF" w:val="cle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5.16</w:t>
            </w:r>
          </w:p>
        </w:tc>
        <w:tc>
          <w:tcPr>
            <w:tcW w:w="215" w:type="dxa"/>
            <w:tcBorders/>
            <w:shd w:fill="CCEEFF" w:val="cle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62" w:type="dxa"/>
            <w:tcBorders/>
            <w:shd w:fill="CCEEFF" w:val="clear"/>
            <w:vAlign w:val="bottom"/>
          </w:tcPr>
          <w:p>
            <w:pPr>
              <w:pStyle w:val="TableContents"/>
              <w:bidi w:val="0"/>
              <w:spacing w:before="0" w:after="283"/>
              <w:jc w:val="left"/>
              <w:rPr/>
            </w:pPr>
            <w:r>
              <w:rPr/>
              <w:t> </w:t>
            </w:r>
          </w:p>
        </w:tc>
        <w:tc>
          <w:tcPr>
            <w:tcW w:w="623" w:type="dxa"/>
            <w:tcBorders/>
            <w:shd w:fill="CCEEFF" w:val="cle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27</w:t>
            </w:r>
          </w:p>
        </w:tc>
        <w:tc>
          <w:tcPr>
            <w:tcW w:w="6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center"/>
        <w:rPr>
          <w:rFonts w:ascii="Times New Roman" w:hAnsi="Times New Roman"/>
          <w:b/>
          <w:i w:val="false"/>
          <w:caps w:val="false"/>
          <w:smallCaps w:val="false"/>
          <w:color w:val="000000"/>
          <w:sz w:val="20"/>
          <w:shd w:fill="FFFFFF" w:val="clear"/>
        </w:rPr>
      </w:pPr>
      <w:r>
        <w:rPr>
          <w:rFonts w:ascii="Times New Roman" w:hAnsi="Times New Roman"/>
          <w:b/>
          <w:i w:val="false"/>
          <w:caps w:val="false"/>
          <w:smallCaps w:val="false"/>
          <w:color w:val="000000"/>
          <w:sz w:val="20"/>
          <w:shd w:fill="FFFFFF" w:val="clear"/>
        </w:rPr>
        <w:t>As of December 31, 2025</w:t>
      </w:r>
    </w:p>
    <w:p>
      <w:pPr>
        <w:pStyle w:val="TextBody"/>
        <w:bidi w:val="0"/>
        <w:spacing w:before="0" w:after="0"/>
        <w:jc w:val="center"/>
        <w:rPr>
          <w:rFonts w:ascii="Times New Roman" w:hAnsi="Times New Roman"/>
          <w:b/>
          <w:sz w:val="20"/>
        </w:rPr>
      </w:pPr>
      <w:r>
        <w:rPr>
          <w:rFonts w:ascii="Times New Roman" w:hAnsi="Times New Roman"/>
          <w:b/>
          <w:sz w:val="20"/>
        </w:rPr>
      </w:r>
    </w:p>
    <w:tbl>
      <w:tblPr>
        <w:tblW w:w="10655" w:type="dxa"/>
        <w:jc w:val="left"/>
        <w:tblInd w:w="0" w:type="dxa"/>
        <w:tblLayout w:type="fixed"/>
        <w:tblCellMar>
          <w:top w:w="0" w:type="dxa"/>
          <w:left w:w="0" w:type="dxa"/>
          <w:bottom w:w="0" w:type="dxa"/>
          <w:right w:w="0" w:type="dxa"/>
        </w:tblCellMar>
      </w:tblPr>
      <w:tblGrid>
        <w:gridCol w:w="935"/>
        <w:gridCol w:w="60"/>
        <w:gridCol w:w="140"/>
        <w:gridCol w:w="980"/>
        <w:gridCol w:w="60"/>
        <w:gridCol w:w="60"/>
        <w:gridCol w:w="140"/>
        <w:gridCol w:w="980"/>
        <w:gridCol w:w="60"/>
        <w:gridCol w:w="60"/>
        <w:gridCol w:w="140"/>
        <w:gridCol w:w="680"/>
        <w:gridCol w:w="60"/>
        <w:gridCol w:w="60"/>
        <w:gridCol w:w="140"/>
        <w:gridCol w:w="455"/>
        <w:gridCol w:w="95"/>
        <w:gridCol w:w="60"/>
        <w:gridCol w:w="140"/>
        <w:gridCol w:w="980"/>
        <w:gridCol w:w="60"/>
        <w:gridCol w:w="60"/>
        <w:gridCol w:w="115"/>
        <w:gridCol w:w="730"/>
        <w:gridCol w:w="60"/>
        <w:gridCol w:w="590"/>
        <w:gridCol w:w="60"/>
        <w:gridCol w:w="81"/>
        <w:gridCol w:w="599"/>
        <w:gridCol w:w="260"/>
        <w:gridCol w:w="60"/>
        <w:gridCol w:w="63"/>
        <w:gridCol w:w="467"/>
        <w:gridCol w:w="260"/>
        <w:gridCol w:w="60"/>
        <w:gridCol w:w="147"/>
        <w:gridCol w:w="638"/>
        <w:gridCol w:w="60"/>
      </w:tblGrid>
      <w:tr>
        <w:trPr/>
        <w:tc>
          <w:tcPr>
            <w:tcW w:w="935" w:type="dxa"/>
            <w:tcBorders/>
            <w:vAlign w:val="bottom"/>
          </w:tcPr>
          <w:p>
            <w:pPr>
              <w:pStyle w:val="TableContents"/>
              <w:bidi w:val="0"/>
              <w:spacing w:before="0" w:after="283"/>
              <w:jc w:val="left"/>
              <w:rPr/>
            </w:pPr>
            <w:r>
              <w:rPr/>
            </w:r>
          </w:p>
        </w:tc>
        <w:tc>
          <w:tcPr>
            <w:tcW w:w="60" w:type="dxa"/>
            <w:tcBorders/>
            <w:vAlign w:val="bottom"/>
          </w:tcPr>
          <w:p>
            <w:pPr>
              <w:pStyle w:val="TableContents"/>
              <w:bidi w:val="0"/>
              <w:spacing w:before="0" w:after="283"/>
              <w:jc w:val="left"/>
              <w:rPr/>
            </w:pPr>
            <w:r>
              <w:rPr/>
              <w:t> </w:t>
            </w:r>
          </w:p>
        </w:tc>
        <w:tc>
          <w:tcPr>
            <w:tcW w:w="11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35"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Gross Unrealized</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85" w:type="dxa"/>
            <w:gridSpan w:val="1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Weighted Average</w:t>
            </w:r>
          </w:p>
        </w:tc>
        <w:tc>
          <w:tcPr>
            <w:tcW w:w="60" w:type="dxa"/>
            <w:tcBorders/>
            <w:vAlign w:val="bottom"/>
          </w:tcPr>
          <w:p>
            <w:pPr>
              <w:pStyle w:val="TableContents"/>
              <w:bidi w:val="0"/>
              <w:spacing w:before="0" w:after="283"/>
              <w:jc w:val="left"/>
              <w:rPr/>
            </w:pPr>
            <w:r>
              <w:rPr/>
              <w:t> </w:t>
            </w:r>
          </w:p>
        </w:tc>
      </w:tr>
      <w:tr>
        <w:trPr/>
        <w:tc>
          <w:tcPr>
            <w:tcW w:w="935" w:type="dxa"/>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Years to Maturity</w:t>
            </w:r>
          </w:p>
        </w:tc>
        <w:tc>
          <w:tcPr>
            <w:tcW w:w="60" w:type="dxa"/>
            <w:tcBorders/>
            <w:vAlign w:val="bottom"/>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Original</w:t>
            </w:r>
          </w:p>
          <w:p>
            <w:pPr>
              <w:pStyle w:val="TableContents"/>
              <w:bidi w:val="0"/>
              <w:spacing w:before="0" w:after="0"/>
              <w:jc w:val="center"/>
              <w:rPr>
                <w:rFonts w:ascii="Times New Roman" w:hAnsi="Times New Roman"/>
                <w:b/>
                <w:sz w:val="20"/>
              </w:rPr>
            </w:pPr>
            <w:r>
              <w:rPr>
                <w:rFonts w:ascii="Times New Roman" w:hAnsi="Times New Roman"/>
                <w:b/>
                <w:sz w:val="20"/>
              </w:rPr>
              <w:t>Face</w:t>
            </w:r>
          </w:p>
          <w:p>
            <w:pPr>
              <w:pStyle w:val="TableContents"/>
              <w:bidi w:val="0"/>
              <w:spacing w:before="0" w:after="0"/>
              <w:jc w:val="center"/>
              <w:rPr>
                <w:rFonts w:ascii="Times New Roman" w:hAnsi="Times New Roman"/>
                <w:b/>
                <w:sz w:val="20"/>
              </w:rPr>
            </w:pPr>
            <w:r>
              <w:rPr>
                <w:rFonts w:ascii="Times New Roman" w:hAnsi="Times New Roman"/>
                <w:b/>
                <w:sz w:val="20"/>
              </w:rPr>
              <w:t>Value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 xml:space="preserve">Book </w:t>
            </w:r>
          </w:p>
          <w:p>
            <w:pPr>
              <w:pStyle w:val="TableContents"/>
              <w:bidi w:val="0"/>
              <w:spacing w:before="0" w:after="0"/>
              <w:jc w:val="center"/>
              <w:rPr>
                <w:rFonts w:ascii="Times New Roman" w:hAnsi="Times New Roman"/>
                <w:b/>
                <w:sz w:val="20"/>
              </w:rPr>
            </w:pPr>
            <w:r>
              <w:rPr>
                <w:rFonts w:ascii="Times New Roman" w:hAnsi="Times New Roman"/>
                <w:b/>
                <w:sz w:val="20"/>
              </w:rPr>
              <w:t>Value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Gains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Losses</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Carrying Value</w:t>
            </w:r>
            <w:r>
              <w:rPr>
                <w:rFonts w:ascii="Times New Roman" w:hAnsi="Times New Roman"/>
                <w:b/>
                <w:position w:val="7"/>
                <w:sz w:val="16"/>
                <w:sz w:val="20"/>
              </w:rPr>
              <w:t>(A)</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Number of</w:t>
            </w:r>
          </w:p>
          <w:p>
            <w:pPr>
              <w:pStyle w:val="TableContents"/>
              <w:bidi w:val="0"/>
              <w:spacing w:before="0" w:after="0"/>
              <w:jc w:val="center"/>
              <w:rPr>
                <w:rFonts w:ascii="Times New Roman" w:hAnsi="Times New Roman"/>
                <w:b/>
                <w:sz w:val="20"/>
              </w:rPr>
            </w:pPr>
            <w:r>
              <w:rPr>
                <w:rFonts w:ascii="Times New Roman" w:hAnsi="Times New Roman"/>
                <w:b/>
                <w:sz w:val="20"/>
              </w:rPr>
              <w:t xml:space="preserve">Securities </w:t>
            </w:r>
          </w:p>
        </w:tc>
        <w:tc>
          <w:tcPr>
            <w:tcW w:w="60" w:type="dxa"/>
            <w:tcBorders/>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Rating</w:t>
            </w:r>
          </w:p>
        </w:tc>
        <w:tc>
          <w:tcPr>
            <w:tcW w:w="60" w:type="dxa"/>
            <w:tcBorders/>
            <w:vAlign w:val="bottom"/>
          </w:tcPr>
          <w:p>
            <w:pPr>
              <w:pStyle w:val="TableContents"/>
              <w:bidi w:val="0"/>
              <w:spacing w:before="0" w:after="283"/>
              <w:jc w:val="left"/>
              <w:rPr/>
            </w:pPr>
            <w:r>
              <w:rPr/>
              <w:t> </w:t>
            </w:r>
          </w:p>
        </w:tc>
        <w:tc>
          <w:tcPr>
            <w:tcW w:w="68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Coupon</w:t>
            </w:r>
          </w:p>
        </w:tc>
        <w:tc>
          <w:tcPr>
            <w:tcW w:w="2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Yield</w:t>
            </w:r>
            <w:r>
              <w:rPr>
                <w:rFonts w:ascii="Times New Roman" w:hAnsi="Times New Roman"/>
                <w:b/>
                <w:position w:val="7"/>
                <w:sz w:val="16"/>
                <w:sz w:val="20"/>
              </w:rPr>
              <w:t>(C)</w:t>
            </w:r>
          </w:p>
        </w:tc>
        <w:tc>
          <w:tcPr>
            <w:tcW w:w="2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Maturity</w:t>
            </w:r>
          </w:p>
          <w:p>
            <w:pPr>
              <w:pStyle w:val="TableContents"/>
              <w:bidi w:val="0"/>
              <w:spacing w:before="0" w:after="0"/>
              <w:jc w:val="center"/>
              <w:rPr>
                <w:rFonts w:ascii="Times New Roman" w:hAnsi="Times New Roman"/>
                <w:b/>
                <w:sz w:val="20"/>
              </w:rPr>
            </w:pPr>
            <w:r>
              <w:rPr>
                <w:rFonts w:ascii="Times New Roman" w:hAnsi="Times New Roman"/>
                <w:b/>
                <w:sz w:val="20"/>
              </w:rPr>
              <w:t>(Years)</w:t>
            </w:r>
          </w:p>
        </w:tc>
        <w:tc>
          <w:tcPr>
            <w:tcW w:w="60" w:type="dxa"/>
            <w:tcBorders/>
            <w:vAlign w:val="bottom"/>
          </w:tcPr>
          <w:p>
            <w:pPr>
              <w:pStyle w:val="TableContents"/>
              <w:bidi w:val="0"/>
              <w:spacing w:before="0" w:after="283"/>
              <w:jc w:val="left"/>
              <w:rPr/>
            </w:pPr>
            <w:r>
              <w:rPr/>
              <w:t> </w:t>
            </w:r>
          </w:p>
        </w:tc>
      </w:tr>
      <w:tr>
        <w:trPr/>
        <w:tc>
          <w:tcPr>
            <w:tcW w:w="935" w:type="dxa"/>
            <w:tcBorders/>
            <w:shd w:fill="CCEEFF" w:val="clear"/>
            <w:vAlign w:val="bottom"/>
          </w:tcPr>
          <w:p>
            <w:pPr>
              <w:pStyle w:val="TableContents"/>
              <w:bidi w:val="0"/>
              <w:spacing w:before="0" w:after="0"/>
              <w:ind w:left="180" w:right="0" w:hanging="180"/>
              <w:jc w:val="lef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RMBS, available-for-sale, measured at fair value through OCI</w:t>
            </w:r>
          </w:p>
        </w:tc>
        <w:tc>
          <w:tcPr>
            <w:tcW w:w="60" w:type="dxa"/>
            <w:tcBorders/>
            <w:shd w:fill="CCEEFF" w:val="clear"/>
            <w:vAlign w:val="bottom"/>
          </w:tcPr>
          <w:p>
            <w:pPr>
              <w:pStyle w:val="TableContents"/>
              <w:bidi w:val="0"/>
              <w:spacing w:before="0" w:after="283"/>
              <w:jc w:val="right"/>
              <w:rPr/>
            </w:pPr>
            <w:r>
              <w:rPr/>
              <w:t> </w:t>
            </w:r>
          </w:p>
        </w:tc>
        <w:tc>
          <w:tcPr>
            <w:tcW w:w="1120" w:type="dxa"/>
            <w:gridSpan w:val="2"/>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120" w:type="dxa"/>
            <w:gridSpan w:val="2"/>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820" w:type="dxa"/>
            <w:gridSpan w:val="2"/>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595" w:type="dxa"/>
            <w:gridSpan w:val="2"/>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120" w:type="dxa"/>
            <w:gridSpan w:val="2"/>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845" w:type="dxa"/>
            <w:gridSpan w:val="2"/>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80" w:type="dxa"/>
            <w:gridSpan w:val="2"/>
            <w:tcBorders/>
            <w:shd w:fill="CCEEFF" w:val="clear"/>
            <w:vAlign w:val="bottom"/>
          </w:tcPr>
          <w:p>
            <w:pPr>
              <w:pStyle w:val="TableContents"/>
              <w:bidi w:val="0"/>
              <w:spacing w:before="0" w:after="283"/>
              <w:jc w:val="right"/>
              <w:rPr/>
            </w:pPr>
            <w:r>
              <w:rPr/>
              <w:t> </w:t>
            </w:r>
          </w:p>
        </w:tc>
        <w:tc>
          <w:tcPr>
            <w:tcW w:w="2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530" w:type="dxa"/>
            <w:gridSpan w:val="2"/>
            <w:tcBorders/>
            <w:shd w:fill="CCEEFF" w:val="clear"/>
            <w:vAlign w:val="bottom"/>
          </w:tcPr>
          <w:p>
            <w:pPr>
              <w:pStyle w:val="TableContents"/>
              <w:bidi w:val="0"/>
              <w:spacing w:before="0" w:after="283"/>
              <w:jc w:val="right"/>
              <w:rPr/>
            </w:pPr>
            <w:r>
              <w:rPr/>
              <w:t> </w:t>
            </w:r>
          </w:p>
        </w:tc>
        <w:tc>
          <w:tcPr>
            <w:tcW w:w="2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785" w:type="dxa"/>
            <w:gridSpan w:val="2"/>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935" w:type="dxa"/>
            <w:tcBorders/>
            <w:vAlign w:val="bottom"/>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Over 10 Years</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8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276,022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8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203,150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8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4,243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45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(491</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8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206,902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15" w:type="dxa"/>
            <w:tcBorders/>
            <w:vAlign w:val="bottom"/>
          </w:tcPr>
          <w:p>
            <w:pPr>
              <w:pStyle w:val="TableContents"/>
              <w:bidi w:val="0"/>
              <w:spacing w:before="0" w:after="283"/>
              <w:jc w:val="left"/>
              <w:rPr/>
            </w:pPr>
            <w:r>
              <w:rPr/>
              <w:t> </w:t>
            </w:r>
          </w:p>
        </w:tc>
        <w:tc>
          <w:tcPr>
            <w:tcW w:w="73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20</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center"/>
              <w:rPr>
                <w:rFonts w:ascii="Times New Roman" w:hAnsi="Times New Roman"/>
                <w:sz w:val="20"/>
              </w:rPr>
            </w:pPr>
            <w:r>
              <w:rPr>
                <w:rFonts w:ascii="Times New Roman" w:hAnsi="Times New Roman"/>
                <w:sz w:val="20"/>
              </w:rPr>
              <w:t>(B)</w:t>
            </w:r>
          </w:p>
        </w:tc>
        <w:tc>
          <w:tcPr>
            <w:tcW w:w="60" w:type="dxa"/>
            <w:tcBorders/>
            <w:vAlign w:val="bottom"/>
          </w:tcPr>
          <w:p>
            <w:pPr>
              <w:pStyle w:val="TableContents"/>
              <w:bidi w:val="0"/>
              <w:spacing w:before="0" w:after="283"/>
              <w:jc w:val="right"/>
              <w:rPr/>
            </w:pPr>
            <w:r>
              <w:rPr/>
              <w:t> </w:t>
            </w:r>
          </w:p>
        </w:tc>
        <w:tc>
          <w:tcPr>
            <w:tcW w:w="81" w:type="dxa"/>
            <w:tcBorders/>
            <w:vAlign w:val="bottom"/>
          </w:tcPr>
          <w:p>
            <w:pPr>
              <w:pStyle w:val="TableContents"/>
              <w:bidi w:val="0"/>
              <w:spacing w:before="0" w:after="283"/>
              <w:jc w:val="left"/>
              <w:rPr/>
            </w:pPr>
            <w:r>
              <w:rPr/>
              <w:t> </w:t>
            </w:r>
          </w:p>
        </w:tc>
        <w:tc>
          <w:tcPr>
            <w:tcW w:w="59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4.67</w:t>
            </w:r>
          </w:p>
        </w:tc>
        <w:tc>
          <w:tcPr>
            <w:tcW w:w="26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63" w:type="dxa"/>
            <w:tcBorders/>
            <w:vAlign w:val="bottom"/>
          </w:tcPr>
          <w:p>
            <w:pPr>
              <w:pStyle w:val="TableContents"/>
              <w:bidi w:val="0"/>
              <w:spacing w:before="0" w:after="283"/>
              <w:jc w:val="left"/>
              <w:rPr/>
            </w:pPr>
            <w:r>
              <w:rPr/>
              <w:t> </w:t>
            </w:r>
          </w:p>
        </w:tc>
        <w:tc>
          <w:tcPr>
            <w:tcW w:w="46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4.79</w:t>
            </w:r>
          </w:p>
        </w:tc>
        <w:tc>
          <w:tcPr>
            <w:tcW w:w="26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47" w:type="dxa"/>
            <w:tcBorders/>
            <w:vAlign w:val="bottom"/>
          </w:tcPr>
          <w:p>
            <w:pPr>
              <w:pStyle w:val="TableContents"/>
              <w:bidi w:val="0"/>
              <w:spacing w:before="0" w:after="283"/>
              <w:jc w:val="left"/>
              <w:rPr/>
            </w:pPr>
            <w:r>
              <w:rPr/>
              <w:t> </w:t>
            </w:r>
          </w:p>
        </w:tc>
        <w:tc>
          <w:tcPr>
            <w:tcW w:w="638"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26</w:t>
            </w:r>
          </w:p>
        </w:tc>
        <w:tc>
          <w:tcPr>
            <w:tcW w:w="60" w:type="dxa"/>
            <w:tcBorders/>
            <w:vAlign w:val="bottom"/>
          </w:tcPr>
          <w:p>
            <w:pPr>
              <w:pStyle w:val="TableContents"/>
              <w:bidi w:val="0"/>
              <w:spacing w:before="0" w:after="283"/>
              <w:jc w:val="left"/>
              <w:rPr/>
            </w:pPr>
            <w:r>
              <w:rPr/>
              <w:t> </w:t>
            </w:r>
          </w:p>
        </w:tc>
      </w:tr>
      <w:tr>
        <w:trPr/>
        <w:tc>
          <w:tcPr>
            <w:tcW w:w="935" w:type="dxa"/>
            <w:tcBorders/>
            <w:shd w:fill="CCEEFF" w:val="clear"/>
            <w:vAlign w:val="bottom"/>
          </w:tcPr>
          <w:p>
            <w:pPr>
              <w:pStyle w:val="TableContents"/>
              <w:bidi w:val="0"/>
              <w:spacing w:before="0" w:after="0"/>
              <w:ind w:left="144" w:right="0" w:hanging="180"/>
              <w:jc w:val="left"/>
              <w:rPr>
                <w:rFonts w:ascii="Times New Roman" w:hAnsi="Times New Roman"/>
                <w:b/>
                <w:color w:val="000000"/>
                <w:sz w:val="20"/>
              </w:rPr>
            </w:pPr>
            <w:r>
              <w:rPr>
                <w:rFonts w:ascii="Times New Roman" w:hAnsi="Times New Roman"/>
                <w:b/>
                <w:color w:val="000000"/>
                <w:sz w:val="20"/>
              </w:rPr>
              <w:t xml:space="preserve">RMBS, measured at fair value through earnings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r>
          </w:p>
        </w:tc>
        <w:tc>
          <w:tcPr>
            <w:tcW w:w="980" w:type="dxa"/>
            <w:tcBorders/>
            <w:shd w:fill="CCEEFF" w:val="clear"/>
            <w:vAlign w:val="bottom"/>
          </w:tcPr>
          <w:p>
            <w:pPr>
              <w:pStyle w:val="TableContents"/>
              <w:bidi w:val="0"/>
              <w:spacing w:before="0" w:after="283"/>
              <w:jc w:val="left"/>
              <w:rPr/>
            </w:pPr>
            <w:r>
              <w:rPr/>
            </w:r>
          </w:p>
        </w:tc>
        <w:tc>
          <w:tcPr>
            <w:tcW w:w="60" w:type="dxa"/>
            <w:tcBorders/>
            <w:shd w:fill="CCEEFF" w:val="clear"/>
            <w:vAlign w:val="bottom"/>
          </w:tcPr>
          <w:p>
            <w:pPr>
              <w:pStyle w:val="TableContents"/>
              <w:bidi w:val="0"/>
              <w:spacing w:before="0" w:after="283"/>
              <w:jc w:val="left"/>
              <w:rPr/>
            </w:pPr>
            <w:r>
              <w:rPr/>
            </w:r>
          </w:p>
        </w:tc>
        <w:tc>
          <w:tcPr>
            <w:tcW w:w="60" w:type="dxa"/>
            <w:tcBorders/>
            <w:shd w:fill="CCEEFF" w:val="clear"/>
            <w:vAlign w:val="bottom"/>
          </w:tcPr>
          <w:p>
            <w:pPr>
              <w:pStyle w:val="TableContents"/>
              <w:bidi w:val="0"/>
              <w:spacing w:before="0" w:after="283"/>
              <w:jc w:val="left"/>
              <w:rPr/>
            </w:pPr>
            <w:r>
              <w:rPr/>
            </w:r>
          </w:p>
        </w:tc>
        <w:tc>
          <w:tcPr>
            <w:tcW w:w="140" w:type="dxa"/>
            <w:tcBorders/>
            <w:shd w:fill="CCEEFF" w:val="clear"/>
            <w:vAlign w:val="bottom"/>
          </w:tcPr>
          <w:p>
            <w:pPr>
              <w:pStyle w:val="TableContents"/>
              <w:bidi w:val="0"/>
              <w:spacing w:before="0" w:after="283"/>
              <w:jc w:val="left"/>
              <w:rPr/>
            </w:pPr>
            <w:r>
              <w:rPr/>
            </w:r>
          </w:p>
        </w:tc>
        <w:tc>
          <w:tcPr>
            <w:tcW w:w="980" w:type="dxa"/>
            <w:tcBorders/>
            <w:shd w:fill="CCEEFF" w:val="clear"/>
            <w:vAlign w:val="bottom"/>
          </w:tcPr>
          <w:p>
            <w:pPr>
              <w:pStyle w:val="TableContents"/>
              <w:bidi w:val="0"/>
              <w:spacing w:before="0" w:after="283"/>
              <w:jc w:val="left"/>
              <w:rPr/>
            </w:pPr>
            <w:r>
              <w:rPr/>
            </w:r>
          </w:p>
        </w:tc>
        <w:tc>
          <w:tcPr>
            <w:tcW w:w="60" w:type="dxa"/>
            <w:tcBorders/>
            <w:shd w:fill="CCEEFF" w:val="clear"/>
            <w:vAlign w:val="bottom"/>
          </w:tcPr>
          <w:p>
            <w:pPr>
              <w:pStyle w:val="TableContents"/>
              <w:bidi w:val="0"/>
              <w:spacing w:before="0" w:after="283"/>
              <w:jc w:val="left"/>
              <w:rPr/>
            </w:pPr>
            <w:r>
              <w:rPr/>
            </w:r>
          </w:p>
        </w:tc>
        <w:tc>
          <w:tcPr>
            <w:tcW w:w="60" w:type="dxa"/>
            <w:tcBorders/>
            <w:shd w:fill="CCEEFF" w:val="clear"/>
            <w:vAlign w:val="bottom"/>
          </w:tcPr>
          <w:p>
            <w:pPr>
              <w:pStyle w:val="TableContents"/>
              <w:bidi w:val="0"/>
              <w:spacing w:before="0" w:after="283"/>
              <w:jc w:val="left"/>
              <w:rPr/>
            </w:pPr>
            <w:r>
              <w:rPr/>
            </w:r>
          </w:p>
        </w:tc>
        <w:tc>
          <w:tcPr>
            <w:tcW w:w="140" w:type="dxa"/>
            <w:tcBorders/>
            <w:shd w:fill="CCEEFF" w:val="clear"/>
            <w:vAlign w:val="bottom"/>
          </w:tcPr>
          <w:p>
            <w:pPr>
              <w:pStyle w:val="TableContents"/>
              <w:bidi w:val="0"/>
              <w:spacing w:before="0" w:after="283"/>
              <w:jc w:val="left"/>
              <w:rPr/>
            </w:pPr>
            <w:r>
              <w:rPr/>
            </w:r>
          </w:p>
        </w:tc>
        <w:tc>
          <w:tcPr>
            <w:tcW w:w="680" w:type="dxa"/>
            <w:tcBorders/>
            <w:shd w:fill="CCEEFF" w:val="clear"/>
            <w:vAlign w:val="bottom"/>
          </w:tcPr>
          <w:p>
            <w:pPr>
              <w:pStyle w:val="TableContents"/>
              <w:bidi w:val="0"/>
              <w:spacing w:before="0" w:after="283"/>
              <w:jc w:val="left"/>
              <w:rPr/>
            </w:pPr>
            <w:r>
              <w:rPr/>
            </w:r>
          </w:p>
        </w:tc>
        <w:tc>
          <w:tcPr>
            <w:tcW w:w="60" w:type="dxa"/>
            <w:tcBorders/>
            <w:shd w:fill="CCEEFF" w:val="clear"/>
            <w:vAlign w:val="bottom"/>
          </w:tcPr>
          <w:p>
            <w:pPr>
              <w:pStyle w:val="TableContents"/>
              <w:bidi w:val="0"/>
              <w:spacing w:before="0" w:after="283"/>
              <w:jc w:val="left"/>
              <w:rPr/>
            </w:pPr>
            <w:r>
              <w:rPr/>
            </w:r>
          </w:p>
        </w:tc>
        <w:tc>
          <w:tcPr>
            <w:tcW w:w="60" w:type="dxa"/>
            <w:tcBorders/>
            <w:shd w:fill="CCEEFF" w:val="clear"/>
            <w:vAlign w:val="bottom"/>
          </w:tcPr>
          <w:p>
            <w:pPr>
              <w:pStyle w:val="TableContents"/>
              <w:bidi w:val="0"/>
              <w:spacing w:before="0" w:after="283"/>
              <w:jc w:val="left"/>
              <w:rPr/>
            </w:pPr>
            <w:r>
              <w:rPr/>
            </w:r>
          </w:p>
        </w:tc>
        <w:tc>
          <w:tcPr>
            <w:tcW w:w="140" w:type="dxa"/>
            <w:tcBorders/>
            <w:shd w:fill="CCEEFF" w:val="clear"/>
            <w:vAlign w:val="bottom"/>
          </w:tcPr>
          <w:p>
            <w:pPr>
              <w:pStyle w:val="TableContents"/>
              <w:bidi w:val="0"/>
              <w:spacing w:before="0" w:after="283"/>
              <w:jc w:val="left"/>
              <w:rPr/>
            </w:pPr>
            <w:r>
              <w:rPr/>
            </w:r>
          </w:p>
        </w:tc>
        <w:tc>
          <w:tcPr>
            <w:tcW w:w="455" w:type="dxa"/>
            <w:tcBorders/>
            <w:shd w:fill="CCEEFF" w:val="clear"/>
            <w:vAlign w:val="bottom"/>
          </w:tcPr>
          <w:p>
            <w:pPr>
              <w:pStyle w:val="TableContents"/>
              <w:bidi w:val="0"/>
              <w:spacing w:before="0" w:after="283"/>
              <w:jc w:val="left"/>
              <w:rPr/>
            </w:pPr>
            <w:r>
              <w:rPr/>
            </w:r>
          </w:p>
        </w:tc>
        <w:tc>
          <w:tcPr>
            <w:tcW w:w="95" w:type="dxa"/>
            <w:tcBorders/>
            <w:shd w:fill="CCEEFF" w:val="clear"/>
            <w:vAlign w:val="bottom"/>
          </w:tcPr>
          <w:p>
            <w:pPr>
              <w:pStyle w:val="TableContents"/>
              <w:bidi w:val="0"/>
              <w:spacing w:before="0" w:after="283"/>
              <w:jc w:val="left"/>
              <w:rPr/>
            </w:pPr>
            <w:r>
              <w:rPr/>
            </w:r>
          </w:p>
        </w:tc>
        <w:tc>
          <w:tcPr>
            <w:tcW w:w="60" w:type="dxa"/>
            <w:tcBorders/>
            <w:shd w:fill="CCEEFF" w:val="clear"/>
            <w:vAlign w:val="bottom"/>
          </w:tcPr>
          <w:p>
            <w:pPr>
              <w:pStyle w:val="TableContents"/>
              <w:bidi w:val="0"/>
              <w:spacing w:before="0" w:after="283"/>
              <w:jc w:val="left"/>
              <w:rPr/>
            </w:pPr>
            <w:r>
              <w:rPr/>
            </w:r>
          </w:p>
        </w:tc>
        <w:tc>
          <w:tcPr>
            <w:tcW w:w="140" w:type="dxa"/>
            <w:tcBorders/>
            <w:shd w:fill="CCEEFF" w:val="clear"/>
            <w:vAlign w:val="bottom"/>
          </w:tcPr>
          <w:p>
            <w:pPr>
              <w:pStyle w:val="TableContents"/>
              <w:bidi w:val="0"/>
              <w:spacing w:before="0" w:after="283"/>
              <w:jc w:val="left"/>
              <w:rPr/>
            </w:pPr>
            <w:r>
              <w:rPr/>
            </w:r>
          </w:p>
        </w:tc>
        <w:tc>
          <w:tcPr>
            <w:tcW w:w="980" w:type="dxa"/>
            <w:tcBorders/>
            <w:shd w:fill="CCEEFF" w:val="clear"/>
            <w:vAlign w:val="bottom"/>
          </w:tcPr>
          <w:p>
            <w:pPr>
              <w:pStyle w:val="TableContents"/>
              <w:bidi w:val="0"/>
              <w:spacing w:before="0" w:after="283"/>
              <w:jc w:val="left"/>
              <w:rPr/>
            </w:pPr>
            <w:r>
              <w:rPr/>
            </w:r>
          </w:p>
        </w:tc>
        <w:tc>
          <w:tcPr>
            <w:tcW w:w="60" w:type="dxa"/>
            <w:tcBorders/>
            <w:shd w:fill="CCEEFF" w:val="clear"/>
            <w:vAlign w:val="bottom"/>
          </w:tcPr>
          <w:p>
            <w:pPr>
              <w:pStyle w:val="TableContents"/>
              <w:bidi w:val="0"/>
              <w:spacing w:before="0" w:after="283"/>
              <w:jc w:val="left"/>
              <w:rPr/>
            </w:pPr>
            <w:r>
              <w:rPr/>
            </w:r>
          </w:p>
        </w:tc>
        <w:tc>
          <w:tcPr>
            <w:tcW w:w="60" w:type="dxa"/>
            <w:tcBorders/>
            <w:shd w:fill="CCEEFF" w:val="clear"/>
            <w:vAlign w:val="bottom"/>
          </w:tcPr>
          <w:p>
            <w:pPr>
              <w:pStyle w:val="TableContents"/>
              <w:bidi w:val="0"/>
              <w:spacing w:before="0" w:after="283"/>
              <w:jc w:val="left"/>
              <w:rPr/>
            </w:pPr>
            <w:r>
              <w:rPr/>
            </w:r>
          </w:p>
        </w:tc>
        <w:tc>
          <w:tcPr>
            <w:tcW w:w="115" w:type="dxa"/>
            <w:tcBorders/>
            <w:shd w:fill="CCEEFF" w:val="clear"/>
            <w:vAlign w:val="bottom"/>
          </w:tcPr>
          <w:p>
            <w:pPr>
              <w:pStyle w:val="TableContents"/>
              <w:bidi w:val="0"/>
              <w:spacing w:before="0" w:after="283"/>
              <w:jc w:val="left"/>
              <w:rPr/>
            </w:pPr>
            <w:r>
              <w:rPr/>
            </w:r>
          </w:p>
        </w:tc>
        <w:tc>
          <w:tcPr>
            <w:tcW w:w="730" w:type="dxa"/>
            <w:tcBorders/>
            <w:shd w:fill="CCEEFF" w:val="clear"/>
            <w:vAlign w:val="bottom"/>
          </w:tcPr>
          <w:p>
            <w:pPr>
              <w:pStyle w:val="TableContents"/>
              <w:bidi w:val="0"/>
              <w:spacing w:before="0" w:after="283"/>
              <w:jc w:val="left"/>
              <w:rPr/>
            </w:pPr>
            <w:r>
              <w:rPr/>
            </w:r>
          </w:p>
        </w:tc>
        <w:tc>
          <w:tcPr>
            <w:tcW w:w="60" w:type="dxa"/>
            <w:tcBorders/>
            <w:shd w:fill="CCEEFF" w:val="clear"/>
            <w:vAlign w:val="bottom"/>
          </w:tcPr>
          <w:p>
            <w:pPr>
              <w:pStyle w:val="TableContents"/>
              <w:bidi w:val="0"/>
              <w:spacing w:before="0" w:after="283"/>
              <w:jc w:val="left"/>
              <w:rPr/>
            </w:pPr>
            <w:r>
              <w:rPr/>
            </w:r>
          </w:p>
        </w:tc>
        <w:tc>
          <w:tcPr>
            <w:tcW w:w="590" w:type="dxa"/>
            <w:tcBorders/>
            <w:shd w:fill="CCEEFF" w:val="clear"/>
            <w:vAlign w:val="bottom"/>
          </w:tcPr>
          <w:p>
            <w:pPr>
              <w:pStyle w:val="TableContents"/>
              <w:bidi w:val="0"/>
              <w:spacing w:before="0" w:after="283"/>
              <w:jc w:val="left"/>
              <w:rPr/>
            </w:pPr>
            <w:r>
              <w:rPr/>
            </w:r>
          </w:p>
        </w:tc>
        <w:tc>
          <w:tcPr>
            <w:tcW w:w="60" w:type="dxa"/>
            <w:tcBorders/>
            <w:shd w:fill="CCEEFF" w:val="clear"/>
            <w:vAlign w:val="bottom"/>
          </w:tcPr>
          <w:p>
            <w:pPr>
              <w:pStyle w:val="TableContents"/>
              <w:bidi w:val="0"/>
              <w:spacing w:before="0" w:after="283"/>
              <w:jc w:val="left"/>
              <w:rPr/>
            </w:pPr>
            <w:r>
              <w:rPr/>
            </w:r>
          </w:p>
        </w:tc>
        <w:tc>
          <w:tcPr>
            <w:tcW w:w="81" w:type="dxa"/>
            <w:tcBorders/>
            <w:shd w:fill="CCEEFF" w:val="clear"/>
            <w:vAlign w:val="bottom"/>
          </w:tcPr>
          <w:p>
            <w:pPr>
              <w:pStyle w:val="TableContents"/>
              <w:bidi w:val="0"/>
              <w:spacing w:before="0" w:after="283"/>
              <w:jc w:val="left"/>
              <w:rPr/>
            </w:pPr>
            <w:r>
              <w:rPr/>
            </w:r>
          </w:p>
        </w:tc>
        <w:tc>
          <w:tcPr>
            <w:tcW w:w="599" w:type="dxa"/>
            <w:tcBorders/>
            <w:shd w:fill="CCEEFF" w:val="clear"/>
            <w:vAlign w:val="bottom"/>
          </w:tcPr>
          <w:p>
            <w:pPr>
              <w:pStyle w:val="TableContents"/>
              <w:bidi w:val="0"/>
              <w:spacing w:before="0" w:after="283"/>
              <w:jc w:val="left"/>
              <w:rPr/>
            </w:pPr>
            <w:r>
              <w:rPr/>
            </w:r>
          </w:p>
        </w:tc>
        <w:tc>
          <w:tcPr>
            <w:tcW w:w="260" w:type="dxa"/>
            <w:tcBorders/>
            <w:shd w:fill="CCEEFF" w:val="clear"/>
            <w:vAlign w:val="bottom"/>
          </w:tcPr>
          <w:p>
            <w:pPr>
              <w:pStyle w:val="TableContents"/>
              <w:bidi w:val="0"/>
              <w:spacing w:before="0" w:after="283"/>
              <w:jc w:val="left"/>
              <w:rPr/>
            </w:pPr>
            <w:r>
              <w:rPr/>
            </w:r>
          </w:p>
        </w:tc>
        <w:tc>
          <w:tcPr>
            <w:tcW w:w="60" w:type="dxa"/>
            <w:tcBorders/>
            <w:shd w:fill="CCEEFF" w:val="clear"/>
            <w:vAlign w:val="bottom"/>
          </w:tcPr>
          <w:p>
            <w:pPr>
              <w:pStyle w:val="TableContents"/>
              <w:bidi w:val="0"/>
              <w:spacing w:before="0" w:after="283"/>
              <w:jc w:val="left"/>
              <w:rPr/>
            </w:pPr>
            <w:r>
              <w:rPr/>
            </w:r>
          </w:p>
        </w:tc>
        <w:tc>
          <w:tcPr>
            <w:tcW w:w="63" w:type="dxa"/>
            <w:tcBorders/>
            <w:shd w:fill="CCEEFF" w:val="clear"/>
            <w:vAlign w:val="bottom"/>
          </w:tcPr>
          <w:p>
            <w:pPr>
              <w:pStyle w:val="TableContents"/>
              <w:bidi w:val="0"/>
              <w:spacing w:before="0" w:after="283"/>
              <w:jc w:val="left"/>
              <w:rPr/>
            </w:pPr>
            <w:r>
              <w:rPr/>
            </w:r>
          </w:p>
        </w:tc>
        <w:tc>
          <w:tcPr>
            <w:tcW w:w="467" w:type="dxa"/>
            <w:tcBorders/>
            <w:shd w:fill="CCEEFF" w:val="clear"/>
            <w:vAlign w:val="bottom"/>
          </w:tcPr>
          <w:p>
            <w:pPr>
              <w:pStyle w:val="TableContents"/>
              <w:bidi w:val="0"/>
              <w:spacing w:before="0" w:after="283"/>
              <w:jc w:val="left"/>
              <w:rPr/>
            </w:pPr>
            <w:r>
              <w:rPr/>
            </w:r>
          </w:p>
        </w:tc>
        <w:tc>
          <w:tcPr>
            <w:tcW w:w="260" w:type="dxa"/>
            <w:tcBorders/>
            <w:shd w:fill="CCEEFF" w:val="clear"/>
            <w:vAlign w:val="bottom"/>
          </w:tcPr>
          <w:p>
            <w:pPr>
              <w:pStyle w:val="TableContents"/>
              <w:bidi w:val="0"/>
              <w:spacing w:before="0" w:after="283"/>
              <w:jc w:val="left"/>
              <w:rPr/>
            </w:pPr>
            <w:r>
              <w:rPr/>
            </w:r>
          </w:p>
        </w:tc>
        <w:tc>
          <w:tcPr>
            <w:tcW w:w="60" w:type="dxa"/>
            <w:tcBorders/>
            <w:shd w:fill="CCEEFF" w:val="clear"/>
            <w:vAlign w:val="bottom"/>
          </w:tcPr>
          <w:p>
            <w:pPr>
              <w:pStyle w:val="TableContents"/>
              <w:bidi w:val="0"/>
              <w:spacing w:before="0" w:after="283"/>
              <w:jc w:val="left"/>
              <w:rPr/>
            </w:pPr>
            <w:r>
              <w:rPr/>
            </w:r>
          </w:p>
        </w:tc>
        <w:tc>
          <w:tcPr>
            <w:tcW w:w="147" w:type="dxa"/>
            <w:tcBorders/>
            <w:shd w:fill="CCEEFF" w:val="clear"/>
            <w:vAlign w:val="bottom"/>
          </w:tcPr>
          <w:p>
            <w:pPr>
              <w:pStyle w:val="TableContents"/>
              <w:bidi w:val="0"/>
              <w:spacing w:before="0" w:after="283"/>
              <w:jc w:val="left"/>
              <w:rPr/>
            </w:pPr>
            <w:r>
              <w:rPr/>
            </w:r>
          </w:p>
        </w:tc>
        <w:tc>
          <w:tcPr>
            <w:tcW w:w="638" w:type="dxa"/>
            <w:tcBorders/>
            <w:shd w:fill="CCEEFF" w:val="clear"/>
            <w:vAlign w:val="bottom"/>
          </w:tcPr>
          <w:p>
            <w:pPr>
              <w:pStyle w:val="TableContents"/>
              <w:bidi w:val="0"/>
              <w:spacing w:before="0" w:after="283"/>
              <w:jc w:val="left"/>
              <w:rPr/>
            </w:pPr>
            <w:r>
              <w:rPr/>
            </w:r>
          </w:p>
        </w:tc>
        <w:tc>
          <w:tcPr>
            <w:tcW w:w="60" w:type="dxa"/>
            <w:tcBorders/>
            <w:shd w:fill="CCEEFF" w:val="clear"/>
            <w:vAlign w:val="bottom"/>
          </w:tcPr>
          <w:p>
            <w:pPr>
              <w:pStyle w:val="TableContents"/>
              <w:bidi w:val="0"/>
              <w:spacing w:before="0" w:after="283"/>
              <w:jc w:val="left"/>
              <w:rPr/>
            </w:pPr>
            <w:r>
              <w:rPr/>
              <w:t> </w:t>
            </w:r>
          </w:p>
        </w:tc>
      </w:tr>
      <w:tr>
        <w:trPr/>
        <w:tc>
          <w:tcPr>
            <w:tcW w:w="935" w:type="dxa"/>
            <w:tcBorders/>
            <w:vAlign w:val="bottom"/>
          </w:tcPr>
          <w:p>
            <w:pPr>
              <w:pStyle w:val="TableContents"/>
              <w:bidi w:val="0"/>
              <w:spacing w:before="0" w:after="0"/>
              <w:ind w:left="180" w:right="0" w:hanging="0"/>
              <w:jc w:val="left"/>
              <w:rPr/>
            </w:pPr>
            <w:r>
              <w:rPr/>
              <w:t>Over 10 Years</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tcMar>
              <w:bottom w:w="28" w:type="dxa"/>
            </w:tcMar>
            <w:vAlign w:val="bottom"/>
          </w:tcPr>
          <w:p>
            <w:pPr>
              <w:pStyle w:val="TableContents"/>
              <w:bidi w:val="0"/>
              <w:spacing w:before="0" w:after="283"/>
              <w:jc w:val="right"/>
              <w:rPr/>
            </w:pPr>
            <w:r>
              <w:rPr/>
              <w:t>1,146,521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tcMar>
              <w:bottom w:w="28" w:type="dxa"/>
            </w:tcMar>
            <w:vAlign w:val="bottom"/>
          </w:tcPr>
          <w:p>
            <w:pPr>
              <w:pStyle w:val="TableContents"/>
              <w:bidi w:val="0"/>
              <w:spacing w:before="0" w:after="283"/>
              <w:jc w:val="right"/>
              <w:rPr/>
            </w:pPr>
            <w:r>
              <w:rPr/>
              <w:t>981,062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tcMar>
              <w:bottom w:w="28" w:type="dxa"/>
            </w:tcMar>
            <w:vAlign w:val="bottom"/>
          </w:tcPr>
          <w:p>
            <w:pPr>
              <w:pStyle w:val="TableContents"/>
              <w:bidi w:val="0"/>
              <w:spacing w:before="0" w:after="283"/>
              <w:jc w:val="right"/>
              <w:rPr/>
            </w:pPr>
            <w:r>
              <w:rPr/>
              <w:t>26,084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455" w:type="dxa"/>
            <w:tcBorders>
              <w:bottom w:val="single" w:sz="12" w:space="0" w:color="000000"/>
            </w:tcBorders>
            <w:tcMar>
              <w:bottom w:w="28" w:type="dxa"/>
            </w:tcMar>
            <w:vAlign w:val="bottom"/>
          </w:tcPr>
          <w:p>
            <w:pPr>
              <w:pStyle w:val="TableContents"/>
              <w:bidi w:val="0"/>
              <w:spacing w:before="0" w:after="283"/>
              <w:jc w:val="right"/>
              <w:rPr/>
            </w:pPr>
            <w:r>
              <w:rPr/>
              <w:t>(197</w:t>
            </w:r>
          </w:p>
        </w:tc>
        <w:tc>
          <w:tcPr>
            <w:tcW w:w="95" w:type="dxa"/>
            <w:tcBorders/>
            <w:vAlign w:val="bottom"/>
          </w:tcPr>
          <w:p>
            <w:pPr>
              <w:pStyle w:val="TableContents"/>
              <w:bidi w:val="0"/>
              <w:spacing w:before="0" w:after="283"/>
              <w:jc w:val="left"/>
              <w:rPr/>
            </w:pPr>
            <w:r>
              <w:rPr/>
              <w:t>)</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tcMar>
              <w:bottom w:w="28" w:type="dxa"/>
            </w:tcMar>
            <w:vAlign w:val="bottom"/>
          </w:tcPr>
          <w:p>
            <w:pPr>
              <w:pStyle w:val="TableContents"/>
              <w:bidi w:val="0"/>
              <w:spacing w:before="0" w:after="283"/>
              <w:jc w:val="right"/>
              <w:rPr/>
            </w:pPr>
            <w:r>
              <w:rPr/>
              <w:t>1,006,949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15" w:type="dxa"/>
            <w:tcBorders>
              <w:bottom w:val="single" w:sz="12" w:space="0" w:color="000000"/>
            </w:tcBorders>
            <w:tcMar>
              <w:bottom w:w="28" w:type="dxa"/>
            </w:tcMar>
            <w:vAlign w:val="bottom"/>
          </w:tcPr>
          <w:p>
            <w:pPr>
              <w:pStyle w:val="TableContents"/>
              <w:bidi w:val="0"/>
              <w:spacing w:before="0" w:after="283"/>
              <w:jc w:val="left"/>
              <w:rPr/>
            </w:pPr>
            <w:r>
              <w:rPr/>
              <w:t> </w:t>
            </w:r>
          </w:p>
        </w:tc>
        <w:tc>
          <w:tcPr>
            <w:tcW w:w="730" w:type="dxa"/>
            <w:tcBorders>
              <w:bottom w:val="single" w:sz="12" w:space="0" w:color="000000"/>
            </w:tcBorders>
            <w:tcMar>
              <w:bottom w:w="28" w:type="dxa"/>
            </w:tcMar>
            <w:vAlign w:val="bottom"/>
          </w:tcPr>
          <w:p>
            <w:pPr>
              <w:pStyle w:val="TableContents"/>
              <w:bidi w:val="0"/>
              <w:spacing w:before="0" w:after="283"/>
              <w:jc w:val="right"/>
              <w:rPr/>
            </w:pPr>
            <w:r>
              <w:rPr/>
              <w:t>87</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center"/>
              <w:rPr/>
            </w:pPr>
            <w:r>
              <w:rPr/>
              <w:t>(B)</w:t>
            </w:r>
          </w:p>
        </w:tc>
        <w:tc>
          <w:tcPr>
            <w:tcW w:w="60" w:type="dxa"/>
            <w:tcBorders/>
            <w:vAlign w:val="bottom"/>
          </w:tcPr>
          <w:p>
            <w:pPr>
              <w:pStyle w:val="TableContents"/>
              <w:bidi w:val="0"/>
              <w:spacing w:before="0" w:after="283"/>
              <w:jc w:val="right"/>
              <w:rPr/>
            </w:pPr>
            <w:r>
              <w:rPr/>
              <w:t> </w:t>
            </w:r>
          </w:p>
        </w:tc>
        <w:tc>
          <w:tcPr>
            <w:tcW w:w="81" w:type="dxa"/>
            <w:tcBorders>
              <w:bottom w:val="single" w:sz="12" w:space="0" w:color="000000"/>
            </w:tcBorders>
            <w:tcMar>
              <w:bottom w:w="28" w:type="dxa"/>
            </w:tcMar>
            <w:vAlign w:val="bottom"/>
          </w:tcPr>
          <w:p>
            <w:pPr>
              <w:pStyle w:val="TableContents"/>
              <w:bidi w:val="0"/>
              <w:spacing w:before="0" w:after="283"/>
              <w:jc w:val="left"/>
              <w:rPr/>
            </w:pPr>
            <w:r>
              <w:rPr/>
              <w:t> </w:t>
            </w:r>
          </w:p>
        </w:tc>
        <w:tc>
          <w:tcPr>
            <w:tcW w:w="599" w:type="dxa"/>
            <w:tcBorders>
              <w:bottom w:val="single" w:sz="12" w:space="0" w:color="000000"/>
            </w:tcBorders>
            <w:tcMar>
              <w:bottom w:w="28" w:type="dxa"/>
            </w:tcMar>
            <w:vAlign w:val="bottom"/>
          </w:tcPr>
          <w:p>
            <w:pPr>
              <w:pStyle w:val="TableContents"/>
              <w:bidi w:val="0"/>
              <w:spacing w:before="0" w:after="283"/>
              <w:jc w:val="right"/>
              <w:rPr/>
            </w:pPr>
            <w:r>
              <w:rPr/>
              <w:t>5.05</w:t>
            </w:r>
          </w:p>
        </w:tc>
        <w:tc>
          <w:tcPr>
            <w:tcW w:w="260" w:type="dxa"/>
            <w:tcBorders/>
            <w:vAlign w:val="bottom"/>
          </w:tcPr>
          <w:p>
            <w:pPr>
              <w:pStyle w:val="TableContents"/>
              <w:bidi w:val="0"/>
              <w:spacing w:before="0" w:after="283"/>
              <w:jc w:val="left"/>
              <w:rPr/>
            </w:pPr>
            <w:r>
              <w:rPr/>
              <w:t>%</w:t>
            </w:r>
          </w:p>
        </w:tc>
        <w:tc>
          <w:tcPr>
            <w:tcW w:w="60" w:type="dxa"/>
            <w:tcBorders/>
            <w:vAlign w:val="bottom"/>
          </w:tcPr>
          <w:p>
            <w:pPr>
              <w:pStyle w:val="TableContents"/>
              <w:bidi w:val="0"/>
              <w:spacing w:before="0" w:after="283"/>
              <w:jc w:val="right"/>
              <w:rPr/>
            </w:pPr>
            <w:r>
              <w:rPr/>
              <w:t> </w:t>
            </w:r>
          </w:p>
        </w:tc>
        <w:tc>
          <w:tcPr>
            <w:tcW w:w="63" w:type="dxa"/>
            <w:tcBorders>
              <w:bottom w:val="single" w:sz="12" w:space="0" w:color="000000"/>
            </w:tcBorders>
            <w:tcMar>
              <w:bottom w:w="28" w:type="dxa"/>
            </w:tcMar>
            <w:vAlign w:val="bottom"/>
          </w:tcPr>
          <w:p>
            <w:pPr>
              <w:pStyle w:val="TableContents"/>
              <w:bidi w:val="0"/>
              <w:spacing w:before="0" w:after="283"/>
              <w:jc w:val="left"/>
              <w:rPr/>
            </w:pPr>
            <w:r>
              <w:rPr/>
              <w:t> </w:t>
            </w:r>
          </w:p>
        </w:tc>
        <w:tc>
          <w:tcPr>
            <w:tcW w:w="467" w:type="dxa"/>
            <w:tcBorders>
              <w:bottom w:val="single" w:sz="12" w:space="0" w:color="000000"/>
            </w:tcBorders>
            <w:tcMar>
              <w:bottom w:w="28" w:type="dxa"/>
            </w:tcMar>
            <w:vAlign w:val="bottom"/>
          </w:tcPr>
          <w:p>
            <w:pPr>
              <w:pStyle w:val="TableContents"/>
              <w:bidi w:val="0"/>
              <w:spacing w:before="0" w:after="283"/>
              <w:jc w:val="right"/>
              <w:rPr/>
            </w:pPr>
            <w:r>
              <w:rPr/>
              <w:t>5.14</w:t>
            </w:r>
          </w:p>
        </w:tc>
        <w:tc>
          <w:tcPr>
            <w:tcW w:w="260" w:type="dxa"/>
            <w:tcBorders/>
            <w:vAlign w:val="bottom"/>
          </w:tcPr>
          <w:p>
            <w:pPr>
              <w:pStyle w:val="TableContents"/>
              <w:bidi w:val="0"/>
              <w:spacing w:before="0" w:after="283"/>
              <w:jc w:val="left"/>
              <w:rPr/>
            </w:pPr>
            <w:r>
              <w:rPr/>
              <w:t>%</w:t>
            </w:r>
          </w:p>
        </w:tc>
        <w:tc>
          <w:tcPr>
            <w:tcW w:w="60" w:type="dxa"/>
            <w:tcBorders/>
            <w:vAlign w:val="bottom"/>
          </w:tcPr>
          <w:p>
            <w:pPr>
              <w:pStyle w:val="TableContents"/>
              <w:bidi w:val="0"/>
              <w:spacing w:before="0" w:after="283"/>
              <w:jc w:val="right"/>
              <w:rPr/>
            </w:pPr>
            <w:r>
              <w:rPr/>
              <w:t> </w:t>
            </w:r>
          </w:p>
        </w:tc>
        <w:tc>
          <w:tcPr>
            <w:tcW w:w="147" w:type="dxa"/>
            <w:tcBorders>
              <w:bottom w:val="single" w:sz="12" w:space="0" w:color="000000"/>
            </w:tcBorders>
            <w:tcMar>
              <w:bottom w:w="28" w:type="dxa"/>
            </w:tcMar>
            <w:vAlign w:val="bottom"/>
          </w:tcPr>
          <w:p>
            <w:pPr>
              <w:pStyle w:val="TableContents"/>
              <w:bidi w:val="0"/>
              <w:spacing w:before="0" w:after="283"/>
              <w:jc w:val="left"/>
              <w:rPr/>
            </w:pPr>
            <w:r>
              <w:rPr/>
              <w:t> </w:t>
            </w:r>
          </w:p>
        </w:tc>
        <w:tc>
          <w:tcPr>
            <w:tcW w:w="638" w:type="dxa"/>
            <w:tcBorders>
              <w:bottom w:val="single" w:sz="12" w:space="0" w:color="000000"/>
            </w:tcBorders>
            <w:tcMar>
              <w:bottom w:w="28" w:type="dxa"/>
            </w:tcMar>
            <w:vAlign w:val="bottom"/>
          </w:tcPr>
          <w:p>
            <w:pPr>
              <w:pStyle w:val="TableContents"/>
              <w:bidi w:val="0"/>
              <w:spacing w:before="0" w:after="283"/>
              <w:jc w:val="right"/>
              <w:rPr/>
            </w:pPr>
            <w:r>
              <w:rPr/>
              <w:t>28</w:t>
            </w:r>
          </w:p>
        </w:tc>
        <w:tc>
          <w:tcPr>
            <w:tcW w:w="60" w:type="dxa"/>
            <w:tcBorders/>
            <w:vAlign w:val="bottom"/>
          </w:tcPr>
          <w:p>
            <w:pPr>
              <w:pStyle w:val="TableContents"/>
              <w:bidi w:val="0"/>
              <w:spacing w:before="0" w:after="283"/>
              <w:jc w:val="left"/>
              <w:rPr/>
            </w:pPr>
            <w:r>
              <w:rPr/>
              <w:t> </w:t>
            </w:r>
          </w:p>
        </w:tc>
      </w:tr>
      <w:tr>
        <w:trPr/>
        <w:tc>
          <w:tcPr>
            <w:tcW w:w="935" w:type="dxa"/>
            <w:tcBorders/>
            <w:shd w:fill="CCEEFF" w:val="clear"/>
            <w:vAlign w:val="bottom"/>
          </w:tcPr>
          <w:p>
            <w:pPr>
              <w:pStyle w:val="TableContents"/>
              <w:bidi w:val="0"/>
              <w:spacing w:before="0" w:after="283"/>
              <w:jc w:val="left"/>
              <w:rPr>
                <w:b/>
              </w:rPr>
            </w:pPr>
            <w:r>
              <w:rPr>
                <w:b/>
              </w:rPr>
              <w:t>Total/weighted average RMBS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980" w:type="dxa"/>
            <w:tcBorders/>
            <w:shd w:fill="CCEEFF" w:val="clear"/>
            <w:vAlign w:val="bottom"/>
          </w:tcPr>
          <w:p>
            <w:pPr>
              <w:pStyle w:val="TableContents"/>
              <w:bidi w:val="0"/>
              <w:spacing w:before="0" w:after="283"/>
              <w:jc w:val="right"/>
              <w:rPr>
                <w:b/>
              </w:rPr>
            </w:pPr>
            <w:r>
              <w:rPr>
                <w:b/>
              </w:rPr>
              <w:t>1,422,543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980" w:type="dxa"/>
            <w:tcBorders/>
            <w:shd w:fill="CCEEFF" w:val="clear"/>
            <w:vAlign w:val="bottom"/>
          </w:tcPr>
          <w:p>
            <w:pPr>
              <w:pStyle w:val="TableContents"/>
              <w:bidi w:val="0"/>
              <w:spacing w:before="0" w:after="283"/>
              <w:jc w:val="right"/>
              <w:rPr>
                <w:b/>
              </w:rPr>
            </w:pPr>
            <w:r>
              <w:rPr>
                <w:b/>
              </w:rPr>
              <w:t>1,184,212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680" w:type="dxa"/>
            <w:tcBorders/>
            <w:shd w:fill="CCEEFF" w:val="clear"/>
            <w:vAlign w:val="bottom"/>
          </w:tcPr>
          <w:p>
            <w:pPr>
              <w:pStyle w:val="TableContents"/>
              <w:bidi w:val="0"/>
              <w:spacing w:before="0" w:after="283"/>
              <w:jc w:val="right"/>
              <w:rPr>
                <w:b/>
              </w:rPr>
            </w:pPr>
            <w:r>
              <w:rPr>
                <w:b/>
              </w:rPr>
              <w:t>30,327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455" w:type="dxa"/>
            <w:tcBorders/>
            <w:shd w:fill="CCEEFF" w:val="clear"/>
            <w:vAlign w:val="bottom"/>
          </w:tcPr>
          <w:p>
            <w:pPr>
              <w:pStyle w:val="TableContents"/>
              <w:bidi w:val="0"/>
              <w:spacing w:before="0" w:after="283"/>
              <w:jc w:val="right"/>
              <w:rPr>
                <w:b/>
              </w:rPr>
            </w:pPr>
            <w:r>
              <w:rPr>
                <w:b/>
              </w:rPr>
              <w:t>(688</w:t>
            </w:r>
          </w:p>
        </w:tc>
        <w:tc>
          <w:tcPr>
            <w:tcW w:w="95" w:type="dxa"/>
            <w:tcBorders/>
            <w:shd w:fill="CCEEFF" w:val="clear"/>
            <w:vAlign w:val="bottom"/>
          </w:tcPr>
          <w:p>
            <w:pPr>
              <w:pStyle w:val="TableContents"/>
              <w:bidi w:val="0"/>
              <w:spacing w:before="0" w:after="283"/>
              <w:jc w:val="left"/>
              <w:rPr>
                <w:b/>
              </w:rPr>
            </w:pPr>
            <w:r>
              <w:rPr>
                <w:b/>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980" w:type="dxa"/>
            <w:tcBorders/>
            <w:shd w:fill="CCEEFF" w:val="clear"/>
            <w:vAlign w:val="bottom"/>
          </w:tcPr>
          <w:p>
            <w:pPr>
              <w:pStyle w:val="TableContents"/>
              <w:bidi w:val="0"/>
              <w:spacing w:before="0" w:after="283"/>
              <w:jc w:val="right"/>
              <w:rPr>
                <w:b/>
              </w:rPr>
            </w:pPr>
            <w:r>
              <w:rPr>
                <w:b/>
              </w:rPr>
              <w:t>1,213,851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15" w:type="dxa"/>
            <w:tcBorders/>
            <w:shd w:fill="CCEEFF" w:val="clear"/>
            <w:vAlign w:val="bottom"/>
          </w:tcPr>
          <w:p>
            <w:pPr>
              <w:pStyle w:val="TableContents"/>
              <w:bidi w:val="0"/>
              <w:spacing w:before="0" w:after="283"/>
              <w:jc w:val="left"/>
              <w:rPr/>
            </w:pPr>
            <w:r>
              <w:rPr/>
              <w:t> </w:t>
            </w:r>
          </w:p>
        </w:tc>
        <w:tc>
          <w:tcPr>
            <w:tcW w:w="730" w:type="dxa"/>
            <w:tcBorders/>
            <w:shd w:fill="CCEEFF" w:val="clear"/>
            <w:vAlign w:val="bottom"/>
          </w:tcPr>
          <w:p>
            <w:pPr>
              <w:pStyle w:val="TableContents"/>
              <w:bidi w:val="0"/>
              <w:spacing w:before="0" w:after="283"/>
              <w:jc w:val="right"/>
              <w:rPr>
                <w:b/>
              </w:rPr>
            </w:pPr>
            <w:r>
              <w:rPr>
                <w:b/>
              </w:rPr>
              <w:t>107</w:t>
            </w:r>
          </w:p>
        </w:tc>
        <w:tc>
          <w:tcPr>
            <w:tcW w:w="6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81" w:type="dxa"/>
            <w:tcBorders/>
            <w:shd w:fill="CCEEFF" w:val="clear"/>
            <w:vAlign w:val="bottom"/>
          </w:tcPr>
          <w:p>
            <w:pPr>
              <w:pStyle w:val="TableContents"/>
              <w:bidi w:val="0"/>
              <w:spacing w:before="0" w:after="283"/>
              <w:jc w:val="left"/>
              <w:rPr/>
            </w:pPr>
            <w:r>
              <w:rPr/>
              <w:t> </w:t>
            </w:r>
          </w:p>
        </w:tc>
        <w:tc>
          <w:tcPr>
            <w:tcW w:w="599" w:type="dxa"/>
            <w:tcBorders/>
            <w:shd w:fill="CCEEFF" w:val="clear"/>
            <w:vAlign w:val="bottom"/>
          </w:tcPr>
          <w:p>
            <w:pPr>
              <w:pStyle w:val="TableContents"/>
              <w:bidi w:val="0"/>
              <w:spacing w:before="0" w:after="283"/>
              <w:jc w:val="right"/>
              <w:rPr>
                <w:b/>
              </w:rPr>
            </w:pPr>
            <w:r>
              <w:rPr>
                <w:b/>
              </w:rPr>
              <w:t>4.98</w:t>
            </w:r>
          </w:p>
        </w:tc>
        <w:tc>
          <w:tcPr>
            <w:tcW w:w="260" w:type="dxa"/>
            <w:tcBorders/>
            <w:shd w:fill="CCEEFF" w:val="clear"/>
            <w:vAlign w:val="bottom"/>
          </w:tcPr>
          <w:p>
            <w:pPr>
              <w:pStyle w:val="TableContents"/>
              <w:bidi w:val="0"/>
              <w:spacing w:before="0" w:after="283"/>
              <w:jc w:val="left"/>
              <w:rPr>
                <w:b/>
              </w:rPr>
            </w:pPr>
            <w:r>
              <w:rPr>
                <w:b/>
              </w:rPr>
              <w:t>%</w:t>
            </w:r>
          </w:p>
        </w:tc>
        <w:tc>
          <w:tcPr>
            <w:tcW w:w="60"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c>
          <w:tcPr>
            <w:tcW w:w="467" w:type="dxa"/>
            <w:tcBorders/>
            <w:shd w:fill="CCEEFF" w:val="clear"/>
            <w:vAlign w:val="bottom"/>
          </w:tcPr>
          <w:p>
            <w:pPr>
              <w:pStyle w:val="TableContents"/>
              <w:bidi w:val="0"/>
              <w:spacing w:before="0" w:after="283"/>
              <w:jc w:val="right"/>
              <w:rPr>
                <w:b/>
              </w:rPr>
            </w:pPr>
            <w:r>
              <w:rPr>
                <w:b/>
              </w:rPr>
              <w:t>5.08</w:t>
            </w:r>
          </w:p>
        </w:tc>
        <w:tc>
          <w:tcPr>
            <w:tcW w:w="260" w:type="dxa"/>
            <w:tcBorders/>
            <w:shd w:fill="CCEEFF" w:val="clear"/>
            <w:vAlign w:val="bottom"/>
          </w:tcPr>
          <w:p>
            <w:pPr>
              <w:pStyle w:val="TableContents"/>
              <w:bidi w:val="0"/>
              <w:spacing w:before="0" w:after="283"/>
              <w:jc w:val="left"/>
              <w:rPr>
                <w:b/>
              </w:rPr>
            </w:pPr>
            <w:r>
              <w:rPr>
                <w:b/>
              </w:rPr>
              <w:t>%</w:t>
            </w:r>
          </w:p>
        </w:tc>
        <w:tc>
          <w:tcPr>
            <w:tcW w:w="60" w:type="dxa"/>
            <w:tcBorders/>
            <w:shd w:fill="CCEEFF" w:val="clear"/>
            <w:vAlign w:val="bottom"/>
          </w:tcPr>
          <w:p>
            <w:pPr>
              <w:pStyle w:val="TableContents"/>
              <w:bidi w:val="0"/>
              <w:spacing w:before="0" w:after="283"/>
              <w:jc w:val="right"/>
              <w:rPr/>
            </w:pPr>
            <w:r>
              <w:rPr/>
              <w:t> </w:t>
            </w:r>
          </w:p>
        </w:tc>
        <w:tc>
          <w:tcPr>
            <w:tcW w:w="147" w:type="dxa"/>
            <w:tcBorders/>
            <w:shd w:fill="CCEEFF" w:val="clear"/>
            <w:vAlign w:val="bottom"/>
          </w:tcPr>
          <w:p>
            <w:pPr>
              <w:pStyle w:val="TableContents"/>
              <w:bidi w:val="0"/>
              <w:spacing w:before="0" w:after="283"/>
              <w:jc w:val="left"/>
              <w:rPr/>
            </w:pPr>
            <w:r>
              <w:rPr/>
              <w:t> </w:t>
            </w:r>
          </w:p>
        </w:tc>
        <w:tc>
          <w:tcPr>
            <w:tcW w:w="638" w:type="dxa"/>
            <w:tcBorders/>
            <w:shd w:fill="CCEEFF" w:val="clear"/>
            <w:vAlign w:val="bottom"/>
          </w:tcPr>
          <w:p>
            <w:pPr>
              <w:pStyle w:val="TableContents"/>
              <w:bidi w:val="0"/>
              <w:spacing w:before="0" w:after="283"/>
              <w:jc w:val="right"/>
              <w:rPr>
                <w:b/>
              </w:rPr>
            </w:pPr>
            <w:r>
              <w:rPr>
                <w:b/>
              </w:rPr>
              <w:t>27</w:t>
            </w:r>
          </w:p>
        </w:tc>
        <w:tc>
          <w:tcPr>
            <w:tcW w:w="6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tbl>
      <w:tblPr>
        <w:tblW w:w="8560" w:type="dxa"/>
        <w:jc w:val="left"/>
        <w:tblInd w:w="0" w:type="dxa"/>
        <w:tblLayout w:type="fixed"/>
        <w:tblCellMar>
          <w:top w:w="0" w:type="dxa"/>
          <w:left w:w="0" w:type="dxa"/>
          <w:bottom w:w="0" w:type="dxa"/>
          <w:right w:w="0" w:type="dxa"/>
        </w:tblCellMar>
      </w:tblPr>
      <w:tblGrid>
        <w:gridCol w:w="290"/>
        <w:gridCol w:w="8270"/>
      </w:tblGrid>
      <w:tr>
        <w:trPr/>
        <w:tc>
          <w:tcPr>
            <w:tcW w:w="29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(A)</w:t>
            </w:r>
          </w:p>
        </w:tc>
        <w:tc>
          <w:tcPr>
            <w:tcW w:w="82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See Note 8 regarding the estimation of fair value, which approximates carrying value for all securities.</w:t>
            </w:r>
          </w:p>
        </w:tc>
      </w:tr>
    </w:tbl>
    <w:tbl>
      <w:tblPr>
        <w:tblW w:w="5650" w:type="dxa"/>
        <w:jc w:val="left"/>
        <w:tblInd w:w="0" w:type="dxa"/>
        <w:tblLayout w:type="fixed"/>
        <w:tblCellMar>
          <w:top w:w="0" w:type="dxa"/>
          <w:left w:w="0" w:type="dxa"/>
          <w:bottom w:w="0" w:type="dxa"/>
          <w:right w:w="0" w:type="dxa"/>
        </w:tblCellMar>
      </w:tblPr>
      <w:tblGrid>
        <w:gridCol w:w="290"/>
        <w:gridCol w:w="5360"/>
      </w:tblGrid>
      <w:tr>
        <w:trPr/>
        <w:tc>
          <w:tcPr>
            <w:tcW w:w="29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(B)</w:t>
            </w:r>
          </w:p>
        </w:tc>
        <w:tc>
          <w:tcPr>
            <w:tcW w:w="53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The Company used an implied AA+ rating for the Agency RMBS.</w:t>
            </w:r>
          </w:p>
        </w:tc>
      </w:tr>
    </w:tbl>
    <w:tbl>
      <w:tblPr>
        <w:tblW w:w="10205" w:type="dxa"/>
        <w:jc w:val="left"/>
        <w:tblInd w:w="0" w:type="dxa"/>
        <w:tblLayout w:type="fixed"/>
        <w:tblCellMar>
          <w:top w:w="0" w:type="dxa"/>
          <w:left w:w="0" w:type="dxa"/>
          <w:bottom w:w="0" w:type="dxa"/>
          <w:right w:w="0" w:type="dxa"/>
        </w:tblCellMar>
      </w:tblPr>
      <w:tblGrid>
        <w:gridCol w:w="273"/>
        <w:gridCol w:w="9932"/>
      </w:tblGrid>
      <w:tr>
        <w:trPr/>
        <w:tc>
          <w:tcPr>
            <w:tcW w:w="273"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(C)</w:t>
            </w:r>
          </w:p>
        </w:tc>
        <w:tc>
          <w:tcPr>
            <w:tcW w:w="9932"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The weighted average yield is based on the most recent gross monthly interest income, which is then annualized and divided by the book value of settled securities.</w:t>
            </w:r>
          </w:p>
        </w:tc>
      </w:tr>
    </w:tbl>
    <w:p>
      <w:pPr>
        <w:pStyle w:val="TextBody"/>
        <w:bidi w:val="0"/>
        <w:spacing w:before="0" w:after="0"/>
        <w:jc w:val="left"/>
        <w:rPr>
          <w:color w:val="000000"/>
          <w:shd w:fill="FFFFFF" w:val="clear"/>
        </w:rPr>
      </w:pPr>
      <w:r>
        <w:rPr>
          <w:color w:val="000000"/>
          <w:shd w:fill="FFFFFF" w:val="clear"/>
        </w:rPr>
        <w:t xml:space="preserve">  </w:t>
      </w:r>
    </w:p>
    <w:p>
      <w:pPr>
        <w:pStyle w:val="TextBody"/>
        <w:bidi w:val="0"/>
        <w:spacing w:before="0" w:after="0"/>
        <w:jc w:val="both"/>
        <w:rPr/>
      </w:pPr>
      <w:r>
        <w:rPr/>
      </w:r>
    </w:p>
    <w:p>
      <w:pPr>
        <w:pStyle w:val="TextBody"/>
        <w:bidi w:val="0"/>
        <w:spacing w:before="0" w:after="0"/>
        <w:ind w:left="0" w:right="0" w:firstLine="72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At June 30, 2026 and December 31, 2025, the Company pledged Agency RMBS with a carrying value of approximately $1,054.0 million and $1,189.7 million, respectively, as collateral for borrowings under repurchase agreements. At June 30, 2026 and December 31, 2025, the Company did not have any securities purchased from and financed with the same counterparty that did not meet the conditions of ASC 860, Transfers and Servicing, to be considered linked transactions and, therefore, classified as derivatives.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20</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Based on management’s analysis of the Company’s available-for-sale designated securities, the performance of the underlying loans and changes in market factors, management determined that unrealized losses as of the balance sheet date on the Company’s available-for-sale designated securities were primarily the result of changes in market factors, rather than issuer-specific credit impairment. The Company performed analyses in relation to such securities, using management’s best estimate of their cash flows, which support its belief that the carrying values of such securities were fully recoverable over their expected holding periods. Such market factors include changes in market interest rates and credit spreads and certain macroeconomic events, none of which will directly impact the Company’s ability to collect amounts contractually due. Management continually evaluates the credit status of each of the Company’s securities and the collateral supporting those securities. This evaluation includes a review of the credit of the issuer of the security (if applicable), the credit rating of the security (if applicable), the key terms of the security (including credit support), debt service coverage and loan to value ratios, the performance of the pool of underlying loans and the estimated value of the collateral supporting such loans, including the effect of local, industry and broader economic trends and factors. All of the Company’s available-for-sale designated investments in RMBS are guaranteed by Agencies or U.S. government sponsored enterprises.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Both credit related and non-credit related unrealized losses on available-for-sale securities that the Company (i) intends to sell, or (ii) will more likely than not be required to sell before recovering their cost basis, are recognized in earnings. The Company did not record an allowance for credit losses on the balance sheet at June 30, 2026 and December 31, 2025, nor any impairment charges in earnings related to its available-for-sale securities during the six-month periods ended June 30, 2026 and June 30, 2025.</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The following tables summarize the Company’s available-for-sale securities measured at fair value through OCI in an unrealized loss position as of the dates indicated (dollars in thousands):</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Available-For-Sale RMBS Unrealized Loss Positions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 xml:space="preserve">As of June 30, 2026 </w:t>
      </w:r>
    </w:p>
    <w:p>
      <w:pPr>
        <w:pStyle w:val="TextBody"/>
        <w:bidi w:val="0"/>
        <w:spacing w:before="0" w:after="0"/>
        <w:jc w:val="left"/>
        <w:rPr>
          <w:color w:val="000000"/>
          <w:shd w:fill="FFFFFF" w:val="clear"/>
        </w:rPr>
      </w:pPr>
      <w:r>
        <w:rPr>
          <w:color w:val="000000"/>
          <w:shd w:fill="FFFFFF" w:val="clear"/>
        </w:rPr>
        <w:t> </w:t>
      </w:r>
    </w:p>
    <w:tbl>
      <w:tblPr>
        <w:tblW w:w="10205" w:type="dxa"/>
        <w:jc w:val="center"/>
        <w:tblInd w:w="0" w:type="dxa"/>
        <w:tblLayout w:type="fixed"/>
        <w:tblCellMar>
          <w:top w:w="0" w:type="dxa"/>
          <w:left w:w="0" w:type="dxa"/>
          <w:bottom w:w="0" w:type="dxa"/>
          <w:right w:w="0" w:type="dxa"/>
        </w:tblCellMar>
      </w:tblPr>
      <w:tblGrid>
        <w:gridCol w:w="1699"/>
        <w:gridCol w:w="60"/>
        <w:gridCol w:w="140"/>
        <w:gridCol w:w="680"/>
        <w:gridCol w:w="60"/>
        <w:gridCol w:w="60"/>
        <w:gridCol w:w="140"/>
        <w:gridCol w:w="680"/>
        <w:gridCol w:w="60"/>
        <w:gridCol w:w="60"/>
        <w:gridCol w:w="223"/>
        <w:gridCol w:w="727"/>
        <w:gridCol w:w="95"/>
        <w:gridCol w:w="60"/>
        <w:gridCol w:w="140"/>
        <w:gridCol w:w="680"/>
        <w:gridCol w:w="60"/>
        <w:gridCol w:w="60"/>
        <w:gridCol w:w="254"/>
        <w:gridCol w:w="596"/>
        <w:gridCol w:w="60"/>
        <w:gridCol w:w="590"/>
        <w:gridCol w:w="60"/>
        <w:gridCol w:w="101"/>
        <w:gridCol w:w="744"/>
        <w:gridCol w:w="215"/>
        <w:gridCol w:w="60"/>
        <w:gridCol w:w="64"/>
        <w:gridCol w:w="475"/>
        <w:gridCol w:w="215"/>
        <w:gridCol w:w="60"/>
        <w:gridCol w:w="147"/>
        <w:gridCol w:w="638"/>
        <w:gridCol w:w="242"/>
      </w:tblGrid>
      <w:tr>
        <w:trPr/>
        <w:tc>
          <w:tcPr>
            <w:tcW w:w="169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369" w:type="dxa"/>
            <w:gridSpan w:val="1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Weighted Average</w:t>
            </w:r>
          </w:p>
        </w:tc>
        <w:tc>
          <w:tcPr>
            <w:tcW w:w="242" w:type="dxa"/>
            <w:tcBorders/>
            <w:vAlign w:val="bottom"/>
          </w:tcPr>
          <w:p>
            <w:pPr>
              <w:pStyle w:val="TableContents"/>
              <w:bidi w:val="0"/>
              <w:spacing w:before="0" w:after="283"/>
              <w:jc w:val="left"/>
              <w:rPr/>
            </w:pPr>
            <w:r>
              <w:rPr/>
              <w:t> </w:t>
            </w:r>
          </w:p>
        </w:tc>
      </w:tr>
      <w:tr>
        <w:trPr/>
        <w:tc>
          <w:tcPr>
            <w:tcW w:w="1699" w:type="dxa"/>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Duration in Loss Position</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Original</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Face</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Value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Book</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Value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Gross</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Unrealized</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Losses</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Carrying</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Value</w:t>
            </w:r>
            <w:r>
              <w:rPr>
                <w:rFonts w:ascii="Times New Roman" w:hAnsi="Times New Roman"/>
                <w:b/>
                <w:color w:val="000000"/>
                <w:position w:val="7"/>
                <w:sz w:val="16"/>
                <w:sz w:val="20"/>
              </w:rPr>
              <w:t>(A)</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Number of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Securities</w:t>
            </w:r>
          </w:p>
        </w:tc>
        <w:tc>
          <w:tcPr>
            <w:tcW w:w="60" w:type="dxa"/>
            <w:tcBorders/>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Rating</w:t>
            </w:r>
          </w:p>
        </w:tc>
        <w:tc>
          <w:tcPr>
            <w:tcW w:w="60" w:type="dxa"/>
            <w:tcBorders/>
            <w:vAlign w:val="bottom"/>
          </w:tcPr>
          <w:p>
            <w:pPr>
              <w:pStyle w:val="TableContents"/>
              <w:bidi w:val="0"/>
              <w:spacing w:before="0" w:after="283"/>
              <w:jc w:val="center"/>
              <w:rPr/>
            </w:pPr>
            <w:r>
              <w:rPr/>
              <w:t> </w:t>
            </w:r>
          </w:p>
        </w:tc>
        <w:tc>
          <w:tcPr>
            <w:tcW w:w="845" w:type="dxa"/>
            <w:gridSpan w:val="2"/>
            <w:tcBorders>
              <w:bottom w:val="single" w:sz="12" w:space="0" w:color="000000"/>
            </w:tcBorders>
            <w:tcMar>
              <w:bottom w:w="28" w:type="dxa"/>
            </w:tcMar>
            <w:vAlign w:val="bottom"/>
          </w:tcPr>
          <w:p>
            <w:pPr>
              <w:pStyle w:val="TableContents"/>
              <w:bidi w:val="0"/>
              <w:spacing w:before="0" w:after="283"/>
              <w:jc w:val="center"/>
              <w:rPr>
                <w:b/>
              </w:rPr>
            </w:pPr>
            <w:r>
              <w:rPr>
                <w:b/>
              </w:rPr>
              <w:t>Coupon</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Yield</w:t>
            </w:r>
            <w:r>
              <w:rPr>
                <w:rFonts w:ascii="Times New Roman" w:hAnsi="Times New Roman"/>
                <w:b/>
                <w:color w:val="000000"/>
                <w:position w:val="7"/>
                <w:sz w:val="16"/>
                <w:sz w:val="20"/>
              </w:rPr>
              <w:t>(C)</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Maturity</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(Years)</w:t>
            </w:r>
          </w:p>
        </w:tc>
        <w:tc>
          <w:tcPr>
            <w:tcW w:w="242" w:type="dxa"/>
            <w:tcBorders/>
            <w:vAlign w:val="bottom"/>
          </w:tcPr>
          <w:p>
            <w:pPr>
              <w:pStyle w:val="TableContents"/>
              <w:bidi w:val="0"/>
              <w:spacing w:before="0" w:after="283"/>
              <w:jc w:val="left"/>
              <w:rPr/>
            </w:pPr>
            <w:r>
              <w:rPr/>
              <w:t> </w:t>
            </w:r>
          </w:p>
        </w:tc>
      </w:tr>
      <w:tr>
        <w:trPr/>
        <w:tc>
          <w:tcPr>
            <w:tcW w:w="1699" w:type="dxa"/>
            <w:tcBorders/>
            <w:shd w:fill="CCEEFF" w:val="clear"/>
            <w:vAlign w:val="bottom"/>
          </w:tcPr>
          <w:p>
            <w:pPr>
              <w:pStyle w:val="TableContents"/>
              <w:bidi w:val="0"/>
              <w:spacing w:before="0" w:after="0"/>
              <w:ind w:left="180" w:right="0" w:hanging="180"/>
              <w:jc w:val="left"/>
              <w:rPr>
                <w:rFonts w:ascii="Times New Roman" w:hAnsi="Times New Roman"/>
                <w:b/>
                <w:color w:val="000000"/>
                <w:sz w:val="20"/>
              </w:rPr>
            </w:pPr>
            <w:r>
              <w:rPr>
                <w:rFonts w:ascii="Times New Roman" w:hAnsi="Times New Roman"/>
                <w:b/>
                <w:color w:val="000000"/>
                <w:sz w:val="20"/>
              </w:rPr>
              <w:t>RMBS, available-for-sale, measured at fair value through OCI</w:t>
            </w:r>
          </w:p>
        </w:tc>
        <w:tc>
          <w:tcPr>
            <w:tcW w:w="60" w:type="dxa"/>
            <w:tcBorders/>
            <w:shd w:fill="CCEEFF" w:val="clear"/>
            <w:vAlign w:val="bottom"/>
          </w:tcPr>
          <w:p>
            <w:pPr>
              <w:pStyle w:val="TableContents"/>
              <w:bidi w:val="0"/>
              <w:spacing w:before="0" w:after="283"/>
              <w:jc w:val="left"/>
              <w:rPr/>
            </w:pPr>
            <w:r>
              <w:rPr/>
              <w:t> </w:t>
            </w:r>
          </w:p>
        </w:tc>
        <w:tc>
          <w:tcPr>
            <w:tcW w:w="820" w:type="dxa"/>
            <w:gridSpan w:val="2"/>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20" w:type="dxa"/>
            <w:gridSpan w:val="2"/>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50" w:type="dxa"/>
            <w:gridSpan w:val="2"/>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20" w:type="dxa"/>
            <w:gridSpan w:val="2"/>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50" w:type="dxa"/>
            <w:gridSpan w:val="2"/>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left"/>
              <w:rPr>
                <w:color w:val="000000"/>
              </w:rPr>
            </w:pPr>
            <w:r>
              <w:rPr>
                <w:color w:val="000000"/>
              </w:rPr>
              <w:t> </w:t>
            </w:r>
          </w:p>
        </w:tc>
        <w:tc>
          <w:tcPr>
            <w:tcW w:w="60" w:type="dxa"/>
            <w:tcBorders/>
            <w:shd w:fill="CCEEFF" w:val="clear"/>
            <w:vAlign w:val="bottom"/>
          </w:tcPr>
          <w:p>
            <w:pPr>
              <w:pStyle w:val="TableContents"/>
              <w:bidi w:val="0"/>
              <w:spacing w:before="0" w:after="283"/>
              <w:jc w:val="left"/>
              <w:rPr/>
            </w:pPr>
            <w:r>
              <w:rPr/>
              <w:t> </w:t>
            </w:r>
          </w:p>
        </w:tc>
        <w:tc>
          <w:tcPr>
            <w:tcW w:w="845" w:type="dxa"/>
            <w:gridSpan w:val="2"/>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39" w:type="dxa"/>
            <w:gridSpan w:val="2"/>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5" w:type="dxa"/>
            <w:gridSpan w:val="2"/>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ind w:left="0" w:right="0" w:firstLine="180"/>
              <w:jc w:val="left"/>
              <w:rPr/>
            </w:pPr>
            <w:r>
              <w:rPr/>
              <w:t> </w:t>
            </w:r>
          </w:p>
        </w:tc>
      </w:tr>
      <w:tr>
        <w:trPr/>
        <w:tc>
          <w:tcPr>
            <w:tcW w:w="1699" w:type="dxa"/>
            <w:tcBorders/>
            <w:vAlign w:val="bottom"/>
          </w:tcPr>
          <w:p>
            <w:pPr>
              <w:pStyle w:val="TableContents"/>
              <w:bidi w:val="0"/>
              <w:spacing w:before="0" w:after="283"/>
              <w:jc w:val="left"/>
              <w:rPr/>
            </w:pPr>
            <w:r>
              <w:rPr/>
              <w:t>Less than Twelve Months</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w:t>
            </w:r>
          </w:p>
        </w:tc>
        <w:tc>
          <w:tcPr>
            <w:tcW w:w="680" w:type="dxa"/>
            <w:tcBorders>
              <w:bottom w:val="single" w:sz="12" w:space="0" w:color="000000"/>
            </w:tcBorders>
            <w:tcMar>
              <w:bottom w:w="28" w:type="dxa"/>
            </w:tcMar>
            <w:vAlign w:val="bottom"/>
          </w:tcPr>
          <w:p>
            <w:pPr>
              <w:pStyle w:val="TableContents"/>
              <w:bidi w:val="0"/>
              <w:spacing w:before="0" w:after="283"/>
              <w:jc w:val="right"/>
              <w:rPr/>
            </w:pPr>
            <w:r>
              <w:rPr/>
              <w:t>60,182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w:t>
            </w:r>
          </w:p>
        </w:tc>
        <w:tc>
          <w:tcPr>
            <w:tcW w:w="680" w:type="dxa"/>
            <w:tcBorders>
              <w:bottom w:val="single" w:sz="12" w:space="0" w:color="000000"/>
            </w:tcBorders>
            <w:tcMar>
              <w:bottom w:w="28" w:type="dxa"/>
            </w:tcMar>
            <w:vAlign w:val="bottom"/>
          </w:tcPr>
          <w:p>
            <w:pPr>
              <w:pStyle w:val="TableContents"/>
              <w:bidi w:val="0"/>
              <w:spacing w:before="0" w:after="283"/>
              <w:jc w:val="right"/>
              <w:rPr/>
            </w:pPr>
            <w:r>
              <w:rPr/>
              <w:t>43,225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23" w:type="dxa"/>
            <w:tcBorders>
              <w:bottom w:val="single" w:sz="12" w:space="0" w:color="000000"/>
            </w:tcBorders>
            <w:tcMar>
              <w:bottom w:w="28" w:type="dxa"/>
            </w:tcMar>
            <w:vAlign w:val="bottom"/>
          </w:tcPr>
          <w:p>
            <w:pPr>
              <w:pStyle w:val="TableContents"/>
              <w:bidi w:val="0"/>
              <w:spacing w:before="0" w:after="283"/>
              <w:jc w:val="left"/>
              <w:rPr/>
            </w:pPr>
            <w:r>
              <w:rPr/>
              <w:t>$</w:t>
            </w:r>
          </w:p>
        </w:tc>
        <w:tc>
          <w:tcPr>
            <w:tcW w:w="727" w:type="dxa"/>
            <w:tcBorders>
              <w:bottom w:val="single" w:sz="12" w:space="0" w:color="000000"/>
            </w:tcBorders>
            <w:tcMar>
              <w:bottom w:w="28" w:type="dxa"/>
            </w:tcMar>
            <w:vAlign w:val="bottom"/>
          </w:tcPr>
          <w:p>
            <w:pPr>
              <w:pStyle w:val="TableContents"/>
              <w:bidi w:val="0"/>
              <w:spacing w:before="0" w:after="283"/>
              <w:jc w:val="right"/>
              <w:rPr/>
            </w:pPr>
            <w:r>
              <w:rPr/>
              <w:t>(575</w:t>
            </w:r>
          </w:p>
        </w:tc>
        <w:tc>
          <w:tcPr>
            <w:tcW w:w="95" w:type="dxa"/>
            <w:tcBorders/>
            <w:vAlign w:val="bottom"/>
          </w:tcPr>
          <w:p>
            <w:pPr>
              <w:pStyle w:val="TableContents"/>
              <w:bidi w:val="0"/>
              <w:spacing w:before="0" w:after="283"/>
              <w:jc w:val="left"/>
              <w:rPr/>
            </w:pPr>
            <w:r>
              <w:rPr/>
              <w:t>)</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w:t>
            </w:r>
          </w:p>
        </w:tc>
        <w:tc>
          <w:tcPr>
            <w:tcW w:w="680" w:type="dxa"/>
            <w:tcBorders>
              <w:bottom w:val="single" w:sz="12" w:space="0" w:color="000000"/>
            </w:tcBorders>
            <w:tcMar>
              <w:bottom w:w="28" w:type="dxa"/>
            </w:tcMar>
            <w:vAlign w:val="bottom"/>
          </w:tcPr>
          <w:p>
            <w:pPr>
              <w:pStyle w:val="TableContents"/>
              <w:bidi w:val="0"/>
              <w:spacing w:before="0" w:after="283"/>
              <w:jc w:val="right"/>
              <w:rPr/>
            </w:pPr>
            <w:r>
              <w:rPr/>
              <w:t>42,650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54" w:type="dxa"/>
            <w:tcBorders>
              <w:bottom w:val="single" w:sz="12" w:space="0" w:color="000000"/>
            </w:tcBorders>
            <w:tcMar>
              <w:bottom w:w="28" w:type="dxa"/>
            </w:tcMar>
            <w:vAlign w:val="bottom"/>
          </w:tcPr>
          <w:p>
            <w:pPr>
              <w:pStyle w:val="TableContents"/>
              <w:bidi w:val="0"/>
              <w:spacing w:before="0" w:after="283"/>
              <w:jc w:val="left"/>
              <w:rPr/>
            </w:pPr>
            <w:r>
              <w:rPr/>
              <w:t> </w:t>
            </w:r>
          </w:p>
        </w:tc>
        <w:tc>
          <w:tcPr>
            <w:tcW w:w="596" w:type="dxa"/>
            <w:tcBorders>
              <w:bottom w:val="single" w:sz="12" w:space="0" w:color="000000"/>
            </w:tcBorders>
            <w:tcMar>
              <w:bottom w:w="28" w:type="dxa"/>
            </w:tcMar>
            <w:vAlign w:val="bottom"/>
          </w:tcPr>
          <w:p>
            <w:pPr>
              <w:pStyle w:val="TableContents"/>
              <w:bidi w:val="0"/>
              <w:spacing w:before="0" w:after="283"/>
              <w:jc w:val="right"/>
              <w:rPr/>
            </w:pPr>
            <w:r>
              <w:rPr/>
              <w:t>4</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center"/>
              <w:rPr/>
            </w:pPr>
            <w:r>
              <w:rPr/>
              <w:t xml:space="preserve">(B) </w:t>
            </w:r>
          </w:p>
        </w:tc>
        <w:tc>
          <w:tcPr>
            <w:tcW w:w="60" w:type="dxa"/>
            <w:tcBorders/>
            <w:vAlign w:val="bottom"/>
          </w:tcPr>
          <w:p>
            <w:pPr>
              <w:pStyle w:val="TableContents"/>
              <w:bidi w:val="0"/>
              <w:spacing w:before="0" w:after="283"/>
              <w:jc w:val="right"/>
              <w:rPr/>
            </w:pPr>
            <w:r>
              <w:rPr/>
              <w:t> </w:t>
            </w:r>
          </w:p>
        </w:tc>
        <w:tc>
          <w:tcPr>
            <w:tcW w:w="101" w:type="dxa"/>
            <w:tcBorders>
              <w:bottom w:val="single" w:sz="12" w:space="0" w:color="000000"/>
            </w:tcBorders>
            <w:tcMar>
              <w:bottom w:w="28" w:type="dxa"/>
            </w:tcMar>
            <w:vAlign w:val="bottom"/>
          </w:tcPr>
          <w:p>
            <w:pPr>
              <w:pStyle w:val="TableContents"/>
              <w:bidi w:val="0"/>
              <w:spacing w:before="0" w:after="283"/>
              <w:jc w:val="left"/>
              <w:rPr/>
            </w:pPr>
            <w:r>
              <w:rPr/>
              <w:t> </w:t>
            </w:r>
          </w:p>
        </w:tc>
        <w:tc>
          <w:tcPr>
            <w:tcW w:w="744" w:type="dxa"/>
            <w:tcBorders>
              <w:bottom w:val="single" w:sz="12" w:space="0" w:color="000000"/>
            </w:tcBorders>
            <w:tcMar>
              <w:bottom w:w="28" w:type="dxa"/>
            </w:tcMar>
            <w:vAlign w:val="bottom"/>
          </w:tcPr>
          <w:p>
            <w:pPr>
              <w:pStyle w:val="TableContents"/>
              <w:bidi w:val="0"/>
              <w:spacing w:before="0" w:after="283"/>
              <w:jc w:val="right"/>
              <w:rPr/>
            </w:pPr>
            <w:r>
              <w:rPr/>
              <w:t>4.75</w:t>
            </w:r>
          </w:p>
        </w:tc>
        <w:tc>
          <w:tcPr>
            <w:tcW w:w="215" w:type="dxa"/>
            <w:tcBorders/>
            <w:vAlign w:val="bottom"/>
          </w:tcPr>
          <w:p>
            <w:pPr>
              <w:pStyle w:val="TableContents"/>
              <w:bidi w:val="0"/>
              <w:spacing w:before="0" w:after="283"/>
              <w:jc w:val="left"/>
              <w:rPr/>
            </w:pPr>
            <w:r>
              <w:rPr/>
              <w:t>%</w:t>
            </w:r>
          </w:p>
        </w:tc>
        <w:tc>
          <w:tcPr>
            <w:tcW w:w="60" w:type="dxa"/>
            <w:tcBorders/>
            <w:vAlign w:val="bottom"/>
          </w:tcPr>
          <w:p>
            <w:pPr>
              <w:pStyle w:val="TableContents"/>
              <w:bidi w:val="0"/>
              <w:spacing w:before="0" w:after="283"/>
              <w:jc w:val="right"/>
              <w:rPr/>
            </w:pPr>
            <w:r>
              <w:rPr/>
              <w:t> </w:t>
            </w:r>
          </w:p>
        </w:tc>
        <w:tc>
          <w:tcPr>
            <w:tcW w:w="64" w:type="dxa"/>
            <w:tcBorders>
              <w:bottom w:val="single" w:sz="12" w:space="0" w:color="000000"/>
            </w:tcBorders>
            <w:tcMar>
              <w:bottom w:w="28" w:type="dxa"/>
            </w:tcMar>
            <w:vAlign w:val="bottom"/>
          </w:tcPr>
          <w:p>
            <w:pPr>
              <w:pStyle w:val="TableContents"/>
              <w:bidi w:val="0"/>
              <w:spacing w:before="0" w:after="283"/>
              <w:jc w:val="left"/>
              <w:rPr/>
            </w:pPr>
            <w:r>
              <w:rPr/>
              <w:t> </w:t>
            </w:r>
          </w:p>
        </w:tc>
        <w:tc>
          <w:tcPr>
            <w:tcW w:w="475" w:type="dxa"/>
            <w:tcBorders>
              <w:bottom w:val="single" w:sz="12" w:space="0" w:color="000000"/>
            </w:tcBorders>
            <w:tcMar>
              <w:bottom w:w="28" w:type="dxa"/>
            </w:tcMar>
            <w:vAlign w:val="bottom"/>
          </w:tcPr>
          <w:p>
            <w:pPr>
              <w:pStyle w:val="TableContents"/>
              <w:bidi w:val="0"/>
              <w:spacing w:before="0" w:after="283"/>
              <w:jc w:val="right"/>
              <w:rPr/>
            </w:pPr>
            <w:r>
              <w:rPr/>
              <w:t>4.77</w:t>
            </w:r>
          </w:p>
        </w:tc>
        <w:tc>
          <w:tcPr>
            <w:tcW w:w="215" w:type="dxa"/>
            <w:tcBorders/>
            <w:vAlign w:val="bottom"/>
          </w:tcPr>
          <w:p>
            <w:pPr>
              <w:pStyle w:val="TableContents"/>
              <w:bidi w:val="0"/>
              <w:spacing w:before="0" w:after="283"/>
              <w:jc w:val="left"/>
              <w:rPr/>
            </w:pPr>
            <w:r>
              <w:rPr/>
              <w:t>%</w:t>
            </w:r>
          </w:p>
        </w:tc>
        <w:tc>
          <w:tcPr>
            <w:tcW w:w="60" w:type="dxa"/>
            <w:tcBorders/>
            <w:vAlign w:val="bottom"/>
          </w:tcPr>
          <w:p>
            <w:pPr>
              <w:pStyle w:val="TableContents"/>
              <w:bidi w:val="0"/>
              <w:spacing w:before="0" w:after="283"/>
              <w:jc w:val="right"/>
              <w:rPr/>
            </w:pPr>
            <w:r>
              <w:rPr/>
              <w:t> </w:t>
            </w:r>
          </w:p>
        </w:tc>
        <w:tc>
          <w:tcPr>
            <w:tcW w:w="147" w:type="dxa"/>
            <w:tcBorders>
              <w:bottom w:val="single" w:sz="12" w:space="0" w:color="000000"/>
            </w:tcBorders>
            <w:tcMar>
              <w:bottom w:w="28" w:type="dxa"/>
            </w:tcMar>
            <w:vAlign w:val="bottom"/>
          </w:tcPr>
          <w:p>
            <w:pPr>
              <w:pStyle w:val="TableContents"/>
              <w:bidi w:val="0"/>
              <w:spacing w:before="0" w:after="283"/>
              <w:jc w:val="left"/>
              <w:rPr/>
            </w:pPr>
            <w:r>
              <w:rPr/>
              <w:t> </w:t>
            </w:r>
          </w:p>
        </w:tc>
        <w:tc>
          <w:tcPr>
            <w:tcW w:w="638" w:type="dxa"/>
            <w:tcBorders>
              <w:bottom w:val="single" w:sz="12" w:space="0" w:color="000000"/>
            </w:tcBorders>
            <w:tcMar>
              <w:bottom w:w="28" w:type="dxa"/>
            </w:tcMar>
            <w:vAlign w:val="bottom"/>
          </w:tcPr>
          <w:p>
            <w:pPr>
              <w:pStyle w:val="TableContents"/>
              <w:bidi w:val="0"/>
              <w:spacing w:before="0" w:after="283"/>
              <w:jc w:val="right"/>
              <w:rPr/>
            </w:pPr>
            <w:r>
              <w:rPr/>
              <w:t>26</w:t>
            </w:r>
          </w:p>
        </w:tc>
        <w:tc>
          <w:tcPr>
            <w:tcW w:w="242" w:type="dxa"/>
            <w:tcBorders/>
            <w:vAlign w:val="bottom"/>
          </w:tcPr>
          <w:p>
            <w:pPr>
              <w:pStyle w:val="TableContents"/>
              <w:bidi w:val="0"/>
              <w:spacing w:before="0" w:after="283"/>
              <w:jc w:val="left"/>
              <w:rPr/>
            </w:pPr>
            <w:r>
              <w:rPr/>
              <w:t> </w:t>
            </w:r>
          </w:p>
        </w:tc>
      </w:tr>
      <w:tr>
        <w:trPr/>
        <w:tc>
          <w:tcPr>
            <w:tcW w:w="1699" w:type="dxa"/>
            <w:tcBorders/>
            <w:shd w:fill="CCEEFF" w:val="clear"/>
            <w:vAlign w:val="bottom"/>
          </w:tcPr>
          <w:p>
            <w:pPr>
              <w:pStyle w:val="TableContents"/>
              <w:bidi w:val="0"/>
              <w:spacing w:before="0" w:after="0"/>
              <w:ind w:left="180" w:right="0" w:hanging="180"/>
              <w:jc w:val="left"/>
              <w:rPr>
                <w:rFonts w:ascii="Times New Roman" w:hAnsi="Times New Roman"/>
                <w:b/>
                <w:color w:val="000000"/>
                <w:sz w:val="20"/>
              </w:rPr>
            </w:pPr>
            <w:r>
              <w:rPr>
                <w:rFonts w:ascii="Times New Roman" w:hAnsi="Times New Roman"/>
                <w:b/>
                <w:color w:val="000000"/>
                <w:sz w:val="20"/>
              </w:rPr>
              <w:t xml:space="preserve">Total/weighted average RMBS, </w:t>
            </w:r>
            <w:r>
              <w:rPr>
                <w:rFonts w:ascii="Times New Roman" w:hAnsi="Times New Roman"/>
                <w:b/>
                <w:i w:val="false"/>
                <w:caps w:val="false"/>
                <w:smallCaps w:val="false"/>
                <w:color w:val="000000"/>
                <w:spacing w:val="0"/>
                <w:sz w:val="20"/>
              </w:rPr>
              <w:t xml:space="preserve">available-for-sale, </w:t>
            </w:r>
            <w:r>
              <w:rPr>
                <w:rFonts w:ascii="Times New Roman" w:hAnsi="Times New Roman"/>
                <w:b/>
                <w:color w:val="000000"/>
                <w:sz w:val="20"/>
              </w:rPr>
              <w:t>measured at fair value through OCI</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680" w:type="dxa"/>
            <w:tcBorders/>
            <w:shd w:fill="CCEEFF" w:val="cle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60,182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680" w:type="dxa"/>
            <w:tcBorders/>
            <w:shd w:fill="CCEEFF" w:val="cle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43,225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23" w:type="dxa"/>
            <w:tcBorders/>
            <w:shd w:fill="CCEEFF" w:val="cle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727" w:type="dxa"/>
            <w:tcBorders/>
            <w:shd w:fill="CCEEFF" w:val="cle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(575</w:t>
            </w:r>
          </w:p>
        </w:tc>
        <w:tc>
          <w:tcPr>
            <w:tcW w:w="95" w:type="dxa"/>
            <w:tcBorders/>
            <w:shd w:fill="CCEEFF" w:val="cle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680" w:type="dxa"/>
            <w:tcBorders/>
            <w:shd w:fill="CCEEFF" w:val="cle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42,650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54" w:type="dxa"/>
            <w:tcBorders/>
            <w:shd w:fill="CCEEFF" w:val="clear"/>
            <w:vAlign w:val="bottom"/>
          </w:tcPr>
          <w:p>
            <w:pPr>
              <w:pStyle w:val="TableContents"/>
              <w:bidi w:val="0"/>
              <w:spacing w:before="0" w:after="283"/>
              <w:jc w:val="left"/>
              <w:rPr/>
            </w:pPr>
            <w:r>
              <w:rPr/>
              <w:t> </w:t>
            </w:r>
          </w:p>
        </w:tc>
        <w:tc>
          <w:tcPr>
            <w:tcW w:w="596" w:type="dxa"/>
            <w:tcBorders/>
            <w:shd w:fill="CCEEFF" w:val="cle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4</w:t>
            </w:r>
          </w:p>
        </w:tc>
        <w:tc>
          <w:tcPr>
            <w:tcW w:w="6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pPr>
            <w:r>
              <w:rPr/>
              <w:t> </w:t>
            </w:r>
          </w:p>
        </w:tc>
        <w:tc>
          <w:tcPr>
            <w:tcW w:w="101" w:type="dxa"/>
            <w:tcBorders/>
            <w:shd w:fill="CCEEFF" w:val="clear"/>
            <w:vAlign w:val="bottom"/>
          </w:tcPr>
          <w:p>
            <w:pPr>
              <w:pStyle w:val="TableContents"/>
              <w:bidi w:val="0"/>
              <w:spacing w:before="0" w:after="283"/>
              <w:jc w:val="left"/>
              <w:rPr/>
            </w:pPr>
            <w:r>
              <w:rPr/>
              <w:t> </w:t>
            </w:r>
          </w:p>
        </w:tc>
        <w:tc>
          <w:tcPr>
            <w:tcW w:w="744" w:type="dxa"/>
            <w:tcBorders/>
            <w:shd w:fill="CCEEFF" w:val="cle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4.75</w:t>
            </w:r>
          </w:p>
        </w:tc>
        <w:tc>
          <w:tcPr>
            <w:tcW w:w="215" w:type="dxa"/>
            <w:tcBorders/>
            <w:shd w:fill="CCEEFF" w:val="cle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c>
          <w:tcPr>
            <w:tcW w:w="475" w:type="dxa"/>
            <w:tcBorders/>
            <w:shd w:fill="CCEEFF" w:val="cle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4.77</w:t>
            </w:r>
          </w:p>
        </w:tc>
        <w:tc>
          <w:tcPr>
            <w:tcW w:w="215" w:type="dxa"/>
            <w:tcBorders/>
            <w:shd w:fill="CCEEFF" w:val="cle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47" w:type="dxa"/>
            <w:tcBorders/>
            <w:shd w:fill="CCEEFF" w:val="clear"/>
            <w:vAlign w:val="bottom"/>
          </w:tcPr>
          <w:p>
            <w:pPr>
              <w:pStyle w:val="TableContents"/>
              <w:bidi w:val="0"/>
              <w:spacing w:before="0" w:after="283"/>
              <w:jc w:val="left"/>
              <w:rPr/>
            </w:pPr>
            <w:r>
              <w:rPr/>
              <w:t> </w:t>
            </w:r>
          </w:p>
        </w:tc>
        <w:tc>
          <w:tcPr>
            <w:tcW w:w="638" w:type="dxa"/>
            <w:tcBorders/>
            <w:shd w:fill="CCEEFF" w:val="cle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26</w:t>
            </w:r>
          </w:p>
        </w:tc>
        <w:tc>
          <w:tcPr>
            <w:tcW w:w="242"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color w:val="000000"/>
          <w:shd w:fill="FFFFFF" w:val="clear"/>
        </w:rPr>
      </w:pPr>
      <w:r>
        <w:rPr>
          <w:color w:val="000000"/>
          <w:shd w:fill="FFFFFF" w:val="clear"/>
        </w:rPr>
        <w:t xml:space="preserve">  </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As of December 31, 2025</w:t>
      </w:r>
    </w:p>
    <w:p>
      <w:pPr>
        <w:pStyle w:val="TextBody"/>
        <w:bidi w:val="0"/>
        <w:spacing w:before="0" w:after="0"/>
        <w:jc w:val="left"/>
        <w:rPr>
          <w:color w:val="000000"/>
          <w:shd w:fill="FFFFFF" w:val="clear"/>
        </w:rPr>
      </w:pPr>
      <w:r>
        <w:rPr>
          <w:color w:val="000000"/>
          <w:shd w:fill="FFFFFF" w:val="clear"/>
        </w:rPr>
        <w:t> </w:t>
      </w:r>
    </w:p>
    <w:tbl>
      <w:tblPr>
        <w:tblW w:w="10205" w:type="dxa"/>
        <w:jc w:val="center"/>
        <w:tblInd w:w="0" w:type="dxa"/>
        <w:tblLayout w:type="fixed"/>
        <w:tblCellMar>
          <w:top w:w="0" w:type="dxa"/>
          <w:left w:w="0" w:type="dxa"/>
          <w:bottom w:w="0" w:type="dxa"/>
          <w:right w:w="0" w:type="dxa"/>
        </w:tblCellMar>
      </w:tblPr>
      <w:tblGrid>
        <w:gridCol w:w="1840"/>
        <w:gridCol w:w="60"/>
        <w:gridCol w:w="140"/>
        <w:gridCol w:w="680"/>
        <w:gridCol w:w="60"/>
        <w:gridCol w:w="60"/>
        <w:gridCol w:w="140"/>
        <w:gridCol w:w="680"/>
        <w:gridCol w:w="60"/>
        <w:gridCol w:w="60"/>
        <w:gridCol w:w="224"/>
        <w:gridCol w:w="732"/>
        <w:gridCol w:w="95"/>
        <w:gridCol w:w="60"/>
        <w:gridCol w:w="140"/>
        <w:gridCol w:w="685"/>
        <w:gridCol w:w="60"/>
        <w:gridCol w:w="60"/>
        <w:gridCol w:w="256"/>
        <w:gridCol w:w="600"/>
        <w:gridCol w:w="60"/>
        <w:gridCol w:w="590"/>
        <w:gridCol w:w="60"/>
        <w:gridCol w:w="101"/>
        <w:gridCol w:w="744"/>
        <w:gridCol w:w="215"/>
        <w:gridCol w:w="60"/>
        <w:gridCol w:w="66"/>
        <w:gridCol w:w="492"/>
        <w:gridCol w:w="215"/>
        <w:gridCol w:w="60"/>
        <w:gridCol w:w="147"/>
        <w:gridCol w:w="638"/>
        <w:gridCol w:w="65"/>
      </w:tblGrid>
      <w:tr>
        <w:trPr/>
        <w:tc>
          <w:tcPr>
            <w:tcW w:w="18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6"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6"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388" w:type="dxa"/>
            <w:gridSpan w:val="1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Weighted Average</w:t>
            </w:r>
          </w:p>
        </w:tc>
        <w:tc>
          <w:tcPr>
            <w:tcW w:w="65" w:type="dxa"/>
            <w:tcBorders/>
            <w:vAlign w:val="bottom"/>
          </w:tcPr>
          <w:p>
            <w:pPr>
              <w:pStyle w:val="TableContents"/>
              <w:bidi w:val="0"/>
              <w:spacing w:before="0" w:after="283"/>
              <w:jc w:val="left"/>
              <w:rPr/>
            </w:pPr>
            <w:r>
              <w:rPr/>
              <w:t> </w:t>
            </w:r>
          </w:p>
        </w:tc>
      </w:tr>
      <w:tr>
        <w:trPr/>
        <w:tc>
          <w:tcPr>
            <w:tcW w:w="1840" w:type="dxa"/>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Duration in Loss Position</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Original</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Face</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Value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Book</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Value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6"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Gross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Unrealized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Losses</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Carrying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Value</w:t>
            </w:r>
            <w:r>
              <w:rPr>
                <w:rFonts w:ascii="Times New Roman" w:hAnsi="Times New Roman"/>
                <w:b/>
                <w:color w:val="000000"/>
                <w:position w:val="7"/>
                <w:sz w:val="16"/>
                <w:sz w:val="20"/>
              </w:rPr>
              <w:t>(A)</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6"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Number of</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Securities</w:t>
            </w:r>
          </w:p>
        </w:tc>
        <w:tc>
          <w:tcPr>
            <w:tcW w:w="60" w:type="dxa"/>
            <w:tcBorders/>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Rating</w:t>
            </w:r>
          </w:p>
        </w:tc>
        <w:tc>
          <w:tcPr>
            <w:tcW w:w="60" w:type="dxa"/>
            <w:tcBorders/>
            <w:vAlign w:val="bottom"/>
          </w:tcPr>
          <w:p>
            <w:pPr>
              <w:pStyle w:val="TableContents"/>
              <w:bidi w:val="0"/>
              <w:spacing w:before="0" w:after="283"/>
              <w:jc w:val="center"/>
              <w:rPr/>
            </w:pPr>
            <w:r>
              <w:rPr/>
              <w:t> </w:t>
            </w:r>
          </w:p>
        </w:tc>
        <w:tc>
          <w:tcPr>
            <w:tcW w:w="845" w:type="dxa"/>
            <w:gridSpan w:val="2"/>
            <w:tcBorders>
              <w:bottom w:val="single" w:sz="12" w:space="0" w:color="000000"/>
            </w:tcBorders>
            <w:tcMar>
              <w:bottom w:w="28" w:type="dxa"/>
            </w:tcMar>
            <w:vAlign w:val="bottom"/>
          </w:tcPr>
          <w:p>
            <w:pPr>
              <w:pStyle w:val="TableContents"/>
              <w:bidi w:val="0"/>
              <w:spacing w:before="0" w:after="283"/>
              <w:jc w:val="center"/>
              <w:rPr>
                <w:b/>
              </w:rPr>
            </w:pPr>
            <w:r>
              <w:rPr>
                <w:b/>
              </w:rPr>
              <w:t>Coupon</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58"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Yield</w:t>
            </w:r>
            <w:r>
              <w:rPr>
                <w:rFonts w:ascii="Times New Roman" w:hAnsi="Times New Roman"/>
                <w:b/>
                <w:color w:val="000000"/>
                <w:position w:val="7"/>
                <w:sz w:val="16"/>
                <w:sz w:val="20"/>
              </w:rPr>
              <w:t>(C)</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Maturity</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(Years)</w:t>
            </w:r>
          </w:p>
        </w:tc>
        <w:tc>
          <w:tcPr>
            <w:tcW w:w="65" w:type="dxa"/>
            <w:tcBorders/>
            <w:vAlign w:val="bottom"/>
          </w:tcPr>
          <w:p>
            <w:pPr>
              <w:pStyle w:val="TableContents"/>
              <w:bidi w:val="0"/>
              <w:spacing w:before="0" w:after="283"/>
              <w:jc w:val="left"/>
              <w:rPr/>
            </w:pPr>
            <w:r>
              <w:rPr/>
              <w:t> </w:t>
            </w:r>
          </w:p>
        </w:tc>
      </w:tr>
      <w:tr>
        <w:trPr/>
        <w:tc>
          <w:tcPr>
            <w:tcW w:w="1840" w:type="dxa"/>
            <w:tcBorders/>
            <w:shd w:fill="CCEEFF" w:val="clear"/>
            <w:vAlign w:val="bottom"/>
          </w:tcPr>
          <w:p>
            <w:pPr>
              <w:pStyle w:val="TableContents"/>
              <w:bidi w:val="0"/>
              <w:spacing w:before="0" w:after="0"/>
              <w:ind w:left="180" w:right="0" w:hanging="180"/>
              <w:jc w:val="left"/>
              <w:rPr>
                <w:rFonts w:ascii="Times New Roman" w:hAnsi="Times New Roman"/>
                <w:b/>
                <w:color w:val="000000"/>
                <w:sz w:val="20"/>
              </w:rPr>
            </w:pPr>
            <w:r>
              <w:rPr>
                <w:rFonts w:ascii="Times New Roman" w:hAnsi="Times New Roman"/>
                <w:b/>
                <w:color w:val="000000"/>
                <w:sz w:val="20"/>
              </w:rPr>
              <w:t>RMBS, available-for-sale, measured at fair value through OCI</w:t>
            </w:r>
          </w:p>
        </w:tc>
        <w:tc>
          <w:tcPr>
            <w:tcW w:w="60" w:type="dxa"/>
            <w:tcBorders/>
            <w:shd w:fill="CCEEFF" w:val="clear"/>
            <w:vAlign w:val="bottom"/>
          </w:tcPr>
          <w:p>
            <w:pPr>
              <w:pStyle w:val="TableContents"/>
              <w:bidi w:val="0"/>
              <w:spacing w:before="0" w:after="283"/>
              <w:jc w:val="left"/>
              <w:rPr/>
            </w:pPr>
            <w:r>
              <w:rPr/>
              <w:t> </w:t>
            </w:r>
          </w:p>
        </w:tc>
        <w:tc>
          <w:tcPr>
            <w:tcW w:w="820" w:type="dxa"/>
            <w:gridSpan w:val="2"/>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20" w:type="dxa"/>
            <w:gridSpan w:val="2"/>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56" w:type="dxa"/>
            <w:gridSpan w:val="2"/>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25" w:type="dxa"/>
            <w:gridSpan w:val="2"/>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56" w:type="dxa"/>
            <w:gridSpan w:val="2"/>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left"/>
              <w:rPr>
                <w:color w:val="000000"/>
              </w:rPr>
            </w:pPr>
            <w:r>
              <w:rPr>
                <w:color w:val="000000"/>
              </w:rPr>
              <w:t> </w:t>
            </w:r>
          </w:p>
        </w:tc>
        <w:tc>
          <w:tcPr>
            <w:tcW w:w="60" w:type="dxa"/>
            <w:tcBorders/>
            <w:shd w:fill="CCEEFF" w:val="clear"/>
            <w:vAlign w:val="bottom"/>
          </w:tcPr>
          <w:p>
            <w:pPr>
              <w:pStyle w:val="TableContents"/>
              <w:bidi w:val="0"/>
              <w:spacing w:before="0" w:after="283"/>
              <w:jc w:val="left"/>
              <w:rPr/>
            </w:pPr>
            <w:r>
              <w:rPr/>
              <w:t> </w:t>
            </w:r>
          </w:p>
        </w:tc>
        <w:tc>
          <w:tcPr>
            <w:tcW w:w="845" w:type="dxa"/>
            <w:gridSpan w:val="2"/>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58" w:type="dxa"/>
            <w:gridSpan w:val="2"/>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5" w:type="dxa"/>
            <w:gridSpan w:val="2"/>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r>
      <w:tr>
        <w:trPr/>
        <w:tc>
          <w:tcPr>
            <w:tcW w:w="1840" w:type="dxa"/>
            <w:tcBorders/>
            <w:vAlign w:val="bottom"/>
          </w:tcPr>
          <w:p>
            <w:pPr>
              <w:pStyle w:val="TableContents"/>
              <w:bidi w:val="0"/>
              <w:spacing w:before="0" w:after="0"/>
              <w:ind w:left="180" w:right="0" w:hanging="0"/>
              <w:jc w:val="left"/>
              <w:rPr/>
            </w:pPr>
            <w:r>
              <w:rPr/>
              <w:t>Twelve or More Months</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w:t>
            </w:r>
          </w:p>
        </w:tc>
        <w:tc>
          <w:tcPr>
            <w:tcW w:w="680" w:type="dxa"/>
            <w:tcBorders>
              <w:bottom w:val="single" w:sz="12" w:space="0" w:color="000000"/>
            </w:tcBorders>
            <w:tcMar>
              <w:bottom w:w="28" w:type="dxa"/>
            </w:tcMar>
            <w:vAlign w:val="bottom"/>
          </w:tcPr>
          <w:p>
            <w:pPr>
              <w:pStyle w:val="TableContents"/>
              <w:bidi w:val="0"/>
              <w:spacing w:before="0" w:after="283"/>
              <w:jc w:val="right"/>
              <w:rPr/>
            </w:pPr>
            <w:r>
              <w:rPr/>
              <w:t>64,386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w:t>
            </w:r>
          </w:p>
        </w:tc>
        <w:tc>
          <w:tcPr>
            <w:tcW w:w="680" w:type="dxa"/>
            <w:tcBorders>
              <w:bottom w:val="single" w:sz="12" w:space="0" w:color="000000"/>
            </w:tcBorders>
            <w:tcMar>
              <w:bottom w:w="28" w:type="dxa"/>
            </w:tcMar>
            <w:vAlign w:val="bottom"/>
          </w:tcPr>
          <w:p>
            <w:pPr>
              <w:pStyle w:val="TableContents"/>
              <w:bidi w:val="0"/>
              <w:spacing w:before="0" w:after="283"/>
              <w:jc w:val="right"/>
              <w:rPr/>
            </w:pPr>
            <w:r>
              <w:rPr/>
              <w:t>46,482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24" w:type="dxa"/>
            <w:tcBorders>
              <w:bottom w:val="single" w:sz="12" w:space="0" w:color="000000"/>
            </w:tcBorders>
            <w:tcMar>
              <w:bottom w:w="28" w:type="dxa"/>
            </w:tcMar>
            <w:vAlign w:val="bottom"/>
          </w:tcPr>
          <w:p>
            <w:pPr>
              <w:pStyle w:val="TableContents"/>
              <w:bidi w:val="0"/>
              <w:spacing w:before="0" w:after="283"/>
              <w:jc w:val="left"/>
              <w:rPr/>
            </w:pPr>
            <w:r>
              <w:rPr/>
              <w:t>$</w:t>
            </w:r>
          </w:p>
        </w:tc>
        <w:tc>
          <w:tcPr>
            <w:tcW w:w="732" w:type="dxa"/>
            <w:tcBorders>
              <w:bottom w:val="single" w:sz="12" w:space="0" w:color="000000"/>
            </w:tcBorders>
            <w:tcMar>
              <w:bottom w:w="28" w:type="dxa"/>
            </w:tcMar>
            <w:vAlign w:val="bottom"/>
          </w:tcPr>
          <w:p>
            <w:pPr>
              <w:pStyle w:val="TableContents"/>
              <w:bidi w:val="0"/>
              <w:spacing w:before="0" w:after="283"/>
              <w:jc w:val="right"/>
              <w:rPr/>
            </w:pPr>
            <w:r>
              <w:rPr/>
              <w:t>(491</w:t>
            </w:r>
          </w:p>
        </w:tc>
        <w:tc>
          <w:tcPr>
            <w:tcW w:w="95" w:type="dxa"/>
            <w:tcBorders/>
            <w:vAlign w:val="bottom"/>
          </w:tcPr>
          <w:p>
            <w:pPr>
              <w:pStyle w:val="TableContents"/>
              <w:bidi w:val="0"/>
              <w:spacing w:before="0" w:after="283"/>
              <w:jc w:val="left"/>
              <w:rPr/>
            </w:pPr>
            <w:r>
              <w:rPr/>
              <w:t>)</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w:t>
            </w:r>
          </w:p>
        </w:tc>
        <w:tc>
          <w:tcPr>
            <w:tcW w:w="685" w:type="dxa"/>
            <w:tcBorders>
              <w:bottom w:val="single" w:sz="12" w:space="0" w:color="000000"/>
            </w:tcBorders>
            <w:tcMar>
              <w:bottom w:w="28" w:type="dxa"/>
            </w:tcMar>
            <w:vAlign w:val="bottom"/>
          </w:tcPr>
          <w:p>
            <w:pPr>
              <w:pStyle w:val="TableContents"/>
              <w:bidi w:val="0"/>
              <w:spacing w:before="0" w:after="283"/>
              <w:jc w:val="right"/>
              <w:rPr/>
            </w:pPr>
            <w:r>
              <w:rPr/>
              <w:t>45,991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56" w:type="dxa"/>
            <w:tcBorders>
              <w:bottom w:val="single" w:sz="12" w:space="0" w:color="000000"/>
            </w:tcBorders>
            <w:tcMar>
              <w:bottom w:w="28" w:type="dxa"/>
            </w:tcMar>
            <w:vAlign w:val="bottom"/>
          </w:tcPr>
          <w:p>
            <w:pPr>
              <w:pStyle w:val="TableContents"/>
              <w:bidi w:val="0"/>
              <w:spacing w:before="0" w:after="283"/>
              <w:jc w:val="left"/>
              <w:rPr/>
            </w:pPr>
            <w:r>
              <w:rPr/>
              <w:t> </w:t>
            </w:r>
          </w:p>
        </w:tc>
        <w:tc>
          <w:tcPr>
            <w:tcW w:w="600" w:type="dxa"/>
            <w:tcBorders>
              <w:bottom w:val="single" w:sz="12" w:space="0" w:color="000000"/>
            </w:tcBorders>
            <w:tcMar>
              <w:bottom w:w="28" w:type="dxa"/>
            </w:tcMar>
            <w:vAlign w:val="bottom"/>
          </w:tcPr>
          <w:p>
            <w:pPr>
              <w:pStyle w:val="TableContents"/>
              <w:bidi w:val="0"/>
              <w:spacing w:before="0" w:after="283"/>
              <w:jc w:val="right"/>
              <w:rPr/>
            </w:pPr>
            <w:r>
              <w:rPr/>
              <w:t>4</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center"/>
              <w:rPr/>
            </w:pPr>
            <w:r>
              <w:rPr/>
              <w:t>(B)</w:t>
            </w:r>
          </w:p>
        </w:tc>
        <w:tc>
          <w:tcPr>
            <w:tcW w:w="60" w:type="dxa"/>
            <w:tcBorders/>
            <w:vAlign w:val="bottom"/>
          </w:tcPr>
          <w:p>
            <w:pPr>
              <w:pStyle w:val="TableContents"/>
              <w:bidi w:val="0"/>
              <w:spacing w:before="0" w:after="283"/>
              <w:jc w:val="right"/>
              <w:rPr/>
            </w:pPr>
            <w:r>
              <w:rPr/>
              <w:t> </w:t>
            </w:r>
          </w:p>
        </w:tc>
        <w:tc>
          <w:tcPr>
            <w:tcW w:w="101" w:type="dxa"/>
            <w:tcBorders>
              <w:bottom w:val="single" w:sz="12" w:space="0" w:color="000000"/>
            </w:tcBorders>
            <w:tcMar>
              <w:bottom w:w="28" w:type="dxa"/>
            </w:tcMar>
            <w:vAlign w:val="bottom"/>
          </w:tcPr>
          <w:p>
            <w:pPr>
              <w:pStyle w:val="TableContents"/>
              <w:bidi w:val="0"/>
              <w:spacing w:before="0" w:after="283"/>
              <w:jc w:val="left"/>
              <w:rPr/>
            </w:pPr>
            <w:r>
              <w:rPr/>
              <w:t> </w:t>
            </w:r>
          </w:p>
        </w:tc>
        <w:tc>
          <w:tcPr>
            <w:tcW w:w="744" w:type="dxa"/>
            <w:tcBorders>
              <w:bottom w:val="single" w:sz="12" w:space="0" w:color="000000"/>
            </w:tcBorders>
            <w:tcMar>
              <w:bottom w:w="28" w:type="dxa"/>
            </w:tcMar>
            <w:vAlign w:val="bottom"/>
          </w:tcPr>
          <w:p>
            <w:pPr>
              <w:pStyle w:val="TableContents"/>
              <w:bidi w:val="0"/>
              <w:spacing w:before="0" w:after="283"/>
              <w:jc w:val="right"/>
              <w:rPr/>
            </w:pPr>
            <w:r>
              <w:rPr/>
              <w:t>3.55</w:t>
            </w:r>
          </w:p>
        </w:tc>
        <w:tc>
          <w:tcPr>
            <w:tcW w:w="215" w:type="dxa"/>
            <w:tcBorders/>
            <w:vAlign w:val="bottom"/>
          </w:tcPr>
          <w:p>
            <w:pPr>
              <w:pStyle w:val="TableContents"/>
              <w:bidi w:val="0"/>
              <w:spacing w:before="0" w:after="283"/>
              <w:jc w:val="left"/>
              <w:rPr/>
            </w:pPr>
            <w:r>
              <w:rPr/>
              <w:t>%</w:t>
            </w:r>
          </w:p>
        </w:tc>
        <w:tc>
          <w:tcPr>
            <w:tcW w:w="60" w:type="dxa"/>
            <w:tcBorders/>
            <w:vAlign w:val="bottom"/>
          </w:tcPr>
          <w:p>
            <w:pPr>
              <w:pStyle w:val="TableContents"/>
              <w:bidi w:val="0"/>
              <w:spacing w:before="0" w:after="283"/>
              <w:jc w:val="right"/>
              <w:rPr/>
            </w:pPr>
            <w:r>
              <w:rPr/>
              <w:t> </w:t>
            </w:r>
          </w:p>
        </w:tc>
        <w:tc>
          <w:tcPr>
            <w:tcW w:w="66" w:type="dxa"/>
            <w:tcBorders>
              <w:bottom w:val="single" w:sz="12" w:space="0" w:color="000000"/>
            </w:tcBorders>
            <w:tcMar>
              <w:bottom w:w="28" w:type="dxa"/>
            </w:tcMar>
            <w:vAlign w:val="bottom"/>
          </w:tcPr>
          <w:p>
            <w:pPr>
              <w:pStyle w:val="TableContents"/>
              <w:bidi w:val="0"/>
              <w:spacing w:before="0" w:after="283"/>
              <w:jc w:val="left"/>
              <w:rPr/>
            </w:pPr>
            <w:r>
              <w:rPr/>
              <w:t> </w:t>
            </w:r>
          </w:p>
        </w:tc>
        <w:tc>
          <w:tcPr>
            <w:tcW w:w="492" w:type="dxa"/>
            <w:tcBorders>
              <w:bottom w:val="single" w:sz="12" w:space="0" w:color="000000"/>
            </w:tcBorders>
            <w:tcMar>
              <w:bottom w:w="28" w:type="dxa"/>
            </w:tcMar>
            <w:vAlign w:val="bottom"/>
          </w:tcPr>
          <w:p>
            <w:pPr>
              <w:pStyle w:val="TableContents"/>
              <w:bidi w:val="0"/>
              <w:spacing w:before="0" w:after="283"/>
              <w:jc w:val="right"/>
              <w:rPr/>
            </w:pPr>
            <w:r>
              <w:rPr/>
              <w:t>3.75</w:t>
            </w:r>
          </w:p>
        </w:tc>
        <w:tc>
          <w:tcPr>
            <w:tcW w:w="215" w:type="dxa"/>
            <w:tcBorders/>
            <w:vAlign w:val="bottom"/>
          </w:tcPr>
          <w:p>
            <w:pPr>
              <w:pStyle w:val="TableContents"/>
              <w:bidi w:val="0"/>
              <w:spacing w:before="0" w:after="283"/>
              <w:jc w:val="left"/>
              <w:rPr/>
            </w:pPr>
            <w:r>
              <w:rPr/>
              <w:t>%</w:t>
            </w:r>
          </w:p>
        </w:tc>
        <w:tc>
          <w:tcPr>
            <w:tcW w:w="60" w:type="dxa"/>
            <w:tcBorders/>
            <w:vAlign w:val="bottom"/>
          </w:tcPr>
          <w:p>
            <w:pPr>
              <w:pStyle w:val="TableContents"/>
              <w:bidi w:val="0"/>
              <w:spacing w:before="0" w:after="283"/>
              <w:jc w:val="right"/>
              <w:rPr/>
            </w:pPr>
            <w:r>
              <w:rPr/>
              <w:t> </w:t>
            </w:r>
          </w:p>
        </w:tc>
        <w:tc>
          <w:tcPr>
            <w:tcW w:w="147" w:type="dxa"/>
            <w:tcBorders>
              <w:bottom w:val="single" w:sz="12" w:space="0" w:color="000000"/>
            </w:tcBorders>
            <w:tcMar>
              <w:bottom w:w="28" w:type="dxa"/>
            </w:tcMar>
            <w:vAlign w:val="bottom"/>
          </w:tcPr>
          <w:p>
            <w:pPr>
              <w:pStyle w:val="TableContents"/>
              <w:bidi w:val="0"/>
              <w:spacing w:before="0" w:after="283"/>
              <w:jc w:val="left"/>
              <w:rPr/>
            </w:pPr>
            <w:r>
              <w:rPr/>
              <w:t> </w:t>
            </w:r>
          </w:p>
        </w:tc>
        <w:tc>
          <w:tcPr>
            <w:tcW w:w="638" w:type="dxa"/>
            <w:tcBorders>
              <w:bottom w:val="single" w:sz="12" w:space="0" w:color="000000"/>
            </w:tcBorders>
            <w:tcMar>
              <w:bottom w:w="28" w:type="dxa"/>
            </w:tcMar>
            <w:vAlign w:val="bottom"/>
          </w:tcPr>
          <w:p>
            <w:pPr>
              <w:pStyle w:val="TableContents"/>
              <w:bidi w:val="0"/>
              <w:spacing w:before="0" w:after="283"/>
              <w:jc w:val="right"/>
              <w:rPr/>
            </w:pPr>
            <w:r>
              <w:rPr/>
              <w:t>26</w:t>
            </w:r>
          </w:p>
        </w:tc>
        <w:tc>
          <w:tcPr>
            <w:tcW w:w="65" w:type="dxa"/>
            <w:tcBorders/>
            <w:vAlign w:val="bottom"/>
          </w:tcPr>
          <w:p>
            <w:pPr>
              <w:pStyle w:val="TableContents"/>
              <w:bidi w:val="0"/>
              <w:spacing w:before="0" w:after="283"/>
              <w:jc w:val="left"/>
              <w:rPr/>
            </w:pPr>
            <w:r>
              <w:rPr/>
              <w:t> </w:t>
            </w:r>
          </w:p>
        </w:tc>
      </w:tr>
      <w:tr>
        <w:trPr/>
        <w:tc>
          <w:tcPr>
            <w:tcW w:w="1840" w:type="dxa"/>
            <w:tcBorders/>
            <w:shd w:fill="CCEEFF" w:val="clear"/>
            <w:vAlign w:val="bottom"/>
          </w:tcPr>
          <w:p>
            <w:pPr>
              <w:pStyle w:val="TableContents"/>
              <w:bidi w:val="0"/>
              <w:spacing w:before="0" w:after="0"/>
              <w:ind w:left="180" w:right="0" w:hanging="180"/>
              <w:jc w:val="left"/>
              <w:rPr>
                <w:rFonts w:ascii="Times New Roman" w:hAnsi="Times New Roman"/>
                <w:b/>
                <w:color w:val="000000"/>
                <w:sz w:val="20"/>
              </w:rPr>
            </w:pPr>
            <w:r>
              <w:rPr>
                <w:rFonts w:ascii="Times New Roman" w:hAnsi="Times New Roman"/>
                <w:b/>
                <w:color w:val="000000"/>
                <w:sz w:val="20"/>
              </w:rPr>
              <w:t>Total/weighted average RMBS</w:t>
            </w:r>
            <w:r>
              <w:rPr>
                <w:rFonts w:ascii="Times New Roman" w:hAnsi="Times New Roman"/>
                <w:b/>
                <w:i w:val="false"/>
                <w:caps w:val="false"/>
                <w:smallCaps w:val="false"/>
                <w:color w:val="000000"/>
                <w:spacing w:val="0"/>
                <w:sz w:val="20"/>
              </w:rPr>
              <w:t>, available-for-sale</w:t>
            </w:r>
            <w:r>
              <w:rPr>
                <w:rFonts w:ascii="Times New Roman" w:hAnsi="Times New Roman"/>
                <w:b/>
                <w:color w:val="000000"/>
                <w:sz w:val="20"/>
              </w:rPr>
              <w:t>, measured at fair value through OCI</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680" w:type="dxa"/>
            <w:tcBorders/>
            <w:shd w:fill="CCEEFF" w:val="cle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64,386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680" w:type="dxa"/>
            <w:tcBorders/>
            <w:shd w:fill="CCEEFF" w:val="cle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46,482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24" w:type="dxa"/>
            <w:tcBorders/>
            <w:shd w:fill="CCEEFF" w:val="cle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732" w:type="dxa"/>
            <w:tcBorders/>
            <w:shd w:fill="CCEEFF" w:val="cle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(491</w:t>
            </w:r>
          </w:p>
        </w:tc>
        <w:tc>
          <w:tcPr>
            <w:tcW w:w="95" w:type="dxa"/>
            <w:tcBorders/>
            <w:shd w:fill="CCEEFF" w:val="cle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685" w:type="dxa"/>
            <w:tcBorders/>
            <w:shd w:fill="CCEEFF" w:val="cle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45,991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56" w:type="dxa"/>
            <w:tcBorders/>
            <w:shd w:fill="CCEEFF" w:val="clear"/>
            <w:vAlign w:val="bottom"/>
          </w:tcPr>
          <w:p>
            <w:pPr>
              <w:pStyle w:val="TableContents"/>
              <w:bidi w:val="0"/>
              <w:spacing w:before="0" w:after="283"/>
              <w:jc w:val="left"/>
              <w:rPr/>
            </w:pPr>
            <w:r>
              <w:rPr/>
              <w:t> </w:t>
            </w:r>
          </w:p>
        </w:tc>
        <w:tc>
          <w:tcPr>
            <w:tcW w:w="600" w:type="dxa"/>
            <w:tcBorders/>
            <w:shd w:fill="CCEEFF" w:val="cle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4</w:t>
            </w:r>
          </w:p>
        </w:tc>
        <w:tc>
          <w:tcPr>
            <w:tcW w:w="6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pPr>
            <w:r>
              <w:rPr/>
              <w:t> </w:t>
            </w:r>
          </w:p>
        </w:tc>
        <w:tc>
          <w:tcPr>
            <w:tcW w:w="101" w:type="dxa"/>
            <w:tcBorders/>
            <w:shd w:fill="CCEEFF" w:val="clear"/>
            <w:vAlign w:val="bottom"/>
          </w:tcPr>
          <w:p>
            <w:pPr>
              <w:pStyle w:val="TableContents"/>
              <w:bidi w:val="0"/>
              <w:spacing w:before="0" w:after="283"/>
              <w:jc w:val="left"/>
              <w:rPr/>
            </w:pPr>
            <w:r>
              <w:rPr/>
              <w:t> </w:t>
            </w:r>
          </w:p>
        </w:tc>
        <w:tc>
          <w:tcPr>
            <w:tcW w:w="744" w:type="dxa"/>
            <w:tcBorders/>
            <w:shd w:fill="CCEEFF" w:val="cle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3.55</w:t>
            </w:r>
          </w:p>
        </w:tc>
        <w:tc>
          <w:tcPr>
            <w:tcW w:w="215" w:type="dxa"/>
            <w:tcBorders/>
            <w:shd w:fill="CCEEFF" w:val="cle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66" w:type="dxa"/>
            <w:tcBorders/>
            <w:shd w:fill="CCEEFF" w:val="clear"/>
            <w:vAlign w:val="bottom"/>
          </w:tcPr>
          <w:p>
            <w:pPr>
              <w:pStyle w:val="TableContents"/>
              <w:bidi w:val="0"/>
              <w:spacing w:before="0" w:after="283"/>
              <w:jc w:val="left"/>
              <w:rPr/>
            </w:pPr>
            <w:r>
              <w:rPr/>
              <w:t> </w:t>
            </w:r>
          </w:p>
        </w:tc>
        <w:tc>
          <w:tcPr>
            <w:tcW w:w="492" w:type="dxa"/>
            <w:tcBorders/>
            <w:shd w:fill="CCEEFF" w:val="cle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3.75</w:t>
            </w:r>
          </w:p>
        </w:tc>
        <w:tc>
          <w:tcPr>
            <w:tcW w:w="215" w:type="dxa"/>
            <w:tcBorders/>
            <w:shd w:fill="CCEEFF" w:val="cle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47" w:type="dxa"/>
            <w:tcBorders/>
            <w:shd w:fill="CCEEFF" w:val="clear"/>
            <w:vAlign w:val="bottom"/>
          </w:tcPr>
          <w:p>
            <w:pPr>
              <w:pStyle w:val="TableContents"/>
              <w:bidi w:val="0"/>
              <w:spacing w:before="0" w:after="283"/>
              <w:jc w:val="left"/>
              <w:rPr/>
            </w:pPr>
            <w:r>
              <w:rPr/>
              <w:t> </w:t>
            </w:r>
          </w:p>
        </w:tc>
        <w:tc>
          <w:tcPr>
            <w:tcW w:w="638" w:type="dxa"/>
            <w:tcBorders/>
            <w:shd w:fill="CCEEFF" w:val="cle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26</w:t>
            </w:r>
          </w:p>
        </w:tc>
        <w:tc>
          <w:tcPr>
            <w:tcW w:w="6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tbl>
      <w:tblPr>
        <w:tblW w:w="8560" w:type="dxa"/>
        <w:jc w:val="left"/>
        <w:tblInd w:w="0" w:type="dxa"/>
        <w:tblLayout w:type="fixed"/>
        <w:tblCellMar>
          <w:top w:w="0" w:type="dxa"/>
          <w:left w:w="0" w:type="dxa"/>
          <w:bottom w:w="0" w:type="dxa"/>
          <w:right w:w="0" w:type="dxa"/>
        </w:tblCellMar>
      </w:tblPr>
      <w:tblGrid>
        <w:gridCol w:w="290"/>
        <w:gridCol w:w="8270"/>
      </w:tblGrid>
      <w:tr>
        <w:trPr/>
        <w:tc>
          <w:tcPr>
            <w:tcW w:w="29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(A)</w:t>
            </w:r>
          </w:p>
        </w:tc>
        <w:tc>
          <w:tcPr>
            <w:tcW w:w="827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See Note 8 regarding the estimation of fair value, which approximates carrying value for all securities.</w:t>
            </w:r>
          </w:p>
        </w:tc>
      </w:tr>
    </w:tbl>
    <w:tbl>
      <w:tblPr>
        <w:tblW w:w="6730" w:type="dxa"/>
        <w:jc w:val="left"/>
        <w:tblInd w:w="0" w:type="dxa"/>
        <w:tblLayout w:type="fixed"/>
        <w:tblCellMar>
          <w:top w:w="0" w:type="dxa"/>
          <w:left w:w="0" w:type="dxa"/>
          <w:bottom w:w="0" w:type="dxa"/>
          <w:right w:w="0" w:type="dxa"/>
        </w:tblCellMar>
      </w:tblPr>
      <w:tblGrid>
        <w:gridCol w:w="350"/>
        <w:gridCol w:w="6380"/>
      </w:tblGrid>
      <w:tr>
        <w:trPr/>
        <w:tc>
          <w:tcPr>
            <w:tcW w:w="350" w:type="dxa"/>
            <w:tcBorders/>
            <w:vAlign w:val="center"/>
          </w:tcPr>
          <w:p>
            <w:pPr>
              <w:pStyle w:val="TableContents"/>
              <w:bidi w:val="0"/>
              <w:spacing w:before="0" w:after="0"/>
              <w:jc w:val="left"/>
              <w:rPr/>
            </w:pPr>
            <w:r>
              <w:rPr/>
              <w:t>(B)</w:t>
            </w:r>
          </w:p>
        </w:tc>
        <w:tc>
          <w:tcPr>
            <w:tcW w:w="6380" w:type="dxa"/>
            <w:tcBorders/>
            <w:vAlign w:val="center"/>
          </w:tcPr>
          <w:p>
            <w:pPr>
              <w:pStyle w:val="TableContents"/>
              <w:bidi w:val="0"/>
              <w:spacing w:before="0" w:after="0"/>
              <w:jc w:val="left"/>
              <w:rPr/>
            </w:pPr>
            <w:r>
              <w:rPr/>
              <w:t>The Company used an implied AA+ rating for the Agency RMBS.</w:t>
            </w:r>
          </w:p>
        </w:tc>
      </w:tr>
    </w:tbl>
    <w:tbl>
      <w:tblPr>
        <w:tblW w:w="10205" w:type="dxa"/>
        <w:jc w:val="left"/>
        <w:tblInd w:w="0" w:type="dxa"/>
        <w:tblLayout w:type="fixed"/>
        <w:tblCellMar>
          <w:top w:w="0" w:type="dxa"/>
          <w:left w:w="0" w:type="dxa"/>
          <w:bottom w:w="0" w:type="dxa"/>
          <w:right w:w="0" w:type="dxa"/>
        </w:tblCellMar>
      </w:tblPr>
      <w:tblGrid>
        <w:gridCol w:w="273"/>
        <w:gridCol w:w="9932"/>
      </w:tblGrid>
      <w:tr>
        <w:trPr/>
        <w:tc>
          <w:tcPr>
            <w:tcW w:w="273"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(C)</w:t>
            </w:r>
          </w:p>
        </w:tc>
        <w:tc>
          <w:tcPr>
            <w:tcW w:w="9932"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The weighted average yield is based on the most recent gross monthly interest income, which is then annualized and divided by the book value of settled securities.</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 xml:space="preserve">The following table summarizes the Company’s realized gains and losses from the sale of available-for-sale securities which are recorded within the realized loss on RMBS, net line item in the Company’s consolidated statements of income (loss) as of the dates indicated (dollars in thousands): </w:t>
      </w:r>
    </w:p>
    <w:p>
      <w:pPr>
        <w:pStyle w:val="TextBody"/>
        <w:bidi w:val="0"/>
        <w:spacing w:before="0" w:after="0"/>
        <w:jc w:val="left"/>
        <w:rPr/>
      </w:pPr>
      <w:r>
        <w:rPr/>
      </w:r>
    </w:p>
    <w:tbl>
      <w:tblPr>
        <w:tblW w:w="9808" w:type="dxa"/>
        <w:jc w:val="left"/>
        <w:tblInd w:w="0" w:type="dxa"/>
        <w:tblLayout w:type="fixed"/>
        <w:tblCellMar>
          <w:top w:w="0" w:type="dxa"/>
          <w:left w:w="0" w:type="dxa"/>
          <w:bottom w:w="0" w:type="dxa"/>
          <w:right w:w="0" w:type="dxa"/>
        </w:tblCellMar>
      </w:tblPr>
      <w:tblGrid>
        <w:gridCol w:w="4115"/>
        <w:gridCol w:w="60"/>
        <w:gridCol w:w="283"/>
        <w:gridCol w:w="1474"/>
        <w:gridCol w:w="181"/>
        <w:gridCol w:w="136"/>
        <w:gridCol w:w="283"/>
        <w:gridCol w:w="181"/>
        <w:gridCol w:w="60"/>
        <w:gridCol w:w="60"/>
        <w:gridCol w:w="207"/>
        <w:gridCol w:w="1119"/>
        <w:gridCol w:w="140"/>
        <w:gridCol w:w="88"/>
        <w:gridCol w:w="207"/>
        <w:gridCol w:w="1119"/>
        <w:gridCol w:w="95"/>
      </w:tblGrid>
      <w:tr>
        <w:trPr/>
        <w:tc>
          <w:tcPr>
            <w:tcW w:w="41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38"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Three Months Ended June 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2880" w:type="dxa"/>
            <w:gridSpan w:val="6"/>
            <w:tcBorders>
              <w:bottom w:val="single" w:sz="12" w:space="0" w:color="000000"/>
            </w:tcBorders>
            <w:tcMar>
              <w:bottom w:w="28" w:type="dxa"/>
            </w:tcMar>
            <w:vAlign w:val="bottom"/>
          </w:tcPr>
          <w:p>
            <w:pPr>
              <w:pStyle w:val="TableContents"/>
              <w:bidi w:val="0"/>
              <w:spacing w:before="0" w:after="283"/>
              <w:jc w:val="center"/>
              <w:rPr>
                <w:b/>
              </w:rPr>
            </w:pPr>
            <w:r>
              <w:rPr>
                <w:b/>
              </w:rPr>
              <w:t xml:space="preserve">Six Months Ended June 30, </w:t>
            </w:r>
          </w:p>
        </w:tc>
        <w:tc>
          <w:tcPr>
            <w:tcW w:w="95" w:type="dxa"/>
            <w:tcBorders/>
            <w:vAlign w:val="bottom"/>
          </w:tcPr>
          <w:p>
            <w:pPr>
              <w:pStyle w:val="TableContents"/>
              <w:bidi w:val="0"/>
              <w:spacing w:before="0" w:after="283"/>
              <w:jc w:val="left"/>
              <w:rPr/>
            </w:pPr>
            <w:r>
              <w:rPr/>
              <w:t> </w:t>
            </w:r>
          </w:p>
        </w:tc>
      </w:tr>
      <w:tr>
        <w:trPr/>
        <w:tc>
          <w:tcPr>
            <w:tcW w:w="41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57"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2026</w:t>
            </w:r>
          </w:p>
        </w:tc>
        <w:tc>
          <w:tcPr>
            <w:tcW w:w="181"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46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1326" w:type="dxa"/>
            <w:gridSpan w:val="2"/>
            <w:tcBorders>
              <w:bottom w:val="single" w:sz="12" w:space="0" w:color="000000"/>
            </w:tcBorders>
            <w:tcMar>
              <w:bottom w:w="28" w:type="dxa"/>
            </w:tcMar>
            <w:vAlign w:val="bottom"/>
          </w:tcPr>
          <w:p>
            <w:pPr>
              <w:pStyle w:val="TableContents"/>
              <w:bidi w:val="0"/>
              <w:spacing w:before="0" w:after="283"/>
              <w:jc w:val="center"/>
              <w:rPr>
                <w:b/>
              </w:rPr>
            </w:pPr>
            <w:r>
              <w:rPr>
                <w:b/>
              </w:rPr>
              <w:t>2026</w:t>
            </w:r>
          </w:p>
        </w:tc>
        <w:tc>
          <w:tcPr>
            <w:tcW w:w="140"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center"/>
              <w:rPr/>
            </w:pPr>
            <w:r>
              <w:rPr/>
              <w:t> </w:t>
            </w:r>
          </w:p>
        </w:tc>
        <w:tc>
          <w:tcPr>
            <w:tcW w:w="1326" w:type="dxa"/>
            <w:gridSpan w:val="2"/>
            <w:tcBorders>
              <w:bottom w:val="single" w:sz="12" w:space="0" w:color="000000"/>
            </w:tcBorders>
            <w:tcMar>
              <w:bottom w:w="28" w:type="dxa"/>
            </w:tcMar>
            <w:vAlign w:val="bottom"/>
          </w:tcPr>
          <w:p>
            <w:pPr>
              <w:pStyle w:val="TableContents"/>
              <w:bidi w:val="0"/>
              <w:spacing w:before="0" w:after="283"/>
              <w:jc w:val="center"/>
              <w:rPr>
                <w:b/>
              </w:rPr>
            </w:pPr>
            <w:r>
              <w:rPr>
                <w:b/>
              </w:rPr>
              <w:t>2025</w:t>
            </w:r>
          </w:p>
        </w:tc>
        <w:tc>
          <w:tcPr>
            <w:tcW w:w="95" w:type="dxa"/>
            <w:tcBorders/>
            <w:vAlign w:val="bottom"/>
          </w:tcPr>
          <w:p>
            <w:pPr>
              <w:pStyle w:val="TableContents"/>
              <w:bidi w:val="0"/>
              <w:spacing w:before="0" w:after="283"/>
              <w:jc w:val="left"/>
              <w:rPr/>
            </w:pPr>
            <w:r>
              <w:rPr/>
              <w:t> </w:t>
            </w:r>
          </w:p>
        </w:tc>
      </w:tr>
      <w:tr>
        <w:trPr/>
        <w:tc>
          <w:tcPr>
            <w:tcW w:w="4115" w:type="dxa"/>
            <w:tcBorders/>
            <w:shd w:fill="CCEEFF" w:val="clear"/>
            <w:vAlign w:val="bottom"/>
          </w:tcPr>
          <w:p>
            <w:pPr>
              <w:pStyle w:val="TableContents"/>
              <w:bidi w:val="0"/>
              <w:spacing w:before="0" w:after="0"/>
              <w:ind w:left="180" w:right="0" w:hanging="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Proceeds from sales of available-for-sale securities</w:t>
            </w:r>
          </w:p>
        </w:tc>
        <w:tc>
          <w:tcPr>
            <w:tcW w:w="60" w:type="dxa"/>
            <w:tcBorders/>
            <w:shd w:fill="CCEEFF" w:val="clear"/>
            <w:vAlign w:val="bottom"/>
          </w:tcPr>
          <w:p>
            <w:pPr>
              <w:pStyle w:val="TableContents"/>
              <w:bidi w:val="0"/>
              <w:spacing w:before="0" w:after="283"/>
              <w:jc w:val="right"/>
              <w:rPr/>
            </w:pPr>
            <w:r>
              <w:rPr/>
              <w:t> </w:t>
            </w:r>
          </w:p>
        </w:tc>
        <w:tc>
          <w:tcPr>
            <w:tcW w:w="28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474"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34,416</w:t>
            </w:r>
          </w:p>
        </w:tc>
        <w:tc>
          <w:tcPr>
            <w:tcW w:w="181"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right"/>
              <w:rPr/>
            </w:pPr>
            <w:r>
              <w:rPr/>
              <w:t> </w:t>
            </w:r>
          </w:p>
        </w:tc>
        <w:tc>
          <w:tcPr>
            <w:tcW w:w="28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81"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7" w:type="dxa"/>
            <w:tcBorders/>
            <w:shd w:fill="CCEEFF" w:val="clear"/>
            <w:vAlign w:val="bottom"/>
          </w:tcPr>
          <w:p>
            <w:pPr>
              <w:pStyle w:val="TableContents"/>
              <w:bidi w:val="0"/>
              <w:spacing w:before="0" w:after="283"/>
              <w:jc w:val="left"/>
              <w:rPr/>
            </w:pPr>
            <w:r>
              <w:rPr/>
              <w:t>$</w:t>
            </w:r>
          </w:p>
        </w:tc>
        <w:tc>
          <w:tcPr>
            <w:tcW w:w="1119" w:type="dxa"/>
            <w:tcBorders/>
            <w:shd w:fill="CCEEFF" w:val="clear"/>
            <w:vAlign w:val="bottom"/>
          </w:tcPr>
          <w:p>
            <w:pPr>
              <w:pStyle w:val="TableContents"/>
              <w:bidi w:val="0"/>
              <w:spacing w:before="0" w:after="283"/>
              <w:jc w:val="right"/>
              <w:rPr/>
            </w:pPr>
            <w:r>
              <w:rPr/>
              <w:t>34,416</w:t>
            </w:r>
          </w:p>
        </w:tc>
        <w:tc>
          <w:tcPr>
            <w:tcW w:w="140"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right"/>
              <w:rPr/>
            </w:pPr>
            <w:r>
              <w:rPr/>
              <w:t> </w:t>
            </w:r>
          </w:p>
        </w:tc>
        <w:tc>
          <w:tcPr>
            <w:tcW w:w="207" w:type="dxa"/>
            <w:tcBorders/>
            <w:shd w:fill="CCEEFF" w:val="clear"/>
            <w:vAlign w:val="bottom"/>
          </w:tcPr>
          <w:p>
            <w:pPr>
              <w:pStyle w:val="TableContents"/>
              <w:bidi w:val="0"/>
              <w:spacing w:before="0" w:after="283"/>
              <w:jc w:val="left"/>
              <w:rPr/>
            </w:pPr>
            <w:r>
              <w:rPr/>
              <w:t>$</w:t>
            </w:r>
          </w:p>
        </w:tc>
        <w:tc>
          <w:tcPr>
            <w:tcW w:w="1119" w:type="dxa"/>
            <w:tcBorders/>
            <w:shd w:fill="CCEEFF" w:val="clear"/>
            <w:vAlign w:val="bottom"/>
          </w:tcPr>
          <w:p>
            <w:pPr>
              <w:pStyle w:val="TableContents"/>
              <w:bidi w:val="0"/>
              <w:spacing w:before="0" w:after="283"/>
              <w:jc w:val="right"/>
              <w:rPr/>
            </w:pPr>
            <w:r>
              <w:rPr/>
              <w:t>29,844</w:t>
            </w:r>
          </w:p>
        </w:tc>
        <w:tc>
          <w:tcPr>
            <w:tcW w:w="95" w:type="dxa"/>
            <w:tcBorders/>
            <w:shd w:fill="CCEEFF" w:val="clear"/>
            <w:vAlign w:val="bottom"/>
          </w:tcPr>
          <w:p>
            <w:pPr>
              <w:pStyle w:val="TableContents"/>
              <w:bidi w:val="0"/>
              <w:spacing w:before="0" w:after="283"/>
              <w:jc w:val="left"/>
              <w:rPr/>
            </w:pPr>
            <w:r>
              <w:rPr/>
              <w:t> </w:t>
            </w:r>
          </w:p>
        </w:tc>
      </w:tr>
      <w:tr>
        <w:trPr/>
        <w:tc>
          <w:tcPr>
            <w:tcW w:w="4115" w:type="dxa"/>
            <w:tcBorders/>
            <w:vAlign w:val="bottom"/>
          </w:tcPr>
          <w:p>
            <w:pPr>
              <w:pStyle w:val="TableContents"/>
              <w:bidi w:val="0"/>
              <w:spacing w:before="0" w:after="0"/>
              <w:ind w:left="180" w:right="0" w:hanging="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Amortized cost of available-for-sale securities sold</w:t>
            </w:r>
          </w:p>
        </w:tc>
        <w:tc>
          <w:tcPr>
            <w:tcW w:w="60" w:type="dxa"/>
            <w:tcBorders/>
            <w:vAlign w:val="bottom"/>
          </w:tcPr>
          <w:p>
            <w:pPr>
              <w:pStyle w:val="TableContents"/>
              <w:bidi w:val="0"/>
              <w:spacing w:before="0" w:after="283"/>
              <w:jc w:val="right"/>
              <w:rPr/>
            </w:pPr>
            <w:r>
              <w:rPr/>
              <w:t> </w:t>
            </w:r>
          </w:p>
        </w:tc>
        <w:tc>
          <w:tcPr>
            <w:tcW w:w="283" w:type="dxa"/>
            <w:tcBorders>
              <w:bottom w:val="single" w:sz="12" w:space="0" w:color="000000"/>
            </w:tcBorders>
            <w:tcMar>
              <w:bottom w:w="28" w:type="dxa"/>
            </w:tcMar>
            <w:vAlign w:val="bottom"/>
          </w:tcPr>
          <w:p>
            <w:pPr>
              <w:pStyle w:val="TableContents"/>
              <w:bidi w:val="0"/>
              <w:spacing w:before="0" w:after="283"/>
              <w:jc w:val="left"/>
              <w:rPr/>
            </w:pPr>
            <w:r>
              <w:rPr/>
              <w:t> </w:t>
            </w:r>
          </w:p>
        </w:tc>
        <w:tc>
          <w:tcPr>
            <w:tcW w:w="1474"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(34,914</w:t>
            </w:r>
          </w:p>
        </w:tc>
        <w:tc>
          <w:tcPr>
            <w:tcW w:w="18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36" w:type="dxa"/>
            <w:tcBorders/>
            <w:vAlign w:val="bottom"/>
          </w:tcPr>
          <w:p>
            <w:pPr>
              <w:pStyle w:val="TableContents"/>
              <w:bidi w:val="0"/>
              <w:spacing w:before="0" w:after="283"/>
              <w:jc w:val="right"/>
              <w:rPr/>
            </w:pPr>
            <w:r>
              <w:rPr/>
              <w:t> </w:t>
            </w:r>
          </w:p>
        </w:tc>
        <w:tc>
          <w:tcPr>
            <w:tcW w:w="283" w:type="dxa"/>
            <w:tcBorders>
              <w:bottom w:val="single" w:sz="12" w:space="0" w:color="000000"/>
            </w:tcBorders>
            <w:tcMar>
              <w:bottom w:w="28" w:type="dxa"/>
            </w:tcMar>
            <w:vAlign w:val="bottom"/>
          </w:tcPr>
          <w:p>
            <w:pPr>
              <w:pStyle w:val="TableContents"/>
              <w:bidi w:val="0"/>
              <w:spacing w:before="0" w:after="283"/>
              <w:jc w:val="left"/>
              <w:rPr/>
            </w:pPr>
            <w:r>
              <w:rPr/>
              <w:t> </w:t>
            </w:r>
          </w:p>
        </w:tc>
        <w:tc>
          <w:tcPr>
            <w:tcW w:w="181"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7" w:type="dxa"/>
            <w:tcBorders>
              <w:bottom w:val="single" w:sz="12" w:space="0" w:color="000000"/>
            </w:tcBorders>
            <w:tcMar>
              <w:bottom w:w="28" w:type="dxa"/>
            </w:tcMar>
            <w:vAlign w:val="bottom"/>
          </w:tcPr>
          <w:p>
            <w:pPr>
              <w:pStyle w:val="TableContents"/>
              <w:bidi w:val="0"/>
              <w:spacing w:before="0" w:after="283"/>
              <w:jc w:val="left"/>
              <w:rPr/>
            </w:pPr>
            <w:r>
              <w:rPr/>
              <w:t> </w:t>
            </w:r>
          </w:p>
        </w:tc>
        <w:tc>
          <w:tcPr>
            <w:tcW w:w="1119" w:type="dxa"/>
            <w:tcBorders>
              <w:bottom w:val="single" w:sz="12" w:space="0" w:color="000000"/>
            </w:tcBorders>
            <w:tcMar>
              <w:bottom w:w="28" w:type="dxa"/>
            </w:tcMar>
            <w:vAlign w:val="bottom"/>
          </w:tcPr>
          <w:p>
            <w:pPr>
              <w:pStyle w:val="TableContents"/>
              <w:bidi w:val="0"/>
              <w:spacing w:before="0" w:after="283"/>
              <w:jc w:val="right"/>
              <w:rPr/>
            </w:pPr>
            <w:r>
              <w:rPr/>
              <w:t>(34,914</w:t>
            </w:r>
          </w:p>
        </w:tc>
        <w:tc>
          <w:tcPr>
            <w:tcW w:w="140" w:type="dxa"/>
            <w:tcBorders/>
            <w:vAlign w:val="bottom"/>
          </w:tcPr>
          <w:p>
            <w:pPr>
              <w:pStyle w:val="TableContents"/>
              <w:bidi w:val="0"/>
              <w:spacing w:before="0" w:after="283"/>
              <w:jc w:val="left"/>
              <w:rPr/>
            </w:pPr>
            <w:r>
              <w:rPr/>
              <w:t>)</w:t>
            </w:r>
          </w:p>
        </w:tc>
        <w:tc>
          <w:tcPr>
            <w:tcW w:w="88" w:type="dxa"/>
            <w:tcBorders/>
            <w:vAlign w:val="bottom"/>
          </w:tcPr>
          <w:p>
            <w:pPr>
              <w:pStyle w:val="TableContents"/>
              <w:bidi w:val="0"/>
              <w:spacing w:before="0" w:after="283"/>
              <w:jc w:val="right"/>
              <w:rPr/>
            </w:pPr>
            <w:r>
              <w:rPr/>
              <w:t> </w:t>
            </w:r>
          </w:p>
        </w:tc>
        <w:tc>
          <w:tcPr>
            <w:tcW w:w="207" w:type="dxa"/>
            <w:tcBorders>
              <w:bottom w:val="single" w:sz="12" w:space="0" w:color="000000"/>
            </w:tcBorders>
            <w:tcMar>
              <w:bottom w:w="28" w:type="dxa"/>
            </w:tcMar>
            <w:vAlign w:val="bottom"/>
          </w:tcPr>
          <w:p>
            <w:pPr>
              <w:pStyle w:val="TableContents"/>
              <w:bidi w:val="0"/>
              <w:spacing w:before="0" w:after="283"/>
              <w:jc w:val="left"/>
              <w:rPr/>
            </w:pPr>
            <w:r>
              <w:rPr/>
              <w:t> </w:t>
            </w:r>
          </w:p>
        </w:tc>
        <w:tc>
          <w:tcPr>
            <w:tcW w:w="1119" w:type="dxa"/>
            <w:tcBorders>
              <w:bottom w:val="single" w:sz="12" w:space="0" w:color="000000"/>
            </w:tcBorders>
            <w:tcMar>
              <w:bottom w:w="28" w:type="dxa"/>
            </w:tcMar>
            <w:vAlign w:val="bottom"/>
          </w:tcPr>
          <w:p>
            <w:pPr>
              <w:pStyle w:val="TableContents"/>
              <w:bidi w:val="0"/>
              <w:spacing w:before="0" w:after="283"/>
              <w:jc w:val="right"/>
              <w:rPr/>
            </w:pPr>
            <w:r>
              <w:rPr/>
              <w:t>(32,918</w:t>
            </w:r>
          </w:p>
        </w:tc>
        <w:tc>
          <w:tcPr>
            <w:tcW w:w="95" w:type="dxa"/>
            <w:tcBorders/>
            <w:vAlign w:val="bottom"/>
          </w:tcPr>
          <w:p>
            <w:pPr>
              <w:pStyle w:val="TableContents"/>
              <w:bidi w:val="0"/>
              <w:spacing w:before="0" w:after="283"/>
              <w:jc w:val="left"/>
              <w:rPr/>
            </w:pPr>
            <w:r>
              <w:rPr/>
              <w:t>)</w:t>
            </w:r>
          </w:p>
        </w:tc>
      </w:tr>
      <w:tr>
        <w:trPr/>
        <w:tc>
          <w:tcPr>
            <w:tcW w:w="4115" w:type="dxa"/>
            <w:tcBorders/>
            <w:shd w:fill="CCEEFF" w:val="clear"/>
            <w:vAlign w:val="bottom"/>
          </w:tcPr>
          <w:p>
            <w:pPr>
              <w:pStyle w:val="TableContents"/>
              <w:bidi w:val="0"/>
              <w:spacing w:before="0" w:after="0"/>
              <w:ind w:left="180" w:right="0" w:hanging="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realized losses on sales, net</w:t>
            </w:r>
          </w:p>
        </w:tc>
        <w:tc>
          <w:tcPr>
            <w:tcW w:w="60" w:type="dxa"/>
            <w:tcBorders/>
            <w:shd w:fill="CCEEFF" w:val="clear"/>
            <w:vAlign w:val="bottom"/>
          </w:tcPr>
          <w:p>
            <w:pPr>
              <w:pStyle w:val="TableContents"/>
              <w:bidi w:val="0"/>
              <w:spacing w:before="0" w:after="283"/>
              <w:jc w:val="right"/>
              <w:rPr/>
            </w:pPr>
            <w:r>
              <w:rPr/>
              <w:t> </w:t>
            </w:r>
          </w:p>
        </w:tc>
        <w:tc>
          <w:tcPr>
            <w:tcW w:w="283"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1474"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(498</w:t>
            </w:r>
          </w:p>
        </w:tc>
        <w:tc>
          <w:tcPr>
            <w:tcW w:w="181"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136" w:type="dxa"/>
            <w:tcBorders/>
            <w:shd w:fill="CCEEFF" w:val="clear"/>
            <w:vAlign w:val="bottom"/>
          </w:tcPr>
          <w:p>
            <w:pPr>
              <w:pStyle w:val="TableContents"/>
              <w:bidi w:val="0"/>
              <w:spacing w:before="0" w:after="283"/>
              <w:jc w:val="right"/>
              <w:rPr/>
            </w:pPr>
            <w:r>
              <w:rPr/>
              <w:t> </w:t>
            </w:r>
          </w:p>
        </w:tc>
        <w:tc>
          <w:tcPr>
            <w:tcW w:w="283" w:type="dxa"/>
            <w:tcBorders/>
            <w:shd w:fill="CCEEFF" w:val="clear"/>
            <w:vAlign w:val="bottom"/>
          </w:tcPr>
          <w:p>
            <w:pPr>
              <w:pStyle w:val="TableContents"/>
              <w:bidi w:val="0"/>
              <w:spacing w:before="0" w:after="0"/>
              <w:jc w:val="left"/>
              <w:rPr>
                <w:rFonts w:ascii="Times New Roman" w:hAnsi="Times New Roman"/>
                <w:b w:val="false"/>
                <w:sz w:val="20"/>
              </w:rPr>
            </w:pPr>
            <w:r>
              <w:rPr>
                <w:rFonts w:ascii="Times New Roman" w:hAnsi="Times New Roman"/>
                <w:b w:val="false"/>
                <w:sz w:val="20"/>
              </w:rPr>
              <w:t>$</w:t>
            </w:r>
          </w:p>
        </w:tc>
        <w:tc>
          <w:tcPr>
            <w:tcW w:w="181"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7" w:type="dxa"/>
            <w:tcBorders/>
            <w:shd w:fill="CCEEFF" w:val="clear"/>
            <w:vAlign w:val="bottom"/>
          </w:tcPr>
          <w:p>
            <w:pPr>
              <w:pStyle w:val="TableContents"/>
              <w:bidi w:val="0"/>
              <w:spacing w:before="0" w:after="283"/>
              <w:jc w:val="left"/>
              <w:rPr>
                <w:b/>
              </w:rPr>
            </w:pPr>
            <w:r>
              <w:rPr>
                <w:b/>
              </w:rPr>
              <w:t>$</w:t>
            </w:r>
          </w:p>
        </w:tc>
        <w:tc>
          <w:tcPr>
            <w:tcW w:w="1119" w:type="dxa"/>
            <w:tcBorders/>
            <w:shd w:fill="CCEEFF" w:val="clear"/>
            <w:vAlign w:val="bottom"/>
          </w:tcPr>
          <w:p>
            <w:pPr>
              <w:pStyle w:val="TableContents"/>
              <w:bidi w:val="0"/>
              <w:spacing w:before="0" w:after="283"/>
              <w:jc w:val="right"/>
              <w:rPr>
                <w:b/>
              </w:rPr>
            </w:pPr>
            <w:r>
              <w:rPr>
                <w:b/>
              </w:rPr>
              <w:t>(498</w:t>
            </w:r>
          </w:p>
        </w:tc>
        <w:tc>
          <w:tcPr>
            <w:tcW w:w="140" w:type="dxa"/>
            <w:tcBorders/>
            <w:shd w:fill="CCEEFF" w:val="clear"/>
            <w:vAlign w:val="bottom"/>
          </w:tcPr>
          <w:p>
            <w:pPr>
              <w:pStyle w:val="TableContents"/>
              <w:bidi w:val="0"/>
              <w:spacing w:before="0" w:after="283"/>
              <w:jc w:val="left"/>
              <w:rPr>
                <w:b/>
              </w:rPr>
            </w:pPr>
            <w:r>
              <w:rPr>
                <w:b/>
              </w:rPr>
              <w:t>)</w:t>
            </w:r>
          </w:p>
        </w:tc>
        <w:tc>
          <w:tcPr>
            <w:tcW w:w="88" w:type="dxa"/>
            <w:tcBorders/>
            <w:shd w:fill="CCEEFF" w:val="clear"/>
            <w:vAlign w:val="bottom"/>
          </w:tcPr>
          <w:p>
            <w:pPr>
              <w:pStyle w:val="TableContents"/>
              <w:bidi w:val="0"/>
              <w:spacing w:before="0" w:after="283"/>
              <w:jc w:val="right"/>
              <w:rPr/>
            </w:pPr>
            <w:r>
              <w:rPr/>
              <w:t> </w:t>
            </w:r>
          </w:p>
        </w:tc>
        <w:tc>
          <w:tcPr>
            <w:tcW w:w="207" w:type="dxa"/>
            <w:tcBorders/>
            <w:shd w:fill="CCEEFF" w:val="clear"/>
            <w:vAlign w:val="bottom"/>
          </w:tcPr>
          <w:p>
            <w:pPr>
              <w:pStyle w:val="TableContents"/>
              <w:bidi w:val="0"/>
              <w:spacing w:before="0" w:after="283"/>
              <w:jc w:val="left"/>
              <w:rPr>
                <w:b/>
              </w:rPr>
            </w:pPr>
            <w:r>
              <w:rPr>
                <w:b/>
              </w:rPr>
              <w:t>$</w:t>
            </w:r>
          </w:p>
        </w:tc>
        <w:tc>
          <w:tcPr>
            <w:tcW w:w="1119" w:type="dxa"/>
            <w:tcBorders/>
            <w:shd w:fill="CCEEFF" w:val="clear"/>
            <w:vAlign w:val="bottom"/>
          </w:tcPr>
          <w:p>
            <w:pPr>
              <w:pStyle w:val="TableContents"/>
              <w:bidi w:val="0"/>
              <w:spacing w:before="0" w:after="283"/>
              <w:jc w:val="right"/>
              <w:rPr>
                <w:b/>
              </w:rPr>
            </w:pPr>
            <w:r>
              <w:rPr>
                <w:b/>
              </w:rPr>
              <w:t>(3,074</w:t>
            </w:r>
          </w:p>
        </w:tc>
        <w:tc>
          <w:tcPr>
            <w:tcW w:w="95" w:type="dxa"/>
            <w:tcBorders/>
            <w:shd w:fill="CCEEFF" w:val="clear"/>
            <w:vAlign w:val="bottom"/>
          </w:tcPr>
          <w:p>
            <w:pPr>
              <w:pStyle w:val="TableContents"/>
              <w:bidi w:val="0"/>
              <w:spacing w:before="0" w:after="283"/>
              <w:jc w:val="left"/>
              <w:rPr>
                <w:b/>
              </w:rPr>
            </w:pPr>
            <w:r>
              <w:rPr>
                <w:b/>
              </w:rPr>
              <w:t>)</w:t>
            </w:r>
          </w:p>
        </w:tc>
      </w:tr>
      <w:tr>
        <w:trPr/>
        <w:tc>
          <w:tcPr>
            <w:tcW w:w="41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83" w:type="dxa"/>
            <w:tcBorders/>
            <w:vAlign w:val="bottom"/>
          </w:tcPr>
          <w:p>
            <w:pPr>
              <w:pStyle w:val="TableContents"/>
              <w:bidi w:val="0"/>
              <w:spacing w:before="0" w:after="283"/>
              <w:jc w:val="left"/>
              <w:rPr/>
            </w:pPr>
            <w:r>
              <w:rPr/>
              <w:t> </w:t>
            </w:r>
          </w:p>
        </w:tc>
        <w:tc>
          <w:tcPr>
            <w:tcW w:w="1474" w:type="dxa"/>
            <w:tcBorders/>
            <w:vAlign w:val="bottom"/>
          </w:tcPr>
          <w:p>
            <w:pPr>
              <w:pStyle w:val="TableContents"/>
              <w:bidi w:val="0"/>
              <w:spacing w:before="0" w:after="283"/>
              <w:jc w:val="right"/>
              <w:rPr/>
            </w:pPr>
            <w:r>
              <w:rPr/>
              <w:t> </w:t>
            </w:r>
          </w:p>
        </w:tc>
        <w:tc>
          <w:tcPr>
            <w:tcW w:w="181"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right"/>
              <w:rPr/>
            </w:pPr>
            <w:r>
              <w:rPr/>
              <w:t> </w:t>
            </w:r>
          </w:p>
        </w:tc>
        <w:tc>
          <w:tcPr>
            <w:tcW w:w="283"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7" w:type="dxa"/>
            <w:tcBorders/>
            <w:vAlign w:val="bottom"/>
          </w:tcPr>
          <w:p>
            <w:pPr>
              <w:pStyle w:val="TableContents"/>
              <w:bidi w:val="0"/>
              <w:spacing w:before="0" w:after="283"/>
              <w:jc w:val="left"/>
              <w:rPr/>
            </w:pPr>
            <w:r>
              <w:rPr/>
              <w:t> </w:t>
            </w:r>
          </w:p>
        </w:tc>
        <w:tc>
          <w:tcPr>
            <w:tcW w:w="1119"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right"/>
              <w:rPr/>
            </w:pPr>
            <w:r>
              <w:rPr/>
              <w:t> </w:t>
            </w:r>
          </w:p>
        </w:tc>
        <w:tc>
          <w:tcPr>
            <w:tcW w:w="207" w:type="dxa"/>
            <w:tcBorders/>
            <w:vAlign w:val="bottom"/>
          </w:tcPr>
          <w:p>
            <w:pPr>
              <w:pStyle w:val="TableContents"/>
              <w:bidi w:val="0"/>
              <w:spacing w:before="0" w:after="283"/>
              <w:jc w:val="left"/>
              <w:rPr/>
            </w:pPr>
            <w:r>
              <w:rPr/>
              <w:t> </w:t>
            </w:r>
          </w:p>
        </w:tc>
        <w:tc>
          <w:tcPr>
            <w:tcW w:w="1119"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4115" w:type="dxa"/>
            <w:tcBorders/>
            <w:shd w:fill="CCEEFF" w:val="clear"/>
            <w:vAlign w:val="bottom"/>
          </w:tcPr>
          <w:p>
            <w:pPr>
              <w:pStyle w:val="TableContents"/>
              <w:bidi w:val="0"/>
              <w:spacing w:before="0" w:after="0"/>
              <w:ind w:left="180" w:right="0" w:hanging="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Gross realized gains, RMBS available-for-sale</w:t>
            </w:r>
          </w:p>
        </w:tc>
        <w:tc>
          <w:tcPr>
            <w:tcW w:w="60" w:type="dxa"/>
            <w:tcBorders/>
            <w:shd w:fill="CCEEFF" w:val="clear"/>
            <w:vAlign w:val="bottom"/>
          </w:tcPr>
          <w:p>
            <w:pPr>
              <w:pStyle w:val="TableContents"/>
              <w:bidi w:val="0"/>
              <w:spacing w:before="0" w:after="283"/>
              <w:jc w:val="right"/>
              <w:rPr/>
            </w:pPr>
            <w:r>
              <w:rPr/>
              <w:t> </w:t>
            </w:r>
          </w:p>
        </w:tc>
        <w:tc>
          <w:tcPr>
            <w:tcW w:w="28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474"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181"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right"/>
              <w:rPr/>
            </w:pPr>
            <w:r>
              <w:rPr/>
              <w:t> </w:t>
            </w:r>
          </w:p>
        </w:tc>
        <w:tc>
          <w:tcPr>
            <w:tcW w:w="28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81"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7" w:type="dxa"/>
            <w:tcBorders/>
            <w:shd w:fill="CCEEFF" w:val="clear"/>
            <w:vAlign w:val="bottom"/>
          </w:tcPr>
          <w:p>
            <w:pPr>
              <w:pStyle w:val="TableContents"/>
              <w:bidi w:val="0"/>
              <w:spacing w:before="0" w:after="283"/>
              <w:jc w:val="left"/>
              <w:rPr/>
            </w:pPr>
            <w:r>
              <w:rPr/>
              <w:t>$</w:t>
            </w:r>
          </w:p>
        </w:tc>
        <w:tc>
          <w:tcPr>
            <w:tcW w:w="1119" w:type="dxa"/>
            <w:tcBorders/>
            <w:shd w:fill="CCEEFF" w:val="clear"/>
            <w:vAlign w:val="bottom"/>
          </w:tcPr>
          <w:p>
            <w:pPr>
              <w:pStyle w:val="TableContents"/>
              <w:bidi w:val="0"/>
              <w:spacing w:before="0" w:after="283"/>
              <w:jc w:val="right"/>
              <w:rPr/>
            </w:pPr>
            <w:r>
              <w:rPr/>
              <w:t>-</w:t>
            </w:r>
          </w:p>
        </w:tc>
        <w:tc>
          <w:tcPr>
            <w:tcW w:w="140"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right"/>
              <w:rPr/>
            </w:pPr>
            <w:r>
              <w:rPr/>
              <w:t> </w:t>
            </w:r>
          </w:p>
        </w:tc>
        <w:tc>
          <w:tcPr>
            <w:tcW w:w="207" w:type="dxa"/>
            <w:tcBorders/>
            <w:shd w:fill="CCEEFF" w:val="clear"/>
            <w:vAlign w:val="bottom"/>
          </w:tcPr>
          <w:p>
            <w:pPr>
              <w:pStyle w:val="TableContents"/>
              <w:bidi w:val="0"/>
              <w:spacing w:before="0" w:after="283"/>
              <w:jc w:val="left"/>
              <w:rPr/>
            </w:pPr>
            <w:r>
              <w:rPr/>
              <w:t>$</w:t>
            </w:r>
          </w:p>
        </w:tc>
        <w:tc>
          <w:tcPr>
            <w:tcW w:w="1119" w:type="dxa"/>
            <w:tcBorders/>
            <w:shd w:fill="CCEEFF" w:val="clear"/>
            <w:vAlign w:val="bottom"/>
          </w:tcPr>
          <w:p>
            <w:pPr>
              <w:pStyle w:val="TableContents"/>
              <w:bidi w:val="0"/>
              <w:spacing w:before="0" w:after="283"/>
              <w:jc w:val="right"/>
              <w:rPr/>
            </w:pPr>
            <w:r>
              <w:rPr/>
              <w:t>-</w:t>
            </w:r>
          </w:p>
        </w:tc>
        <w:tc>
          <w:tcPr>
            <w:tcW w:w="95" w:type="dxa"/>
            <w:tcBorders/>
            <w:shd w:fill="CCEEFF" w:val="clear"/>
            <w:vAlign w:val="bottom"/>
          </w:tcPr>
          <w:p>
            <w:pPr>
              <w:pStyle w:val="TableContents"/>
              <w:bidi w:val="0"/>
              <w:spacing w:before="0" w:after="283"/>
              <w:jc w:val="left"/>
              <w:rPr/>
            </w:pPr>
            <w:r>
              <w:rPr/>
              <w:t> </w:t>
            </w:r>
          </w:p>
        </w:tc>
      </w:tr>
      <w:tr>
        <w:trPr/>
        <w:tc>
          <w:tcPr>
            <w:tcW w:w="4115" w:type="dxa"/>
            <w:tcBorders/>
            <w:vAlign w:val="bottom"/>
          </w:tcPr>
          <w:p>
            <w:pPr>
              <w:pStyle w:val="TableContents"/>
              <w:bidi w:val="0"/>
              <w:spacing w:before="0" w:after="0"/>
              <w:ind w:left="180" w:right="0" w:hanging="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Gross realized losses, RMBS available-for-sale</w:t>
            </w:r>
          </w:p>
        </w:tc>
        <w:tc>
          <w:tcPr>
            <w:tcW w:w="60" w:type="dxa"/>
            <w:tcBorders/>
            <w:vAlign w:val="bottom"/>
          </w:tcPr>
          <w:p>
            <w:pPr>
              <w:pStyle w:val="TableContents"/>
              <w:bidi w:val="0"/>
              <w:spacing w:before="0" w:after="283"/>
              <w:jc w:val="right"/>
              <w:rPr/>
            </w:pPr>
            <w:r>
              <w:rPr/>
              <w:t> </w:t>
            </w:r>
          </w:p>
        </w:tc>
        <w:tc>
          <w:tcPr>
            <w:tcW w:w="283" w:type="dxa"/>
            <w:tcBorders>
              <w:bottom w:val="single" w:sz="12" w:space="0" w:color="000000"/>
            </w:tcBorders>
            <w:tcMar>
              <w:bottom w:w="28" w:type="dxa"/>
            </w:tcMar>
            <w:vAlign w:val="bottom"/>
          </w:tcPr>
          <w:p>
            <w:pPr>
              <w:pStyle w:val="TableContents"/>
              <w:bidi w:val="0"/>
              <w:spacing w:before="0" w:after="283"/>
              <w:jc w:val="left"/>
              <w:rPr/>
            </w:pPr>
            <w:r>
              <w:rPr/>
              <w:t> </w:t>
            </w:r>
          </w:p>
        </w:tc>
        <w:tc>
          <w:tcPr>
            <w:tcW w:w="1474"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(498</w:t>
            </w:r>
          </w:p>
        </w:tc>
        <w:tc>
          <w:tcPr>
            <w:tcW w:w="18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36" w:type="dxa"/>
            <w:tcBorders/>
            <w:vAlign w:val="bottom"/>
          </w:tcPr>
          <w:p>
            <w:pPr>
              <w:pStyle w:val="TableContents"/>
              <w:bidi w:val="0"/>
              <w:spacing w:before="0" w:after="283"/>
              <w:jc w:val="right"/>
              <w:rPr/>
            </w:pPr>
            <w:r>
              <w:rPr/>
              <w:t> </w:t>
            </w:r>
          </w:p>
        </w:tc>
        <w:tc>
          <w:tcPr>
            <w:tcW w:w="283" w:type="dxa"/>
            <w:tcBorders>
              <w:bottom w:val="single" w:sz="12" w:space="0" w:color="000000"/>
            </w:tcBorders>
            <w:tcMar>
              <w:bottom w:w="28" w:type="dxa"/>
            </w:tcMar>
            <w:vAlign w:val="bottom"/>
          </w:tcPr>
          <w:p>
            <w:pPr>
              <w:pStyle w:val="TableContents"/>
              <w:bidi w:val="0"/>
              <w:spacing w:before="0" w:after="283"/>
              <w:jc w:val="left"/>
              <w:rPr/>
            </w:pPr>
            <w:r>
              <w:rPr/>
              <w:t> </w:t>
            </w:r>
          </w:p>
        </w:tc>
        <w:tc>
          <w:tcPr>
            <w:tcW w:w="181"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7" w:type="dxa"/>
            <w:tcBorders>
              <w:bottom w:val="single" w:sz="12" w:space="0" w:color="000000"/>
            </w:tcBorders>
            <w:tcMar>
              <w:bottom w:w="28" w:type="dxa"/>
            </w:tcMar>
            <w:vAlign w:val="bottom"/>
          </w:tcPr>
          <w:p>
            <w:pPr>
              <w:pStyle w:val="TableContents"/>
              <w:bidi w:val="0"/>
              <w:spacing w:before="0" w:after="283"/>
              <w:jc w:val="left"/>
              <w:rPr/>
            </w:pPr>
            <w:r>
              <w:rPr/>
              <w:t> </w:t>
            </w:r>
          </w:p>
        </w:tc>
        <w:tc>
          <w:tcPr>
            <w:tcW w:w="1119" w:type="dxa"/>
            <w:tcBorders>
              <w:bottom w:val="single" w:sz="12" w:space="0" w:color="000000"/>
            </w:tcBorders>
            <w:tcMar>
              <w:bottom w:w="28" w:type="dxa"/>
            </w:tcMar>
            <w:vAlign w:val="bottom"/>
          </w:tcPr>
          <w:p>
            <w:pPr>
              <w:pStyle w:val="TableContents"/>
              <w:bidi w:val="0"/>
              <w:spacing w:before="0" w:after="283"/>
              <w:jc w:val="right"/>
              <w:rPr/>
            </w:pPr>
            <w:r>
              <w:rPr/>
              <w:t>(498</w:t>
            </w:r>
          </w:p>
        </w:tc>
        <w:tc>
          <w:tcPr>
            <w:tcW w:w="140" w:type="dxa"/>
            <w:tcBorders/>
            <w:vAlign w:val="bottom"/>
          </w:tcPr>
          <w:p>
            <w:pPr>
              <w:pStyle w:val="TableContents"/>
              <w:bidi w:val="0"/>
              <w:spacing w:before="0" w:after="283"/>
              <w:jc w:val="left"/>
              <w:rPr/>
            </w:pPr>
            <w:r>
              <w:rPr/>
              <w:t>)</w:t>
            </w:r>
          </w:p>
        </w:tc>
        <w:tc>
          <w:tcPr>
            <w:tcW w:w="88" w:type="dxa"/>
            <w:tcBorders/>
            <w:vAlign w:val="bottom"/>
          </w:tcPr>
          <w:p>
            <w:pPr>
              <w:pStyle w:val="TableContents"/>
              <w:bidi w:val="0"/>
              <w:spacing w:before="0" w:after="283"/>
              <w:jc w:val="right"/>
              <w:rPr/>
            </w:pPr>
            <w:r>
              <w:rPr/>
              <w:t> </w:t>
            </w:r>
          </w:p>
        </w:tc>
        <w:tc>
          <w:tcPr>
            <w:tcW w:w="207" w:type="dxa"/>
            <w:tcBorders>
              <w:bottom w:val="single" w:sz="12" w:space="0" w:color="000000"/>
            </w:tcBorders>
            <w:tcMar>
              <w:bottom w:w="28" w:type="dxa"/>
            </w:tcMar>
            <w:vAlign w:val="bottom"/>
          </w:tcPr>
          <w:p>
            <w:pPr>
              <w:pStyle w:val="TableContents"/>
              <w:bidi w:val="0"/>
              <w:spacing w:before="0" w:after="283"/>
              <w:jc w:val="left"/>
              <w:rPr/>
            </w:pPr>
            <w:r>
              <w:rPr/>
              <w:t> </w:t>
            </w:r>
          </w:p>
        </w:tc>
        <w:tc>
          <w:tcPr>
            <w:tcW w:w="1119" w:type="dxa"/>
            <w:tcBorders>
              <w:bottom w:val="single" w:sz="12" w:space="0" w:color="000000"/>
            </w:tcBorders>
            <w:tcMar>
              <w:bottom w:w="28" w:type="dxa"/>
            </w:tcMar>
            <w:vAlign w:val="bottom"/>
          </w:tcPr>
          <w:p>
            <w:pPr>
              <w:pStyle w:val="TableContents"/>
              <w:bidi w:val="0"/>
              <w:spacing w:before="0" w:after="283"/>
              <w:jc w:val="right"/>
              <w:rPr/>
            </w:pPr>
            <w:r>
              <w:rPr/>
              <w:t>(3,074</w:t>
            </w:r>
          </w:p>
        </w:tc>
        <w:tc>
          <w:tcPr>
            <w:tcW w:w="95" w:type="dxa"/>
            <w:tcBorders/>
            <w:vAlign w:val="bottom"/>
          </w:tcPr>
          <w:p>
            <w:pPr>
              <w:pStyle w:val="TableContents"/>
              <w:bidi w:val="0"/>
              <w:spacing w:before="0" w:after="283"/>
              <w:jc w:val="left"/>
              <w:rPr/>
            </w:pPr>
            <w:r>
              <w:rPr/>
              <w:t>)</w:t>
            </w:r>
          </w:p>
        </w:tc>
      </w:tr>
      <w:tr>
        <w:trPr/>
        <w:tc>
          <w:tcPr>
            <w:tcW w:w="4115" w:type="dxa"/>
            <w:tcBorders/>
            <w:shd w:fill="CCEEFF" w:val="clear"/>
            <w:vAlign w:val="bottom"/>
          </w:tcPr>
          <w:p>
            <w:pPr>
              <w:pStyle w:val="TableContents"/>
              <w:bidi w:val="0"/>
              <w:spacing w:before="0" w:after="0"/>
              <w:ind w:left="180" w:right="0" w:hanging="180"/>
              <w:jc w:val="lef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Realized loss on RMBS, available-for-sale, net</w:t>
            </w:r>
          </w:p>
        </w:tc>
        <w:tc>
          <w:tcPr>
            <w:tcW w:w="60" w:type="dxa"/>
            <w:tcBorders/>
            <w:shd w:fill="CCEEFF" w:val="clear"/>
            <w:vAlign w:val="bottom"/>
          </w:tcPr>
          <w:p>
            <w:pPr>
              <w:pStyle w:val="TableContents"/>
              <w:bidi w:val="0"/>
              <w:spacing w:before="0" w:after="283"/>
              <w:jc w:val="right"/>
              <w:rPr/>
            </w:pPr>
            <w:r>
              <w:rPr/>
              <w:t> </w:t>
            </w:r>
          </w:p>
        </w:tc>
        <w:tc>
          <w:tcPr>
            <w:tcW w:w="283"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1474"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(498</w:t>
            </w:r>
          </w:p>
        </w:tc>
        <w:tc>
          <w:tcPr>
            <w:tcW w:w="181"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136" w:type="dxa"/>
            <w:tcBorders/>
            <w:shd w:fill="CCEEFF" w:val="clear"/>
            <w:vAlign w:val="bottom"/>
          </w:tcPr>
          <w:p>
            <w:pPr>
              <w:pStyle w:val="TableContents"/>
              <w:bidi w:val="0"/>
              <w:spacing w:before="0" w:after="283"/>
              <w:jc w:val="right"/>
              <w:rPr/>
            </w:pPr>
            <w:r>
              <w:rPr/>
              <w:t> </w:t>
            </w:r>
          </w:p>
        </w:tc>
        <w:tc>
          <w:tcPr>
            <w:tcW w:w="283"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181"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7" w:type="dxa"/>
            <w:tcBorders/>
            <w:shd w:fill="CCEEFF" w:val="clear"/>
            <w:vAlign w:val="bottom"/>
          </w:tcPr>
          <w:p>
            <w:pPr>
              <w:pStyle w:val="TableContents"/>
              <w:bidi w:val="0"/>
              <w:spacing w:before="0" w:after="283"/>
              <w:jc w:val="left"/>
              <w:rPr>
                <w:b/>
              </w:rPr>
            </w:pPr>
            <w:r>
              <w:rPr>
                <w:b/>
              </w:rPr>
              <w:t>$</w:t>
            </w:r>
          </w:p>
        </w:tc>
        <w:tc>
          <w:tcPr>
            <w:tcW w:w="1119" w:type="dxa"/>
            <w:tcBorders/>
            <w:shd w:fill="CCEEFF" w:val="clear"/>
            <w:vAlign w:val="bottom"/>
          </w:tcPr>
          <w:p>
            <w:pPr>
              <w:pStyle w:val="TableContents"/>
              <w:bidi w:val="0"/>
              <w:spacing w:before="0" w:after="283"/>
              <w:jc w:val="right"/>
              <w:rPr>
                <w:b/>
              </w:rPr>
            </w:pPr>
            <w:r>
              <w:rPr>
                <w:b/>
              </w:rPr>
              <w:t>(498</w:t>
            </w:r>
          </w:p>
        </w:tc>
        <w:tc>
          <w:tcPr>
            <w:tcW w:w="140" w:type="dxa"/>
            <w:tcBorders/>
            <w:shd w:fill="CCEEFF" w:val="clear"/>
            <w:vAlign w:val="bottom"/>
          </w:tcPr>
          <w:p>
            <w:pPr>
              <w:pStyle w:val="TableContents"/>
              <w:bidi w:val="0"/>
              <w:spacing w:before="0" w:after="283"/>
              <w:jc w:val="left"/>
              <w:rPr>
                <w:b/>
              </w:rPr>
            </w:pPr>
            <w:r>
              <w:rPr>
                <w:b/>
              </w:rPr>
              <w:t>)</w:t>
            </w:r>
          </w:p>
        </w:tc>
        <w:tc>
          <w:tcPr>
            <w:tcW w:w="88" w:type="dxa"/>
            <w:tcBorders/>
            <w:shd w:fill="CCEEFF" w:val="clear"/>
            <w:vAlign w:val="bottom"/>
          </w:tcPr>
          <w:p>
            <w:pPr>
              <w:pStyle w:val="TableContents"/>
              <w:bidi w:val="0"/>
              <w:spacing w:before="0" w:after="283"/>
              <w:jc w:val="right"/>
              <w:rPr/>
            </w:pPr>
            <w:r>
              <w:rPr/>
              <w:t> </w:t>
            </w:r>
          </w:p>
        </w:tc>
        <w:tc>
          <w:tcPr>
            <w:tcW w:w="207" w:type="dxa"/>
            <w:tcBorders/>
            <w:shd w:fill="CCEEFF" w:val="clear"/>
            <w:vAlign w:val="bottom"/>
          </w:tcPr>
          <w:p>
            <w:pPr>
              <w:pStyle w:val="TableContents"/>
              <w:bidi w:val="0"/>
              <w:spacing w:before="0" w:after="283"/>
              <w:jc w:val="left"/>
              <w:rPr>
                <w:b/>
              </w:rPr>
            </w:pPr>
            <w:r>
              <w:rPr>
                <w:b/>
              </w:rPr>
              <w:t>$</w:t>
            </w:r>
          </w:p>
        </w:tc>
        <w:tc>
          <w:tcPr>
            <w:tcW w:w="1119" w:type="dxa"/>
            <w:tcBorders/>
            <w:shd w:fill="CCEEFF" w:val="clear"/>
            <w:vAlign w:val="bottom"/>
          </w:tcPr>
          <w:p>
            <w:pPr>
              <w:pStyle w:val="TableContents"/>
              <w:bidi w:val="0"/>
              <w:spacing w:before="0" w:after="283"/>
              <w:jc w:val="right"/>
              <w:rPr>
                <w:b/>
              </w:rPr>
            </w:pPr>
            <w:r>
              <w:rPr>
                <w:b/>
              </w:rPr>
              <w:t>(3,074</w:t>
            </w:r>
          </w:p>
        </w:tc>
        <w:tc>
          <w:tcPr>
            <w:tcW w:w="95" w:type="dxa"/>
            <w:tcBorders/>
            <w:shd w:fill="CCEEFF" w:val="clear"/>
            <w:vAlign w:val="bottom"/>
          </w:tcPr>
          <w:p>
            <w:pPr>
              <w:pStyle w:val="TableContents"/>
              <w:bidi w:val="0"/>
              <w:spacing w:before="0" w:after="283"/>
              <w:jc w:val="left"/>
              <w:rPr>
                <w:b/>
              </w:rPr>
            </w:pPr>
            <w:r>
              <w:rPr>
                <w:b/>
              </w:rPr>
              <w:t>)</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21</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Note 5 — Investments in Servicing Related Assets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Company’s portfolio of Servicing Related Assets consists of Fannie Mae and Freddie Mac MSRs with an aggregate UPB of approximately $15.2 billion as of June 30, 2026.</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following is a summary of the Company’s Servicing Related Assets as of the dates indicated (dollars in thousands):</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Servicing Related Assets Summary</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As of June 30, 2026</w:t>
      </w:r>
    </w:p>
    <w:p>
      <w:pPr>
        <w:pStyle w:val="TextBody"/>
        <w:bidi w:val="0"/>
        <w:spacing w:before="0" w:after="0"/>
        <w:jc w:val="left"/>
        <w:rPr/>
      </w:pPr>
      <w:r>
        <w:rPr/>
      </w:r>
    </w:p>
    <w:tbl>
      <w:tblPr>
        <w:tblW w:w="8388" w:type="dxa"/>
        <w:jc w:val="left"/>
        <w:tblInd w:w="0" w:type="dxa"/>
        <w:tblLayout w:type="fixed"/>
        <w:tblCellMar>
          <w:top w:w="0" w:type="dxa"/>
          <w:left w:w="0" w:type="dxa"/>
          <w:bottom w:w="0" w:type="dxa"/>
          <w:right w:w="0" w:type="dxa"/>
        </w:tblCellMar>
      </w:tblPr>
      <w:tblGrid>
        <w:gridCol w:w="2600"/>
        <w:gridCol w:w="60"/>
        <w:gridCol w:w="125"/>
        <w:gridCol w:w="950"/>
        <w:gridCol w:w="60"/>
        <w:gridCol w:w="60"/>
        <w:gridCol w:w="125"/>
        <w:gridCol w:w="695"/>
        <w:gridCol w:w="60"/>
        <w:gridCol w:w="60"/>
        <w:gridCol w:w="113"/>
        <w:gridCol w:w="717"/>
        <w:gridCol w:w="215"/>
        <w:gridCol w:w="60"/>
        <w:gridCol w:w="117"/>
        <w:gridCol w:w="742"/>
        <w:gridCol w:w="60"/>
        <w:gridCol w:w="60"/>
        <w:gridCol w:w="262"/>
        <w:gridCol w:w="1152"/>
        <w:gridCol w:w="95"/>
      </w:tblGrid>
      <w:tr>
        <w:trPr/>
        <w:tc>
          <w:tcPr>
            <w:tcW w:w="26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Unpaid</w:t>
            </w:r>
          </w:p>
          <w:p>
            <w:pPr>
              <w:pStyle w:val="TableContents"/>
              <w:bidi w:val="0"/>
              <w:spacing w:before="0" w:after="0"/>
              <w:jc w:val="center"/>
              <w:rPr>
                <w:rFonts w:ascii="Times New Roman" w:hAnsi="Times New Roman"/>
                <w:b/>
                <w:sz w:val="20"/>
              </w:rPr>
            </w:pPr>
            <w:r>
              <w:rPr>
                <w:rFonts w:ascii="Times New Roman" w:hAnsi="Times New Roman"/>
                <w:b/>
                <w:sz w:val="20"/>
              </w:rPr>
              <w:t>Principal</w:t>
            </w:r>
          </w:p>
          <w:p>
            <w:pPr>
              <w:pStyle w:val="TableContents"/>
              <w:bidi w:val="0"/>
              <w:spacing w:before="0" w:after="0"/>
              <w:jc w:val="center"/>
              <w:rPr>
                <w:rFonts w:ascii="Times New Roman" w:hAnsi="Times New Roman"/>
                <w:b/>
                <w:sz w:val="20"/>
              </w:rPr>
            </w:pPr>
            <w:r>
              <w:rPr>
                <w:rFonts w:ascii="Times New Roman" w:hAnsi="Times New Roman"/>
                <w:b/>
                <w:sz w:val="20"/>
              </w:rPr>
              <w:t>Balance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Carrying</w:t>
            </w:r>
          </w:p>
          <w:p>
            <w:pPr>
              <w:pStyle w:val="TableContents"/>
              <w:bidi w:val="0"/>
              <w:spacing w:before="0" w:after="0"/>
              <w:jc w:val="center"/>
              <w:rPr>
                <w:rFonts w:ascii="Times New Roman" w:hAnsi="Times New Roman"/>
                <w:b/>
                <w:sz w:val="20"/>
              </w:rPr>
            </w:pPr>
            <w:r>
              <w:rPr>
                <w:rFonts w:ascii="Times New Roman" w:hAnsi="Times New Roman"/>
                <w:b/>
                <w:sz w:val="20"/>
              </w:rPr>
              <w:t>Value</w:t>
            </w:r>
            <w:r>
              <w:rPr>
                <w:rFonts w:ascii="Times New Roman" w:hAnsi="Times New Roman"/>
                <w:b/>
                <w:position w:val="7"/>
                <w:sz w:val="16"/>
                <w:sz w:val="20"/>
              </w:rPr>
              <w:t>(A)</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Weighted</w:t>
            </w:r>
          </w:p>
          <w:p>
            <w:pPr>
              <w:pStyle w:val="TableContents"/>
              <w:bidi w:val="0"/>
              <w:spacing w:before="0" w:after="0"/>
              <w:jc w:val="center"/>
              <w:rPr>
                <w:rFonts w:ascii="Times New Roman" w:hAnsi="Times New Roman"/>
                <w:b/>
                <w:sz w:val="20"/>
              </w:rPr>
            </w:pPr>
            <w:r>
              <w:rPr>
                <w:rFonts w:ascii="Times New Roman" w:hAnsi="Times New Roman"/>
                <w:b/>
                <w:sz w:val="20"/>
              </w:rPr>
              <w:t>Average</w:t>
            </w:r>
          </w:p>
          <w:p>
            <w:pPr>
              <w:pStyle w:val="TableContents"/>
              <w:bidi w:val="0"/>
              <w:spacing w:before="0" w:after="0"/>
              <w:jc w:val="center"/>
              <w:rPr>
                <w:rFonts w:ascii="Times New Roman" w:hAnsi="Times New Roman"/>
                <w:b/>
                <w:sz w:val="20"/>
              </w:rPr>
            </w:pPr>
            <w:r>
              <w:rPr>
                <w:rFonts w:ascii="Times New Roman" w:hAnsi="Times New Roman"/>
                <w:b/>
                <w:sz w:val="20"/>
              </w:rPr>
              <w:t>Coupon</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Weighted</w:t>
            </w:r>
          </w:p>
          <w:p>
            <w:pPr>
              <w:pStyle w:val="TableContents"/>
              <w:bidi w:val="0"/>
              <w:spacing w:before="0" w:after="0"/>
              <w:jc w:val="center"/>
              <w:rPr>
                <w:rFonts w:ascii="Times New Roman" w:hAnsi="Times New Roman"/>
                <w:b/>
                <w:sz w:val="20"/>
              </w:rPr>
            </w:pPr>
            <w:r>
              <w:rPr>
                <w:rFonts w:ascii="Times New Roman" w:hAnsi="Times New Roman"/>
                <w:b/>
                <w:sz w:val="20"/>
              </w:rPr>
              <w:t>Average</w:t>
            </w:r>
          </w:p>
          <w:p>
            <w:pPr>
              <w:pStyle w:val="TableContents"/>
              <w:bidi w:val="0"/>
              <w:spacing w:before="0" w:after="0"/>
              <w:jc w:val="center"/>
              <w:rPr>
                <w:rFonts w:ascii="Times New Roman" w:hAnsi="Times New Roman"/>
                <w:b/>
                <w:sz w:val="20"/>
              </w:rPr>
            </w:pPr>
            <w:r>
              <w:rPr>
                <w:rFonts w:ascii="Times New Roman" w:hAnsi="Times New Roman"/>
                <w:b/>
                <w:sz w:val="20"/>
              </w:rPr>
              <w:t>Maturity</w:t>
            </w:r>
          </w:p>
          <w:p>
            <w:pPr>
              <w:pStyle w:val="TableContents"/>
              <w:bidi w:val="0"/>
              <w:spacing w:before="0" w:after="0"/>
              <w:jc w:val="center"/>
              <w:rPr>
                <w:rFonts w:ascii="Times New Roman" w:hAnsi="Times New Roman"/>
                <w:b/>
                <w:sz w:val="20"/>
              </w:rPr>
            </w:pPr>
            <w:r>
              <w:rPr>
                <w:rFonts w:ascii="Times New Roman" w:hAnsi="Times New Roman"/>
                <w:b/>
                <w:sz w:val="20"/>
              </w:rPr>
              <w:t>(Years)</w:t>
            </w:r>
            <w:r>
              <w:rPr>
                <w:rFonts w:ascii="Times New Roman" w:hAnsi="Times New Roman"/>
                <w:b/>
                <w:position w:val="7"/>
                <w:sz w:val="16"/>
                <w:sz w:val="20"/>
              </w:rPr>
              <w:t>(B)</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Year to Date</w:t>
            </w:r>
          </w:p>
          <w:p>
            <w:pPr>
              <w:pStyle w:val="TableContents"/>
              <w:bidi w:val="0"/>
              <w:spacing w:before="0" w:after="0"/>
              <w:jc w:val="center"/>
              <w:rPr>
                <w:rFonts w:ascii="Times New Roman" w:hAnsi="Times New Roman"/>
                <w:b/>
                <w:sz w:val="20"/>
              </w:rPr>
            </w:pPr>
            <w:r>
              <w:rPr>
                <w:rFonts w:ascii="Times New Roman" w:hAnsi="Times New Roman"/>
                <w:b/>
                <w:sz w:val="20"/>
              </w:rPr>
              <w:t xml:space="preserve">Changes in Fair </w:t>
            </w:r>
          </w:p>
          <w:p>
            <w:pPr>
              <w:pStyle w:val="TableContents"/>
              <w:bidi w:val="0"/>
              <w:spacing w:before="0" w:after="0"/>
              <w:jc w:val="center"/>
              <w:rPr>
                <w:rFonts w:ascii="Times New Roman" w:hAnsi="Times New Roman"/>
                <w:b/>
                <w:sz w:val="20"/>
              </w:rPr>
            </w:pPr>
            <w:r>
              <w:rPr>
                <w:rFonts w:ascii="Times New Roman" w:hAnsi="Times New Roman"/>
                <w:b/>
                <w:sz w:val="20"/>
              </w:rPr>
              <w:t xml:space="preserve">Value Recorded </w:t>
            </w:r>
          </w:p>
          <w:p>
            <w:pPr>
              <w:pStyle w:val="TableContents"/>
              <w:bidi w:val="0"/>
              <w:spacing w:before="0" w:after="0"/>
              <w:jc w:val="center"/>
              <w:rPr>
                <w:rFonts w:ascii="Times New Roman" w:hAnsi="Times New Roman"/>
                <w:b/>
                <w:sz w:val="20"/>
              </w:rPr>
            </w:pPr>
            <w:r>
              <w:rPr>
                <w:rFonts w:ascii="Times New Roman" w:hAnsi="Times New Roman"/>
                <w:b/>
                <w:sz w:val="20"/>
              </w:rPr>
              <w:t>in Other Income</w:t>
            </w:r>
          </w:p>
          <w:p>
            <w:pPr>
              <w:pStyle w:val="TableContents"/>
              <w:bidi w:val="0"/>
              <w:spacing w:before="0" w:after="0"/>
              <w:jc w:val="center"/>
              <w:rPr>
                <w:rFonts w:ascii="Times New Roman" w:hAnsi="Times New Roman"/>
                <w:b/>
                <w:sz w:val="20"/>
              </w:rPr>
            </w:pPr>
            <w:r>
              <w:rPr>
                <w:rFonts w:ascii="Times New Roman" w:hAnsi="Times New Roman"/>
                <w:b/>
                <w:sz w:val="20"/>
              </w:rPr>
              <w:t>(Loss)</w:t>
            </w:r>
          </w:p>
        </w:tc>
        <w:tc>
          <w:tcPr>
            <w:tcW w:w="95" w:type="dxa"/>
            <w:tcBorders/>
            <w:vAlign w:val="bottom"/>
          </w:tcPr>
          <w:p>
            <w:pPr>
              <w:pStyle w:val="TableContents"/>
              <w:bidi w:val="0"/>
              <w:spacing w:before="0" w:after="283"/>
              <w:jc w:val="left"/>
              <w:rPr/>
            </w:pPr>
            <w:r>
              <w:rPr/>
              <w:t> </w:t>
            </w:r>
          </w:p>
        </w:tc>
      </w:tr>
      <w:tr>
        <w:trPr/>
        <w:tc>
          <w:tcPr>
            <w:tcW w:w="2600" w:type="dxa"/>
            <w:tcBorders/>
            <w:shd w:fill="CCEEFF" w:val="clear"/>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MSRs</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15,208,654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211,105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1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17"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3.49</w:t>
            </w:r>
          </w:p>
        </w:tc>
        <w:tc>
          <w:tcPr>
            <w:tcW w:w="21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1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4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23.2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62"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5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(3,712</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2600" w:type="dxa"/>
            <w:tcBorders/>
            <w:vAlign w:val="bottom"/>
          </w:tcPr>
          <w:p>
            <w:pPr>
              <w:pStyle w:val="TableContents"/>
              <w:bidi w:val="0"/>
              <w:spacing w:before="0" w:after="0"/>
              <w:ind w:left="144" w:right="0" w:hanging="144"/>
              <w:jc w:val="left"/>
              <w:rPr>
                <w:rFonts w:ascii="Times New Roman" w:hAnsi="Times New Roman"/>
                <w:b/>
                <w:sz w:val="20"/>
              </w:rPr>
            </w:pPr>
            <w:r>
              <w:rPr>
                <w:rFonts w:ascii="Times New Roman" w:hAnsi="Times New Roman"/>
                <w:b/>
                <w:sz w:val="20"/>
              </w:rPr>
              <w:t>MSR Total/Weighted Average</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950"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15,208,654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95"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211,105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13" w:type="dxa"/>
            <w:tcBorders/>
            <w:vAlign w:val="bottom"/>
          </w:tcPr>
          <w:p>
            <w:pPr>
              <w:pStyle w:val="TableContents"/>
              <w:bidi w:val="0"/>
              <w:spacing w:before="0" w:after="283"/>
              <w:jc w:val="left"/>
              <w:rPr/>
            </w:pPr>
            <w:r>
              <w:rPr/>
              <w:t> </w:t>
            </w:r>
          </w:p>
        </w:tc>
        <w:tc>
          <w:tcPr>
            <w:tcW w:w="717"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3.49</w:t>
            </w:r>
          </w:p>
        </w:tc>
        <w:tc>
          <w:tcPr>
            <w:tcW w:w="21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vAlign w:val="bottom"/>
          </w:tcPr>
          <w:p>
            <w:pPr>
              <w:pStyle w:val="TableContents"/>
              <w:bidi w:val="0"/>
              <w:spacing w:before="0" w:after="283"/>
              <w:jc w:val="right"/>
              <w:rPr/>
            </w:pPr>
            <w:r>
              <w:rPr/>
              <w:t> </w:t>
            </w:r>
          </w:p>
        </w:tc>
        <w:tc>
          <w:tcPr>
            <w:tcW w:w="117"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23.2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62"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1152"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(3,712</w:t>
            </w:r>
          </w:p>
        </w:tc>
        <w:tc>
          <w:tcPr>
            <w:tcW w:w="9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r>
    </w:tbl>
    <w:p>
      <w:pPr>
        <w:pStyle w:val="TextBody"/>
        <w:bidi w:val="0"/>
        <w:spacing w:before="0" w:after="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As of December 31, 2025</w:t>
      </w:r>
    </w:p>
    <w:p>
      <w:pPr>
        <w:pStyle w:val="TextBody"/>
        <w:bidi w:val="0"/>
        <w:spacing w:before="0" w:after="0"/>
        <w:jc w:val="left"/>
        <w:rPr/>
      </w:pPr>
      <w:r>
        <w:rPr/>
      </w:r>
    </w:p>
    <w:tbl>
      <w:tblPr>
        <w:tblW w:w="8388" w:type="dxa"/>
        <w:jc w:val="left"/>
        <w:tblInd w:w="0" w:type="dxa"/>
        <w:tblLayout w:type="fixed"/>
        <w:tblCellMar>
          <w:top w:w="0" w:type="dxa"/>
          <w:left w:w="0" w:type="dxa"/>
          <w:bottom w:w="0" w:type="dxa"/>
          <w:right w:w="0" w:type="dxa"/>
        </w:tblCellMar>
      </w:tblPr>
      <w:tblGrid>
        <w:gridCol w:w="2600"/>
        <w:gridCol w:w="60"/>
        <w:gridCol w:w="125"/>
        <w:gridCol w:w="950"/>
        <w:gridCol w:w="60"/>
        <w:gridCol w:w="60"/>
        <w:gridCol w:w="125"/>
        <w:gridCol w:w="695"/>
        <w:gridCol w:w="60"/>
        <w:gridCol w:w="60"/>
        <w:gridCol w:w="113"/>
        <w:gridCol w:w="717"/>
        <w:gridCol w:w="215"/>
        <w:gridCol w:w="60"/>
        <w:gridCol w:w="117"/>
        <w:gridCol w:w="742"/>
        <w:gridCol w:w="60"/>
        <w:gridCol w:w="60"/>
        <w:gridCol w:w="226"/>
        <w:gridCol w:w="1188"/>
        <w:gridCol w:w="95"/>
      </w:tblGrid>
      <w:tr>
        <w:trPr/>
        <w:tc>
          <w:tcPr>
            <w:tcW w:w="26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Unpaid</w:t>
            </w:r>
          </w:p>
          <w:p>
            <w:pPr>
              <w:pStyle w:val="TableContents"/>
              <w:bidi w:val="0"/>
              <w:spacing w:before="0" w:after="0"/>
              <w:jc w:val="center"/>
              <w:rPr>
                <w:rFonts w:ascii="Times New Roman" w:hAnsi="Times New Roman"/>
                <w:b/>
                <w:sz w:val="20"/>
              </w:rPr>
            </w:pPr>
            <w:r>
              <w:rPr>
                <w:rFonts w:ascii="Times New Roman" w:hAnsi="Times New Roman"/>
                <w:b/>
                <w:sz w:val="20"/>
              </w:rPr>
              <w:t>Principal</w:t>
            </w:r>
          </w:p>
          <w:p>
            <w:pPr>
              <w:pStyle w:val="TableContents"/>
              <w:bidi w:val="0"/>
              <w:spacing w:before="0" w:after="0"/>
              <w:jc w:val="center"/>
              <w:rPr>
                <w:rFonts w:ascii="Times New Roman" w:hAnsi="Times New Roman"/>
                <w:b/>
                <w:sz w:val="20"/>
              </w:rPr>
            </w:pPr>
            <w:r>
              <w:rPr>
                <w:rFonts w:ascii="Times New Roman" w:hAnsi="Times New Roman"/>
                <w:b/>
                <w:sz w:val="20"/>
              </w:rPr>
              <w:t>Balance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Carrying</w:t>
            </w:r>
          </w:p>
          <w:p>
            <w:pPr>
              <w:pStyle w:val="TableContents"/>
              <w:bidi w:val="0"/>
              <w:spacing w:before="0" w:after="0"/>
              <w:jc w:val="center"/>
              <w:rPr>
                <w:rFonts w:ascii="Times New Roman" w:hAnsi="Times New Roman"/>
                <w:b/>
                <w:sz w:val="20"/>
              </w:rPr>
            </w:pPr>
            <w:r>
              <w:rPr>
                <w:rFonts w:ascii="Times New Roman" w:hAnsi="Times New Roman"/>
                <w:b/>
                <w:sz w:val="20"/>
              </w:rPr>
              <w:t>Value</w:t>
            </w:r>
            <w:r>
              <w:rPr>
                <w:rFonts w:ascii="Times New Roman" w:hAnsi="Times New Roman"/>
                <w:b/>
                <w:position w:val="7"/>
                <w:sz w:val="16"/>
                <w:sz w:val="20"/>
              </w:rPr>
              <w:t>(A)</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Weighted</w:t>
            </w:r>
          </w:p>
          <w:p>
            <w:pPr>
              <w:pStyle w:val="TableContents"/>
              <w:bidi w:val="0"/>
              <w:spacing w:before="0" w:after="0"/>
              <w:jc w:val="center"/>
              <w:rPr>
                <w:rFonts w:ascii="Times New Roman" w:hAnsi="Times New Roman"/>
                <w:b/>
                <w:sz w:val="20"/>
              </w:rPr>
            </w:pPr>
            <w:r>
              <w:rPr>
                <w:rFonts w:ascii="Times New Roman" w:hAnsi="Times New Roman"/>
                <w:b/>
                <w:sz w:val="20"/>
              </w:rPr>
              <w:t>Average</w:t>
            </w:r>
          </w:p>
          <w:p>
            <w:pPr>
              <w:pStyle w:val="TableContents"/>
              <w:bidi w:val="0"/>
              <w:spacing w:before="0" w:after="0"/>
              <w:jc w:val="center"/>
              <w:rPr>
                <w:rFonts w:ascii="Times New Roman" w:hAnsi="Times New Roman"/>
                <w:b/>
                <w:sz w:val="20"/>
              </w:rPr>
            </w:pPr>
            <w:r>
              <w:rPr>
                <w:rFonts w:ascii="Times New Roman" w:hAnsi="Times New Roman"/>
                <w:b/>
                <w:sz w:val="20"/>
              </w:rPr>
              <w:t>Coupon</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Weighted</w:t>
            </w:r>
          </w:p>
          <w:p>
            <w:pPr>
              <w:pStyle w:val="TableContents"/>
              <w:bidi w:val="0"/>
              <w:spacing w:before="0" w:after="0"/>
              <w:jc w:val="center"/>
              <w:rPr>
                <w:rFonts w:ascii="Times New Roman" w:hAnsi="Times New Roman"/>
                <w:b/>
                <w:sz w:val="20"/>
              </w:rPr>
            </w:pPr>
            <w:r>
              <w:rPr>
                <w:rFonts w:ascii="Times New Roman" w:hAnsi="Times New Roman"/>
                <w:b/>
                <w:sz w:val="20"/>
              </w:rPr>
              <w:t>Average</w:t>
            </w:r>
          </w:p>
          <w:p>
            <w:pPr>
              <w:pStyle w:val="TableContents"/>
              <w:bidi w:val="0"/>
              <w:spacing w:before="0" w:after="0"/>
              <w:jc w:val="center"/>
              <w:rPr>
                <w:rFonts w:ascii="Times New Roman" w:hAnsi="Times New Roman"/>
                <w:b/>
                <w:sz w:val="20"/>
              </w:rPr>
            </w:pPr>
            <w:r>
              <w:rPr>
                <w:rFonts w:ascii="Times New Roman" w:hAnsi="Times New Roman"/>
                <w:b/>
                <w:sz w:val="20"/>
              </w:rPr>
              <w:t>Maturity</w:t>
            </w:r>
          </w:p>
          <w:p>
            <w:pPr>
              <w:pStyle w:val="TableContents"/>
              <w:bidi w:val="0"/>
              <w:spacing w:before="0" w:after="0"/>
              <w:jc w:val="center"/>
              <w:rPr>
                <w:rFonts w:ascii="Times New Roman" w:hAnsi="Times New Roman"/>
                <w:b/>
                <w:sz w:val="20"/>
              </w:rPr>
            </w:pPr>
            <w:r>
              <w:rPr>
                <w:rFonts w:ascii="Times New Roman" w:hAnsi="Times New Roman"/>
                <w:b/>
                <w:sz w:val="20"/>
              </w:rPr>
              <w:t>(Years)</w:t>
            </w:r>
            <w:r>
              <w:rPr>
                <w:rFonts w:ascii="Times New Roman" w:hAnsi="Times New Roman"/>
                <w:b/>
                <w:position w:val="7"/>
                <w:sz w:val="16"/>
                <w:sz w:val="20"/>
              </w:rPr>
              <w:t>(B)</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Year to Date</w:t>
            </w:r>
          </w:p>
          <w:p>
            <w:pPr>
              <w:pStyle w:val="TableContents"/>
              <w:bidi w:val="0"/>
              <w:spacing w:before="0" w:after="0"/>
              <w:jc w:val="center"/>
              <w:rPr>
                <w:rFonts w:ascii="Times New Roman" w:hAnsi="Times New Roman"/>
                <w:b/>
                <w:sz w:val="20"/>
              </w:rPr>
            </w:pPr>
            <w:r>
              <w:rPr>
                <w:rFonts w:ascii="Times New Roman" w:hAnsi="Times New Roman"/>
                <w:b/>
                <w:sz w:val="20"/>
              </w:rPr>
              <w:t xml:space="preserve">Changes in Fair </w:t>
            </w:r>
          </w:p>
          <w:p>
            <w:pPr>
              <w:pStyle w:val="TableContents"/>
              <w:bidi w:val="0"/>
              <w:spacing w:before="0" w:after="0"/>
              <w:jc w:val="center"/>
              <w:rPr>
                <w:rFonts w:ascii="Times New Roman" w:hAnsi="Times New Roman"/>
                <w:b/>
                <w:sz w:val="20"/>
              </w:rPr>
            </w:pPr>
            <w:r>
              <w:rPr>
                <w:rFonts w:ascii="Times New Roman" w:hAnsi="Times New Roman"/>
                <w:b/>
                <w:sz w:val="20"/>
              </w:rPr>
              <w:t xml:space="preserve">Value Recorded </w:t>
            </w:r>
          </w:p>
          <w:p>
            <w:pPr>
              <w:pStyle w:val="TableContents"/>
              <w:bidi w:val="0"/>
              <w:spacing w:before="0" w:after="0"/>
              <w:jc w:val="center"/>
              <w:rPr>
                <w:rFonts w:ascii="Times New Roman" w:hAnsi="Times New Roman"/>
                <w:b/>
                <w:sz w:val="20"/>
              </w:rPr>
            </w:pPr>
            <w:r>
              <w:rPr>
                <w:rFonts w:ascii="Times New Roman" w:hAnsi="Times New Roman"/>
                <w:b/>
                <w:sz w:val="20"/>
              </w:rPr>
              <w:t>in Other Income</w:t>
            </w:r>
          </w:p>
          <w:p>
            <w:pPr>
              <w:pStyle w:val="TableContents"/>
              <w:bidi w:val="0"/>
              <w:spacing w:before="0" w:after="0"/>
              <w:jc w:val="center"/>
              <w:rPr>
                <w:rFonts w:ascii="Times New Roman" w:hAnsi="Times New Roman"/>
                <w:b/>
                <w:sz w:val="20"/>
              </w:rPr>
            </w:pPr>
            <w:r>
              <w:rPr>
                <w:rFonts w:ascii="Times New Roman" w:hAnsi="Times New Roman"/>
                <w:b/>
                <w:sz w:val="20"/>
              </w:rPr>
              <w:t>(Loss)</w:t>
            </w:r>
          </w:p>
        </w:tc>
        <w:tc>
          <w:tcPr>
            <w:tcW w:w="95" w:type="dxa"/>
            <w:tcBorders/>
            <w:vAlign w:val="bottom"/>
          </w:tcPr>
          <w:p>
            <w:pPr>
              <w:pStyle w:val="TableContents"/>
              <w:bidi w:val="0"/>
              <w:spacing w:before="0" w:after="283"/>
              <w:jc w:val="left"/>
              <w:rPr/>
            </w:pPr>
            <w:r>
              <w:rPr/>
              <w:t> </w:t>
            </w:r>
          </w:p>
        </w:tc>
      </w:tr>
      <w:tr>
        <w:trPr/>
        <w:tc>
          <w:tcPr>
            <w:tcW w:w="2600" w:type="dxa"/>
            <w:tcBorders/>
            <w:shd w:fill="CCEEFF" w:val="clear"/>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MSRs</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15,891,266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214,831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1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17"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3.49</w:t>
            </w:r>
          </w:p>
        </w:tc>
        <w:tc>
          <w:tcPr>
            <w:tcW w:w="21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1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4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23.6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26"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8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(18,825</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2600" w:type="dxa"/>
            <w:tcBorders/>
            <w:vAlign w:val="bottom"/>
          </w:tcPr>
          <w:p>
            <w:pPr>
              <w:pStyle w:val="TableContents"/>
              <w:bidi w:val="0"/>
              <w:spacing w:before="0" w:after="0"/>
              <w:ind w:left="144" w:right="0" w:hanging="144"/>
              <w:jc w:val="left"/>
              <w:rPr>
                <w:rFonts w:ascii="Times New Roman" w:hAnsi="Times New Roman"/>
                <w:b/>
                <w:sz w:val="20"/>
              </w:rPr>
            </w:pPr>
            <w:r>
              <w:rPr>
                <w:rFonts w:ascii="Times New Roman" w:hAnsi="Times New Roman"/>
                <w:b/>
                <w:sz w:val="20"/>
              </w:rPr>
              <w:t>MSR Total/Weighted Average</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950"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15,891,266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95"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214,831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13" w:type="dxa"/>
            <w:tcBorders/>
            <w:vAlign w:val="bottom"/>
          </w:tcPr>
          <w:p>
            <w:pPr>
              <w:pStyle w:val="TableContents"/>
              <w:bidi w:val="0"/>
              <w:spacing w:before="0" w:after="283"/>
              <w:jc w:val="left"/>
              <w:rPr/>
            </w:pPr>
            <w:r>
              <w:rPr/>
              <w:t> </w:t>
            </w:r>
          </w:p>
        </w:tc>
        <w:tc>
          <w:tcPr>
            <w:tcW w:w="717"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3.49</w:t>
            </w:r>
          </w:p>
        </w:tc>
        <w:tc>
          <w:tcPr>
            <w:tcW w:w="21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vAlign w:val="bottom"/>
          </w:tcPr>
          <w:p>
            <w:pPr>
              <w:pStyle w:val="TableContents"/>
              <w:bidi w:val="0"/>
              <w:spacing w:before="0" w:after="283"/>
              <w:jc w:val="right"/>
              <w:rPr/>
            </w:pPr>
            <w:r>
              <w:rPr/>
              <w:t> </w:t>
            </w:r>
          </w:p>
        </w:tc>
        <w:tc>
          <w:tcPr>
            <w:tcW w:w="117"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23.6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26"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1188"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(18,825</w:t>
            </w:r>
          </w:p>
        </w:tc>
        <w:tc>
          <w:tcPr>
            <w:tcW w:w="9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r>
    </w:tbl>
    <w:p>
      <w:pPr>
        <w:pStyle w:val="TextBody"/>
        <w:bidi w:val="0"/>
        <w:spacing w:before="0" w:after="0"/>
        <w:jc w:val="left"/>
        <w:rPr/>
      </w:pPr>
      <w:r>
        <w:rPr/>
      </w:r>
    </w:p>
    <w:tbl>
      <w:tblPr>
        <w:tblW w:w="8245" w:type="dxa"/>
        <w:jc w:val="left"/>
        <w:tblInd w:w="0" w:type="dxa"/>
        <w:tblLayout w:type="fixed"/>
        <w:tblCellMar>
          <w:top w:w="0" w:type="dxa"/>
          <w:left w:w="0" w:type="dxa"/>
          <w:bottom w:w="0" w:type="dxa"/>
          <w:right w:w="0" w:type="dxa"/>
        </w:tblCellMar>
      </w:tblPr>
      <w:tblGrid>
        <w:gridCol w:w="290"/>
        <w:gridCol w:w="7955"/>
      </w:tblGrid>
      <w:tr>
        <w:trPr/>
        <w:tc>
          <w:tcPr>
            <w:tcW w:w="29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(A)</w:t>
            </w:r>
          </w:p>
        </w:tc>
        <w:tc>
          <w:tcPr>
            <w:tcW w:w="7955"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See Note 8 regarding the estimation of fair value, which approximates carrying value for all pools.</w:t>
            </w:r>
          </w:p>
        </w:tc>
      </w:tr>
    </w:tbl>
    <w:tbl>
      <w:tblPr>
        <w:tblW w:w="10205" w:type="dxa"/>
        <w:jc w:val="left"/>
        <w:tblInd w:w="0" w:type="dxa"/>
        <w:tblLayout w:type="fixed"/>
        <w:tblCellMar>
          <w:top w:w="0" w:type="dxa"/>
          <w:left w:w="0" w:type="dxa"/>
          <w:bottom w:w="0" w:type="dxa"/>
          <w:right w:w="0" w:type="dxa"/>
        </w:tblCellMar>
      </w:tblPr>
      <w:tblGrid>
        <w:gridCol w:w="288"/>
        <w:gridCol w:w="9917"/>
      </w:tblGrid>
      <w:tr>
        <w:trPr/>
        <w:tc>
          <w:tcPr>
            <w:tcW w:w="288"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(B)</w:t>
            </w:r>
          </w:p>
        </w:tc>
        <w:tc>
          <w:tcPr>
            <w:tcW w:w="9917"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Weighted average maturity of the underlying residential mortgage loans in the pool is based on the unpaid principal balance.</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22</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tables below summarize the geographic distribution for the states representing 5% or greater of the aggregate UPB of the residential mortgage loans underlying the Servicing Related Assets as of the dates indicated:</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Geographic Concentration of Servicing Related Assets</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As of June 30, 2026</w:t>
      </w:r>
    </w:p>
    <w:p>
      <w:pPr>
        <w:pStyle w:val="TextBody"/>
        <w:bidi w:val="0"/>
        <w:spacing w:before="0" w:after="0"/>
        <w:jc w:val="left"/>
        <w:rPr/>
      </w:pPr>
      <w:r>
        <w:rPr/>
      </w:r>
    </w:p>
    <w:tbl>
      <w:tblPr>
        <w:tblW w:w="4304" w:type="dxa"/>
        <w:jc w:val="left"/>
        <w:tblInd w:w="0" w:type="dxa"/>
        <w:tblLayout w:type="fixed"/>
        <w:tblCellMar>
          <w:top w:w="0" w:type="dxa"/>
          <w:left w:w="0" w:type="dxa"/>
          <w:bottom w:w="0" w:type="dxa"/>
          <w:right w:w="0" w:type="dxa"/>
        </w:tblCellMar>
      </w:tblPr>
      <w:tblGrid>
        <w:gridCol w:w="1250"/>
        <w:gridCol w:w="60"/>
        <w:gridCol w:w="304"/>
        <w:gridCol w:w="2460"/>
        <w:gridCol w:w="230"/>
      </w:tblGrid>
      <w:tr>
        <w:trPr/>
        <w:tc>
          <w:tcPr>
            <w:tcW w:w="1250" w:type="dxa"/>
            <w:tcBorders/>
            <w:vAlign w:val="bottom"/>
          </w:tcPr>
          <w:p>
            <w:pPr>
              <w:pStyle w:val="TableContents"/>
              <w:bidi w:val="0"/>
              <w:spacing w:before="0" w:after="0"/>
              <w:ind w:left="180" w:right="0" w:hanging="180"/>
              <w:jc w:val="left"/>
              <w:rPr/>
            </w:pPr>
            <w:r>
              <w:rPr/>
              <w:t> </w:t>
            </w:r>
          </w:p>
        </w:tc>
        <w:tc>
          <w:tcPr>
            <w:tcW w:w="60" w:type="dxa"/>
            <w:tcBorders/>
            <w:vAlign w:val="bottom"/>
          </w:tcPr>
          <w:p>
            <w:pPr>
              <w:pStyle w:val="TableContents"/>
              <w:bidi w:val="0"/>
              <w:spacing w:before="0" w:after="283"/>
              <w:jc w:val="left"/>
              <w:rPr/>
            </w:pPr>
            <w:r>
              <w:rPr/>
              <w:t> </w:t>
            </w:r>
          </w:p>
        </w:tc>
        <w:tc>
          <w:tcPr>
            <w:tcW w:w="276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Percentage of Total Outstanding</w:t>
            </w:r>
          </w:p>
          <w:p>
            <w:pPr>
              <w:pStyle w:val="TableContents"/>
              <w:bidi w:val="0"/>
              <w:spacing w:before="0" w:after="0"/>
              <w:jc w:val="center"/>
              <w:rPr>
                <w:rFonts w:ascii="Times New Roman" w:hAnsi="Times New Roman"/>
                <w:b/>
                <w:sz w:val="20"/>
              </w:rPr>
            </w:pPr>
            <w:r>
              <w:rPr>
                <w:rFonts w:ascii="Times New Roman" w:hAnsi="Times New Roman"/>
                <w:b/>
                <w:sz w:val="20"/>
              </w:rPr>
              <w:t>Unpaid Principal Balance</w:t>
            </w:r>
          </w:p>
        </w:tc>
        <w:tc>
          <w:tcPr>
            <w:tcW w:w="230" w:type="dxa"/>
            <w:tcBorders/>
            <w:vAlign w:val="bottom"/>
          </w:tcPr>
          <w:p>
            <w:pPr>
              <w:pStyle w:val="TableContents"/>
              <w:bidi w:val="0"/>
              <w:spacing w:before="0" w:after="283"/>
              <w:jc w:val="left"/>
              <w:rPr/>
            </w:pPr>
            <w:r>
              <w:rPr/>
              <w:t> </w:t>
            </w:r>
          </w:p>
        </w:tc>
      </w:tr>
      <w:tr>
        <w:trPr/>
        <w:tc>
          <w:tcPr>
            <w:tcW w:w="1250"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California</w:t>
            </w:r>
          </w:p>
        </w:tc>
        <w:tc>
          <w:tcPr>
            <w:tcW w:w="60" w:type="dxa"/>
            <w:tcBorders/>
            <w:shd w:fill="CCEEFF" w:val="clear"/>
            <w:vAlign w:val="bottom"/>
          </w:tcPr>
          <w:p>
            <w:pPr>
              <w:pStyle w:val="TableContents"/>
              <w:bidi w:val="0"/>
              <w:spacing w:before="0" w:after="283"/>
              <w:jc w:val="right"/>
              <w:rPr/>
            </w:pPr>
            <w:r>
              <w:rPr/>
              <w:t> </w:t>
            </w:r>
          </w:p>
        </w:tc>
        <w:tc>
          <w:tcPr>
            <w:tcW w:w="304" w:type="dxa"/>
            <w:tcBorders/>
            <w:shd w:fill="CCEEFF" w:val="clear"/>
            <w:vAlign w:val="bottom"/>
          </w:tcPr>
          <w:p>
            <w:pPr>
              <w:pStyle w:val="TableContents"/>
              <w:bidi w:val="0"/>
              <w:spacing w:before="0" w:after="283"/>
              <w:jc w:val="left"/>
              <w:rPr/>
            </w:pPr>
            <w:r>
              <w:rPr/>
              <w:t> </w:t>
            </w:r>
          </w:p>
        </w:tc>
        <w:tc>
          <w:tcPr>
            <w:tcW w:w="246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14.9</w:t>
            </w:r>
          </w:p>
        </w:tc>
        <w:tc>
          <w:tcPr>
            <w:tcW w:w="23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125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Virginia</w:t>
            </w:r>
          </w:p>
        </w:tc>
        <w:tc>
          <w:tcPr>
            <w:tcW w:w="60" w:type="dxa"/>
            <w:tcBorders/>
            <w:vAlign w:val="bottom"/>
          </w:tcPr>
          <w:p>
            <w:pPr>
              <w:pStyle w:val="TableContents"/>
              <w:bidi w:val="0"/>
              <w:spacing w:before="0" w:after="283"/>
              <w:jc w:val="right"/>
              <w:rPr/>
            </w:pPr>
            <w:r>
              <w:rPr/>
              <w:t> </w:t>
            </w:r>
          </w:p>
        </w:tc>
        <w:tc>
          <w:tcPr>
            <w:tcW w:w="304" w:type="dxa"/>
            <w:tcBorders/>
            <w:vAlign w:val="bottom"/>
          </w:tcPr>
          <w:p>
            <w:pPr>
              <w:pStyle w:val="TableContents"/>
              <w:bidi w:val="0"/>
              <w:spacing w:before="0" w:after="283"/>
              <w:jc w:val="left"/>
              <w:rPr/>
            </w:pPr>
            <w:r>
              <w:rPr/>
              <w:t> </w:t>
            </w:r>
          </w:p>
        </w:tc>
        <w:tc>
          <w:tcPr>
            <w:tcW w:w="246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8.8</w:t>
            </w:r>
          </w:p>
        </w:tc>
        <w:tc>
          <w:tcPr>
            <w:tcW w:w="23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1250"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New York</w:t>
            </w:r>
          </w:p>
        </w:tc>
        <w:tc>
          <w:tcPr>
            <w:tcW w:w="60" w:type="dxa"/>
            <w:tcBorders/>
            <w:shd w:fill="CCEEFF" w:val="clear"/>
            <w:vAlign w:val="bottom"/>
          </w:tcPr>
          <w:p>
            <w:pPr>
              <w:pStyle w:val="TableContents"/>
              <w:bidi w:val="0"/>
              <w:spacing w:before="0" w:after="283"/>
              <w:jc w:val="right"/>
              <w:rPr/>
            </w:pPr>
            <w:r>
              <w:rPr/>
              <w:t> </w:t>
            </w:r>
          </w:p>
        </w:tc>
        <w:tc>
          <w:tcPr>
            <w:tcW w:w="304" w:type="dxa"/>
            <w:tcBorders/>
            <w:shd w:fill="CCEEFF" w:val="clear"/>
            <w:vAlign w:val="bottom"/>
          </w:tcPr>
          <w:p>
            <w:pPr>
              <w:pStyle w:val="TableContents"/>
              <w:bidi w:val="0"/>
              <w:spacing w:before="0" w:after="283"/>
              <w:jc w:val="left"/>
              <w:rPr/>
            </w:pPr>
            <w:r>
              <w:rPr/>
              <w:t> </w:t>
            </w:r>
          </w:p>
        </w:tc>
        <w:tc>
          <w:tcPr>
            <w:tcW w:w="246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8.6</w:t>
            </w:r>
          </w:p>
        </w:tc>
        <w:tc>
          <w:tcPr>
            <w:tcW w:w="23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1250"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Maryland</w:t>
            </w:r>
          </w:p>
        </w:tc>
        <w:tc>
          <w:tcPr>
            <w:tcW w:w="60" w:type="dxa"/>
            <w:tcBorders/>
            <w:vAlign w:val="bottom"/>
          </w:tcPr>
          <w:p>
            <w:pPr>
              <w:pStyle w:val="TableContents"/>
              <w:bidi w:val="0"/>
              <w:spacing w:before="0" w:after="283"/>
              <w:jc w:val="right"/>
              <w:rPr/>
            </w:pPr>
            <w:r>
              <w:rPr/>
              <w:t> </w:t>
            </w:r>
          </w:p>
        </w:tc>
        <w:tc>
          <w:tcPr>
            <w:tcW w:w="304" w:type="dxa"/>
            <w:tcBorders/>
            <w:vAlign w:val="bottom"/>
          </w:tcPr>
          <w:p>
            <w:pPr>
              <w:pStyle w:val="TableContents"/>
              <w:bidi w:val="0"/>
              <w:spacing w:before="0" w:after="283"/>
              <w:jc w:val="left"/>
              <w:rPr/>
            </w:pPr>
            <w:r>
              <w:rPr/>
              <w:t> </w:t>
            </w:r>
          </w:p>
        </w:tc>
        <w:tc>
          <w:tcPr>
            <w:tcW w:w="246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6.8</w:t>
            </w:r>
          </w:p>
        </w:tc>
        <w:tc>
          <w:tcPr>
            <w:tcW w:w="23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1250"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Texas</w:t>
            </w:r>
          </w:p>
        </w:tc>
        <w:tc>
          <w:tcPr>
            <w:tcW w:w="60" w:type="dxa"/>
            <w:tcBorders/>
            <w:shd w:fill="CCEEFF" w:val="clear"/>
            <w:vAlign w:val="bottom"/>
          </w:tcPr>
          <w:p>
            <w:pPr>
              <w:pStyle w:val="TableContents"/>
              <w:bidi w:val="0"/>
              <w:spacing w:before="0" w:after="283"/>
              <w:jc w:val="right"/>
              <w:rPr/>
            </w:pPr>
            <w:r>
              <w:rPr/>
              <w:t> </w:t>
            </w:r>
          </w:p>
        </w:tc>
        <w:tc>
          <w:tcPr>
            <w:tcW w:w="304" w:type="dxa"/>
            <w:tcBorders/>
            <w:shd w:fill="CCEEFF" w:val="clear"/>
            <w:vAlign w:val="bottom"/>
          </w:tcPr>
          <w:p>
            <w:pPr>
              <w:pStyle w:val="TableContents"/>
              <w:bidi w:val="0"/>
              <w:spacing w:before="0" w:after="283"/>
              <w:jc w:val="left"/>
              <w:rPr/>
            </w:pPr>
            <w:r>
              <w:rPr/>
              <w:t> </w:t>
            </w:r>
          </w:p>
        </w:tc>
        <w:tc>
          <w:tcPr>
            <w:tcW w:w="246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5.8</w:t>
            </w:r>
          </w:p>
        </w:tc>
        <w:tc>
          <w:tcPr>
            <w:tcW w:w="23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1250" w:type="dxa"/>
            <w:tcBorders/>
            <w:vAlign w:val="bottom"/>
          </w:tcPr>
          <w:p>
            <w:pPr>
              <w:pStyle w:val="TableContents"/>
              <w:bidi w:val="0"/>
              <w:spacing w:before="0" w:after="283"/>
              <w:jc w:val="left"/>
              <w:rPr/>
            </w:pPr>
            <w:r>
              <w:rPr/>
              <w:t>Florida</w:t>
            </w:r>
          </w:p>
        </w:tc>
        <w:tc>
          <w:tcPr>
            <w:tcW w:w="60" w:type="dxa"/>
            <w:tcBorders/>
            <w:vAlign w:val="bottom"/>
          </w:tcPr>
          <w:p>
            <w:pPr>
              <w:pStyle w:val="TableContents"/>
              <w:bidi w:val="0"/>
              <w:spacing w:before="0" w:after="283"/>
              <w:jc w:val="right"/>
              <w:rPr/>
            </w:pPr>
            <w:r>
              <w:rPr/>
              <w:t> </w:t>
            </w:r>
          </w:p>
        </w:tc>
        <w:tc>
          <w:tcPr>
            <w:tcW w:w="304" w:type="dxa"/>
            <w:tcBorders/>
            <w:vAlign w:val="bottom"/>
          </w:tcPr>
          <w:p>
            <w:pPr>
              <w:pStyle w:val="TableContents"/>
              <w:bidi w:val="0"/>
              <w:spacing w:before="0" w:after="283"/>
              <w:jc w:val="left"/>
              <w:rPr/>
            </w:pPr>
            <w:r>
              <w:rPr/>
              <w:t> </w:t>
            </w:r>
          </w:p>
        </w:tc>
        <w:tc>
          <w:tcPr>
            <w:tcW w:w="2460" w:type="dxa"/>
            <w:tcBorders/>
            <w:vAlign w:val="bottom"/>
          </w:tcPr>
          <w:p>
            <w:pPr>
              <w:pStyle w:val="TableContents"/>
              <w:bidi w:val="0"/>
              <w:spacing w:before="0" w:after="283"/>
              <w:jc w:val="right"/>
              <w:rPr/>
            </w:pPr>
            <w:r>
              <w:rPr/>
              <w:t>5.2</w:t>
            </w:r>
          </w:p>
        </w:tc>
        <w:tc>
          <w:tcPr>
            <w:tcW w:w="230" w:type="dxa"/>
            <w:tcBorders/>
            <w:vAlign w:val="bottom"/>
          </w:tcPr>
          <w:p>
            <w:pPr>
              <w:pStyle w:val="TableContents"/>
              <w:bidi w:val="0"/>
              <w:spacing w:before="0" w:after="283"/>
              <w:jc w:val="left"/>
              <w:rPr/>
            </w:pPr>
            <w:r>
              <w:rPr/>
              <w:t>%</w:t>
            </w:r>
          </w:p>
        </w:tc>
      </w:tr>
      <w:tr>
        <w:trPr/>
        <w:tc>
          <w:tcPr>
            <w:tcW w:w="1250"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North Carolina</w:t>
            </w:r>
          </w:p>
        </w:tc>
        <w:tc>
          <w:tcPr>
            <w:tcW w:w="60" w:type="dxa"/>
            <w:tcBorders/>
            <w:shd w:fill="CCEEFF" w:val="clear"/>
            <w:vAlign w:val="bottom"/>
          </w:tcPr>
          <w:p>
            <w:pPr>
              <w:pStyle w:val="TableContents"/>
              <w:bidi w:val="0"/>
              <w:spacing w:before="0" w:after="283"/>
              <w:jc w:val="right"/>
              <w:rPr/>
            </w:pPr>
            <w:r>
              <w:rPr/>
              <w:t> </w:t>
            </w:r>
          </w:p>
        </w:tc>
        <w:tc>
          <w:tcPr>
            <w:tcW w:w="304" w:type="dxa"/>
            <w:tcBorders/>
            <w:shd w:fill="CCEEFF" w:val="clear"/>
            <w:vAlign w:val="bottom"/>
          </w:tcPr>
          <w:p>
            <w:pPr>
              <w:pStyle w:val="TableContents"/>
              <w:bidi w:val="0"/>
              <w:spacing w:before="0" w:after="283"/>
              <w:jc w:val="left"/>
              <w:rPr/>
            </w:pPr>
            <w:r>
              <w:rPr/>
              <w:t> </w:t>
            </w:r>
          </w:p>
        </w:tc>
        <w:tc>
          <w:tcPr>
            <w:tcW w:w="246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5.0</w:t>
            </w:r>
          </w:p>
        </w:tc>
        <w:tc>
          <w:tcPr>
            <w:tcW w:w="23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1250"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All other</w:t>
            </w:r>
          </w:p>
        </w:tc>
        <w:tc>
          <w:tcPr>
            <w:tcW w:w="60" w:type="dxa"/>
            <w:tcBorders/>
            <w:vAlign w:val="bottom"/>
          </w:tcPr>
          <w:p>
            <w:pPr>
              <w:pStyle w:val="TableContents"/>
              <w:bidi w:val="0"/>
              <w:spacing w:before="0" w:after="283"/>
              <w:jc w:val="right"/>
              <w:rPr/>
            </w:pPr>
            <w:r>
              <w:rPr/>
              <w:t> </w:t>
            </w:r>
          </w:p>
        </w:tc>
        <w:tc>
          <w:tcPr>
            <w:tcW w:w="304" w:type="dxa"/>
            <w:tcBorders>
              <w:bottom w:val="single" w:sz="12" w:space="0" w:color="000000"/>
            </w:tcBorders>
            <w:tcMar>
              <w:bottom w:w="28" w:type="dxa"/>
            </w:tcMar>
            <w:vAlign w:val="bottom"/>
          </w:tcPr>
          <w:p>
            <w:pPr>
              <w:pStyle w:val="TableContents"/>
              <w:bidi w:val="0"/>
              <w:spacing w:before="0" w:after="283"/>
              <w:jc w:val="left"/>
              <w:rPr/>
            </w:pPr>
            <w:r>
              <w:rPr/>
              <w:t> </w:t>
            </w:r>
          </w:p>
        </w:tc>
        <w:tc>
          <w:tcPr>
            <w:tcW w:w="246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44.8</w:t>
            </w:r>
          </w:p>
        </w:tc>
        <w:tc>
          <w:tcPr>
            <w:tcW w:w="23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1250"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Total</w:t>
            </w:r>
          </w:p>
        </w:tc>
        <w:tc>
          <w:tcPr>
            <w:tcW w:w="60" w:type="dxa"/>
            <w:tcBorders/>
            <w:shd w:fill="CCEEFF" w:val="clear"/>
            <w:vAlign w:val="bottom"/>
          </w:tcPr>
          <w:p>
            <w:pPr>
              <w:pStyle w:val="TableContents"/>
              <w:bidi w:val="0"/>
              <w:spacing w:before="0" w:after="283"/>
              <w:jc w:val="right"/>
              <w:rPr/>
            </w:pPr>
            <w:r>
              <w:rPr/>
              <w:t> </w:t>
            </w:r>
          </w:p>
        </w:tc>
        <w:tc>
          <w:tcPr>
            <w:tcW w:w="304" w:type="dxa"/>
            <w:tcBorders/>
            <w:shd w:fill="CCEEFF" w:val="clear"/>
            <w:vAlign w:val="bottom"/>
          </w:tcPr>
          <w:p>
            <w:pPr>
              <w:pStyle w:val="TableContents"/>
              <w:bidi w:val="0"/>
              <w:spacing w:before="0" w:after="283"/>
              <w:jc w:val="left"/>
              <w:rPr/>
            </w:pPr>
            <w:r>
              <w:rPr/>
              <w:t> </w:t>
            </w:r>
          </w:p>
        </w:tc>
        <w:tc>
          <w:tcPr>
            <w:tcW w:w="246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100.0</w:t>
            </w:r>
          </w:p>
        </w:tc>
        <w:tc>
          <w:tcPr>
            <w:tcW w:w="23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180" w:right="0" w:hanging="180"/>
        <w:jc w:val="center"/>
        <w:rPr>
          <w:rFonts w:ascii="Times New Roman" w:hAnsi="Times New Roman"/>
          <w:b/>
          <w:color w:val="000000"/>
          <w:sz w:val="20"/>
          <w:shd w:fill="FFFFFF" w:val="clear"/>
        </w:rPr>
      </w:pPr>
      <w:r>
        <w:rPr>
          <w:rFonts w:ascii="Times New Roman" w:hAnsi="Times New Roman"/>
          <w:b/>
          <w:color w:val="000000"/>
          <w:sz w:val="20"/>
          <w:shd w:fill="FFFFFF" w:val="clear"/>
        </w:rPr>
        <w:t>As of December 31, 2025</w:t>
      </w:r>
    </w:p>
    <w:p>
      <w:pPr>
        <w:pStyle w:val="TextBody"/>
        <w:bidi w:val="0"/>
        <w:spacing w:before="0" w:after="0"/>
        <w:jc w:val="left"/>
        <w:rPr/>
      </w:pPr>
      <w:r>
        <w:rPr/>
      </w:r>
    </w:p>
    <w:tbl>
      <w:tblPr>
        <w:tblW w:w="4304" w:type="dxa"/>
        <w:jc w:val="left"/>
        <w:tblInd w:w="0" w:type="dxa"/>
        <w:tblLayout w:type="fixed"/>
        <w:tblCellMar>
          <w:top w:w="0" w:type="dxa"/>
          <w:left w:w="0" w:type="dxa"/>
          <w:bottom w:w="0" w:type="dxa"/>
          <w:right w:w="0" w:type="dxa"/>
        </w:tblCellMar>
      </w:tblPr>
      <w:tblGrid>
        <w:gridCol w:w="1250"/>
        <w:gridCol w:w="60"/>
        <w:gridCol w:w="304"/>
        <w:gridCol w:w="2460"/>
        <w:gridCol w:w="230"/>
      </w:tblGrid>
      <w:tr>
        <w:trPr/>
        <w:tc>
          <w:tcPr>
            <w:tcW w:w="1250" w:type="dxa"/>
            <w:tcBorders/>
            <w:vAlign w:val="bottom"/>
          </w:tcPr>
          <w:p>
            <w:pPr>
              <w:pStyle w:val="TableContents"/>
              <w:bidi w:val="0"/>
              <w:spacing w:before="0" w:after="0"/>
              <w:ind w:left="180" w:right="0" w:hanging="180"/>
              <w:jc w:val="left"/>
              <w:rPr/>
            </w:pPr>
            <w:r>
              <w:rPr/>
              <w:t> </w:t>
            </w:r>
          </w:p>
        </w:tc>
        <w:tc>
          <w:tcPr>
            <w:tcW w:w="60" w:type="dxa"/>
            <w:tcBorders/>
            <w:vAlign w:val="bottom"/>
          </w:tcPr>
          <w:p>
            <w:pPr>
              <w:pStyle w:val="TableContents"/>
              <w:bidi w:val="0"/>
              <w:spacing w:before="0" w:after="283"/>
              <w:jc w:val="left"/>
              <w:rPr/>
            </w:pPr>
            <w:r>
              <w:rPr/>
              <w:t> </w:t>
            </w:r>
          </w:p>
        </w:tc>
        <w:tc>
          <w:tcPr>
            <w:tcW w:w="276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Percentage of Total Outstanding</w:t>
            </w:r>
          </w:p>
          <w:p>
            <w:pPr>
              <w:pStyle w:val="TableContents"/>
              <w:bidi w:val="0"/>
              <w:spacing w:before="0" w:after="0"/>
              <w:jc w:val="center"/>
              <w:rPr>
                <w:rFonts w:ascii="Times New Roman" w:hAnsi="Times New Roman"/>
                <w:b/>
                <w:sz w:val="20"/>
              </w:rPr>
            </w:pPr>
            <w:r>
              <w:rPr>
                <w:rFonts w:ascii="Times New Roman" w:hAnsi="Times New Roman"/>
                <w:b/>
                <w:sz w:val="20"/>
              </w:rPr>
              <w:t>Unpaid Principal Balance</w:t>
            </w:r>
          </w:p>
        </w:tc>
        <w:tc>
          <w:tcPr>
            <w:tcW w:w="230" w:type="dxa"/>
            <w:tcBorders/>
            <w:vAlign w:val="bottom"/>
          </w:tcPr>
          <w:p>
            <w:pPr>
              <w:pStyle w:val="TableContents"/>
              <w:bidi w:val="0"/>
              <w:spacing w:before="0" w:after="283"/>
              <w:jc w:val="left"/>
              <w:rPr/>
            </w:pPr>
            <w:r>
              <w:rPr/>
              <w:t> </w:t>
            </w:r>
          </w:p>
        </w:tc>
      </w:tr>
      <w:tr>
        <w:trPr/>
        <w:tc>
          <w:tcPr>
            <w:tcW w:w="1250"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California</w:t>
            </w:r>
          </w:p>
        </w:tc>
        <w:tc>
          <w:tcPr>
            <w:tcW w:w="60" w:type="dxa"/>
            <w:tcBorders/>
            <w:shd w:fill="CCEEFF" w:val="clear"/>
            <w:vAlign w:val="bottom"/>
          </w:tcPr>
          <w:p>
            <w:pPr>
              <w:pStyle w:val="TableContents"/>
              <w:bidi w:val="0"/>
              <w:spacing w:before="0" w:after="283"/>
              <w:jc w:val="right"/>
              <w:rPr/>
            </w:pPr>
            <w:r>
              <w:rPr/>
              <w:t> </w:t>
            </w:r>
          </w:p>
        </w:tc>
        <w:tc>
          <w:tcPr>
            <w:tcW w:w="304" w:type="dxa"/>
            <w:tcBorders/>
            <w:shd w:fill="CCEEFF" w:val="clear"/>
            <w:vAlign w:val="bottom"/>
          </w:tcPr>
          <w:p>
            <w:pPr>
              <w:pStyle w:val="TableContents"/>
              <w:bidi w:val="0"/>
              <w:spacing w:before="0" w:after="283"/>
              <w:jc w:val="left"/>
              <w:rPr/>
            </w:pPr>
            <w:r>
              <w:rPr/>
              <w:t> </w:t>
            </w:r>
          </w:p>
        </w:tc>
        <w:tc>
          <w:tcPr>
            <w:tcW w:w="246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14.8</w:t>
            </w:r>
          </w:p>
        </w:tc>
        <w:tc>
          <w:tcPr>
            <w:tcW w:w="23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1250"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Virginia</w:t>
            </w:r>
          </w:p>
        </w:tc>
        <w:tc>
          <w:tcPr>
            <w:tcW w:w="60" w:type="dxa"/>
            <w:tcBorders/>
            <w:vAlign w:val="bottom"/>
          </w:tcPr>
          <w:p>
            <w:pPr>
              <w:pStyle w:val="TableContents"/>
              <w:bidi w:val="0"/>
              <w:spacing w:before="0" w:after="283"/>
              <w:jc w:val="right"/>
              <w:rPr/>
            </w:pPr>
            <w:r>
              <w:rPr/>
              <w:t> </w:t>
            </w:r>
          </w:p>
        </w:tc>
        <w:tc>
          <w:tcPr>
            <w:tcW w:w="304" w:type="dxa"/>
            <w:tcBorders/>
            <w:vAlign w:val="bottom"/>
          </w:tcPr>
          <w:p>
            <w:pPr>
              <w:pStyle w:val="TableContents"/>
              <w:bidi w:val="0"/>
              <w:spacing w:before="0" w:after="283"/>
              <w:jc w:val="left"/>
              <w:rPr/>
            </w:pPr>
            <w:r>
              <w:rPr/>
              <w:t> </w:t>
            </w:r>
          </w:p>
        </w:tc>
        <w:tc>
          <w:tcPr>
            <w:tcW w:w="246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8.8</w:t>
            </w:r>
          </w:p>
        </w:tc>
        <w:tc>
          <w:tcPr>
            <w:tcW w:w="23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1250"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New York</w:t>
            </w:r>
          </w:p>
        </w:tc>
        <w:tc>
          <w:tcPr>
            <w:tcW w:w="60" w:type="dxa"/>
            <w:tcBorders/>
            <w:shd w:fill="CCEEFF" w:val="clear"/>
            <w:vAlign w:val="bottom"/>
          </w:tcPr>
          <w:p>
            <w:pPr>
              <w:pStyle w:val="TableContents"/>
              <w:bidi w:val="0"/>
              <w:spacing w:before="0" w:after="283"/>
              <w:jc w:val="right"/>
              <w:rPr/>
            </w:pPr>
            <w:r>
              <w:rPr/>
              <w:t> </w:t>
            </w:r>
          </w:p>
        </w:tc>
        <w:tc>
          <w:tcPr>
            <w:tcW w:w="304" w:type="dxa"/>
            <w:tcBorders/>
            <w:shd w:fill="CCEEFF" w:val="clear"/>
            <w:vAlign w:val="bottom"/>
          </w:tcPr>
          <w:p>
            <w:pPr>
              <w:pStyle w:val="TableContents"/>
              <w:bidi w:val="0"/>
              <w:spacing w:before="0" w:after="283"/>
              <w:jc w:val="left"/>
              <w:rPr/>
            </w:pPr>
            <w:r>
              <w:rPr/>
              <w:t> </w:t>
            </w:r>
          </w:p>
        </w:tc>
        <w:tc>
          <w:tcPr>
            <w:tcW w:w="246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8.5</w:t>
            </w:r>
          </w:p>
        </w:tc>
        <w:tc>
          <w:tcPr>
            <w:tcW w:w="23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1250"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Maryland</w:t>
            </w:r>
          </w:p>
        </w:tc>
        <w:tc>
          <w:tcPr>
            <w:tcW w:w="60" w:type="dxa"/>
            <w:tcBorders/>
            <w:vAlign w:val="bottom"/>
          </w:tcPr>
          <w:p>
            <w:pPr>
              <w:pStyle w:val="TableContents"/>
              <w:bidi w:val="0"/>
              <w:spacing w:before="0" w:after="283"/>
              <w:jc w:val="right"/>
              <w:rPr/>
            </w:pPr>
            <w:r>
              <w:rPr/>
              <w:t> </w:t>
            </w:r>
          </w:p>
        </w:tc>
        <w:tc>
          <w:tcPr>
            <w:tcW w:w="304" w:type="dxa"/>
            <w:tcBorders/>
            <w:vAlign w:val="bottom"/>
          </w:tcPr>
          <w:p>
            <w:pPr>
              <w:pStyle w:val="TableContents"/>
              <w:bidi w:val="0"/>
              <w:spacing w:before="0" w:after="283"/>
              <w:jc w:val="left"/>
              <w:rPr/>
            </w:pPr>
            <w:r>
              <w:rPr/>
              <w:t> </w:t>
            </w:r>
          </w:p>
        </w:tc>
        <w:tc>
          <w:tcPr>
            <w:tcW w:w="246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6.8</w:t>
            </w:r>
          </w:p>
        </w:tc>
        <w:tc>
          <w:tcPr>
            <w:tcW w:w="23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1250"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Texas</w:t>
            </w:r>
          </w:p>
        </w:tc>
        <w:tc>
          <w:tcPr>
            <w:tcW w:w="60" w:type="dxa"/>
            <w:tcBorders/>
            <w:shd w:fill="CCEEFF" w:val="clear"/>
            <w:vAlign w:val="bottom"/>
          </w:tcPr>
          <w:p>
            <w:pPr>
              <w:pStyle w:val="TableContents"/>
              <w:bidi w:val="0"/>
              <w:spacing w:before="0" w:after="283"/>
              <w:jc w:val="right"/>
              <w:rPr/>
            </w:pPr>
            <w:r>
              <w:rPr/>
              <w:t> </w:t>
            </w:r>
          </w:p>
        </w:tc>
        <w:tc>
          <w:tcPr>
            <w:tcW w:w="304" w:type="dxa"/>
            <w:tcBorders/>
            <w:shd w:fill="CCEEFF" w:val="clear"/>
            <w:vAlign w:val="bottom"/>
          </w:tcPr>
          <w:p>
            <w:pPr>
              <w:pStyle w:val="TableContents"/>
              <w:bidi w:val="0"/>
              <w:spacing w:before="0" w:after="283"/>
              <w:jc w:val="left"/>
              <w:rPr/>
            </w:pPr>
            <w:r>
              <w:rPr/>
              <w:t> </w:t>
            </w:r>
          </w:p>
        </w:tc>
        <w:tc>
          <w:tcPr>
            <w:tcW w:w="246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5.8</w:t>
            </w:r>
          </w:p>
        </w:tc>
        <w:tc>
          <w:tcPr>
            <w:tcW w:w="23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1250" w:type="dxa"/>
            <w:tcBorders/>
            <w:vAlign w:val="bottom"/>
          </w:tcPr>
          <w:p>
            <w:pPr>
              <w:pStyle w:val="TableContents"/>
              <w:bidi w:val="0"/>
              <w:spacing w:before="0" w:after="283"/>
              <w:jc w:val="left"/>
              <w:rPr/>
            </w:pPr>
            <w:r>
              <w:rPr/>
              <w:t xml:space="preserve">Florida </w:t>
            </w:r>
          </w:p>
        </w:tc>
        <w:tc>
          <w:tcPr>
            <w:tcW w:w="60" w:type="dxa"/>
            <w:tcBorders/>
            <w:vAlign w:val="bottom"/>
          </w:tcPr>
          <w:p>
            <w:pPr>
              <w:pStyle w:val="TableContents"/>
              <w:bidi w:val="0"/>
              <w:spacing w:before="0" w:after="283"/>
              <w:jc w:val="right"/>
              <w:rPr/>
            </w:pPr>
            <w:r>
              <w:rPr/>
              <w:t> </w:t>
            </w:r>
          </w:p>
        </w:tc>
        <w:tc>
          <w:tcPr>
            <w:tcW w:w="304" w:type="dxa"/>
            <w:tcBorders/>
            <w:vAlign w:val="bottom"/>
          </w:tcPr>
          <w:p>
            <w:pPr>
              <w:pStyle w:val="TableContents"/>
              <w:bidi w:val="0"/>
              <w:spacing w:before="0" w:after="283"/>
              <w:jc w:val="left"/>
              <w:rPr/>
            </w:pPr>
            <w:r>
              <w:rPr/>
              <w:t> </w:t>
            </w:r>
          </w:p>
        </w:tc>
        <w:tc>
          <w:tcPr>
            <w:tcW w:w="2460" w:type="dxa"/>
            <w:tcBorders/>
            <w:vAlign w:val="bottom"/>
          </w:tcPr>
          <w:p>
            <w:pPr>
              <w:pStyle w:val="TableContents"/>
              <w:bidi w:val="0"/>
              <w:spacing w:before="0" w:after="283"/>
              <w:jc w:val="right"/>
              <w:rPr/>
            </w:pPr>
            <w:r>
              <w:rPr/>
              <w:t>5.3</w:t>
            </w:r>
          </w:p>
        </w:tc>
        <w:tc>
          <w:tcPr>
            <w:tcW w:w="230" w:type="dxa"/>
            <w:tcBorders/>
            <w:vAlign w:val="bottom"/>
          </w:tcPr>
          <w:p>
            <w:pPr>
              <w:pStyle w:val="TableContents"/>
              <w:bidi w:val="0"/>
              <w:spacing w:before="0" w:after="283"/>
              <w:jc w:val="left"/>
              <w:rPr/>
            </w:pPr>
            <w:r>
              <w:rPr/>
              <w:t>%</w:t>
            </w:r>
          </w:p>
        </w:tc>
      </w:tr>
      <w:tr>
        <w:trPr/>
        <w:tc>
          <w:tcPr>
            <w:tcW w:w="1250"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North Carolina</w:t>
            </w:r>
          </w:p>
        </w:tc>
        <w:tc>
          <w:tcPr>
            <w:tcW w:w="60" w:type="dxa"/>
            <w:tcBorders/>
            <w:shd w:fill="CCEEFF" w:val="clear"/>
            <w:vAlign w:val="bottom"/>
          </w:tcPr>
          <w:p>
            <w:pPr>
              <w:pStyle w:val="TableContents"/>
              <w:bidi w:val="0"/>
              <w:spacing w:before="0" w:after="283"/>
              <w:jc w:val="right"/>
              <w:rPr/>
            </w:pPr>
            <w:r>
              <w:rPr/>
              <w:t> </w:t>
            </w:r>
          </w:p>
        </w:tc>
        <w:tc>
          <w:tcPr>
            <w:tcW w:w="304" w:type="dxa"/>
            <w:tcBorders/>
            <w:shd w:fill="CCEEFF" w:val="clear"/>
            <w:vAlign w:val="bottom"/>
          </w:tcPr>
          <w:p>
            <w:pPr>
              <w:pStyle w:val="TableContents"/>
              <w:bidi w:val="0"/>
              <w:spacing w:before="0" w:after="283"/>
              <w:jc w:val="left"/>
              <w:rPr/>
            </w:pPr>
            <w:r>
              <w:rPr/>
              <w:t> </w:t>
            </w:r>
          </w:p>
        </w:tc>
        <w:tc>
          <w:tcPr>
            <w:tcW w:w="246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5.0</w:t>
            </w:r>
          </w:p>
        </w:tc>
        <w:tc>
          <w:tcPr>
            <w:tcW w:w="23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1250"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All other</w:t>
            </w:r>
          </w:p>
        </w:tc>
        <w:tc>
          <w:tcPr>
            <w:tcW w:w="60" w:type="dxa"/>
            <w:tcBorders/>
            <w:vAlign w:val="bottom"/>
          </w:tcPr>
          <w:p>
            <w:pPr>
              <w:pStyle w:val="TableContents"/>
              <w:bidi w:val="0"/>
              <w:spacing w:before="0" w:after="283"/>
              <w:jc w:val="right"/>
              <w:rPr/>
            </w:pPr>
            <w:r>
              <w:rPr/>
              <w:t> </w:t>
            </w:r>
          </w:p>
        </w:tc>
        <w:tc>
          <w:tcPr>
            <w:tcW w:w="304" w:type="dxa"/>
            <w:tcBorders>
              <w:bottom w:val="single" w:sz="12" w:space="0" w:color="000000"/>
            </w:tcBorders>
            <w:tcMar>
              <w:bottom w:w="28" w:type="dxa"/>
            </w:tcMar>
            <w:vAlign w:val="bottom"/>
          </w:tcPr>
          <w:p>
            <w:pPr>
              <w:pStyle w:val="TableContents"/>
              <w:bidi w:val="0"/>
              <w:spacing w:before="0" w:after="283"/>
              <w:jc w:val="left"/>
              <w:rPr/>
            </w:pPr>
            <w:r>
              <w:rPr/>
              <w:t> </w:t>
            </w:r>
          </w:p>
        </w:tc>
        <w:tc>
          <w:tcPr>
            <w:tcW w:w="246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45.0</w:t>
            </w:r>
          </w:p>
        </w:tc>
        <w:tc>
          <w:tcPr>
            <w:tcW w:w="23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1250"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Total</w:t>
            </w:r>
          </w:p>
        </w:tc>
        <w:tc>
          <w:tcPr>
            <w:tcW w:w="60" w:type="dxa"/>
            <w:tcBorders/>
            <w:shd w:fill="CCEEFF" w:val="clear"/>
            <w:vAlign w:val="bottom"/>
          </w:tcPr>
          <w:p>
            <w:pPr>
              <w:pStyle w:val="TableContents"/>
              <w:bidi w:val="0"/>
              <w:spacing w:before="0" w:after="283"/>
              <w:jc w:val="right"/>
              <w:rPr/>
            </w:pPr>
            <w:r>
              <w:rPr/>
              <w:t> </w:t>
            </w:r>
          </w:p>
        </w:tc>
        <w:tc>
          <w:tcPr>
            <w:tcW w:w="304" w:type="dxa"/>
            <w:tcBorders/>
            <w:shd w:fill="CCEEFF" w:val="clear"/>
            <w:vAlign w:val="bottom"/>
          </w:tcPr>
          <w:p>
            <w:pPr>
              <w:pStyle w:val="TableContents"/>
              <w:bidi w:val="0"/>
              <w:spacing w:before="0" w:after="283"/>
              <w:jc w:val="left"/>
              <w:rPr/>
            </w:pPr>
            <w:r>
              <w:rPr/>
              <w:t> </w:t>
            </w:r>
          </w:p>
        </w:tc>
        <w:tc>
          <w:tcPr>
            <w:tcW w:w="246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100.0</w:t>
            </w:r>
          </w:p>
        </w:tc>
        <w:tc>
          <w:tcPr>
            <w:tcW w:w="23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Geographic concentrations of investments expose the Company to the risk of economic downturns within the relevant states. Any such downturn in a state where the Company holds significant investments could affect the underlying borrower’s ability to make the mortgage payment and, therefore, could have a meaningful, negative impact on the Company’s Servicing Related Assets.</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Note 6 — Equity and Earnings per Common Share</w:t>
      </w:r>
    </w:p>
    <w:p>
      <w:pPr>
        <w:pStyle w:val="TextBody"/>
        <w:bidi w:val="0"/>
        <w:spacing w:before="0" w:after="0"/>
        <w:jc w:val="left"/>
        <w:rPr/>
      </w:pPr>
      <w:r>
        <w:rPr/>
      </w:r>
    </w:p>
    <w:p>
      <w:pPr>
        <w:pStyle w:val="TextBody"/>
        <w:widowControl/>
        <w:bidi w:val="0"/>
        <w:spacing w:before="0" w:after="0"/>
        <w:ind w:left="0" w:right="0" w:hanging="0"/>
        <w:jc w:val="left"/>
        <w:rPr>
          <w:rFonts w:ascii="Times New Roman" w:hAnsi="Times New Roman"/>
          <w:color w:val="000000"/>
          <w:sz w:val="20"/>
          <w:shd w:fill="FFFFFF" w:val="clear"/>
        </w:rPr>
      </w:pPr>
      <w:r>
        <w:rPr>
          <w:rFonts w:ascii="Times New Roman" w:hAnsi="Times New Roman"/>
          <w:b/>
          <w:i/>
          <w:color w:val="000000"/>
          <w:spacing w:val="0"/>
          <w:sz w:val="20"/>
          <w:shd w:fill="FFFFFF" w:val="clear"/>
        </w:rPr>
        <w:t>Redeemable Preferred Stock</w:t>
      </w:r>
      <w:r>
        <w:rPr>
          <w:rFonts w:ascii="Times New Roman" w:hAnsi="Times New Roman"/>
          <w:color w:val="000000"/>
          <w:sz w:val="20"/>
          <w:shd w:fill="FFFFFF" w:val="clear"/>
        </w:rPr>
        <w:t xml:space="preserve"> </w:t>
      </w:r>
    </w:p>
    <w:p>
      <w:pPr>
        <w:pStyle w:val="TextBody"/>
        <w:widowControl/>
        <w:bidi w:val="0"/>
        <w:spacing w:before="0" w:after="0"/>
        <w:ind w:left="0" w:right="0" w:hanging="0"/>
        <w:jc w:val="left"/>
        <w:rPr>
          <w:rFonts w:ascii="Times New Roman" w:hAnsi="Times New Roman"/>
          <w:b/>
          <w:i/>
          <w:color w:val="000000"/>
          <w:spacing w:val="0"/>
          <w:sz w:val="20"/>
        </w:rPr>
      </w:pPr>
      <w:r>
        <w:rPr>
          <w:rFonts w:ascii="Times New Roman" w:hAnsi="Times New Roman"/>
          <w:b/>
          <w:i/>
          <w:color w:val="000000"/>
          <w:spacing w:val="0"/>
          <w:sz w:val="20"/>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 xml:space="preserve">The Company’s charter provides that it has authority to issue up to 100,000,000 shares of preferred stock, $0.01 par value per share, of which 2,781,635 shares are classified as shares of 8.20% Series A Cumulative Redeemable Preferred Stock (the “Series A Preferred Stock”) and 1,604,103 shares are classified as shares of 8.250% Series B Fixed-to-Floating Rate Cumulative Redeemable Preferred Stock (the “Series B Preferred Stock”). </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Company’s Series A Preferred Stock ranks senior to the Company’s common stock with respect to rights to the payment of dividends and the distribution of assets upon the Company’s liquidation, dissolution or winding up. The Series A Preferred Stock has no stated maturity, is not subject to any sinking fund or mandatory redemption and will remain outstanding indefinitely unless repurchased or redeemed by the Company or converted by the holders of the Series A Preferred Stock into the Company’s common stock in connection with certain changes of control. Beginning on August 17, 2022, the Company may, at its option, redeem any or all of the shares of Series A Preferred Stock, at any time or from time to time, for cash at a redemption price equal to $25.00 per share, plus any accumulated and unpaid dividends to, but not including, the date fixed for redemption of the shares of Series A Preferred Stock. The Company did not redeem any shares of Series A Preferred Stock during the three and six-month periods ended June 30, 2026 and the year ended December 31, 2025. If the Company does not exercise its option redemption right, upon certain changes in control, the holders of the Series A Preferred Stock have the right to convert some or all of their shares of Series A Preferred Stock into a number of shares of the Company’s common stock based on a defined formula, subject to a share cap, or alternative consideration. The share cap on each share of Series A Preferred Stock is 2.62881 shares of common stock, subject to certain adjustments. The Company pays cumulative cash dividends at the rate of 8.20% per annum of the $25.00 per share liquidation preference (equivalent to $2.05 per annum per share) on the Series A Preferred Stock, in arrears, on or about the 15th day of January, April, July and October of each year.</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23</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 xml:space="preserve">The Company’s Series B Preferred Stock ranks senior to the Company’s common stock with respect to rights to the payment of dividends and the distribution of assets upon the Company’s liquidation, dissolution or winding up, and on parity with the Company’s Series A Preferred Stock with respect to rights to the payment of dividends and the distribution of assets upon the Company’s liquidation, dissolution or winding up. The Series B Preferred Stock has no stated maturity, is not subject to any sinking fund or mandatory redemption and will remain outstanding indefinitely unless repurchased or redeemed by the Company or converted by the holders of the Series B Preferred Stock into the Company’s common stock in connection with certain changes of control. The Series B Preferred Stock was not redeemable by the Company prior to April 15, 2024, except under circumstances intended to preserve the Company’s qualification as a REIT for U.S. federal income tax purposes and except upon the occurrence of certain changes of control. Since April 15, 2024, the Company may, at its option, redeem the Series B Preferred Stock, in whole or in part, at any time or from time to time, for cash at a redemption price equal to $25.00 per share, plus any accumulated and unpaid dividends to, but not including, the date fixed for redemption. If the Company does not exercise its rights to redeem the Series B Preferred Stock upon certain changes in control, the holders of the Series B Preferred Stock have the right to convert some or all of their shares of Series B Preferred Stock into a number of shares of the Company’s common stock based on a defined formula, subject to a share cap, or alternative consideration. The share cap on each share of Series B Preferred Stock is 2.68962 shares of common stock, subject to certain adjustments. Holders of shares of Series B Preferred Stock are entitled to receive, when, as and if authorized by the Company’s board of directors and declared by the Company, out of funds legally available for the payment of dividends, cumulative cash dividends. </w:t>
      </w:r>
      <w:r>
        <w:rPr>
          <w:rFonts w:ascii="Times New Roman" w:hAnsi="Times New Roman"/>
          <w:b w:val="false"/>
          <w:i w:val="false"/>
          <w:caps w:val="false"/>
          <w:smallCaps w:val="false"/>
          <w:color w:val="000000"/>
          <w:spacing w:val="0"/>
          <w:sz w:val="20"/>
          <w:shd w:fill="FFFFFF" w:val="clear"/>
        </w:rPr>
        <w:t>The initial dividend rate for the Series B Preferred Stock from,</w:t>
      </w:r>
      <w:r>
        <w:rPr>
          <w:rFonts w:ascii="Times New Roman" w:hAnsi="Times New Roman"/>
          <w:color w:val="000000"/>
          <w:sz w:val="20"/>
          <w:shd w:fill="FFFFFF" w:val="clear"/>
        </w:rPr>
        <w:t xml:space="preserve"> and including, the date of original issuance to, but excluding, April 15, 2024 was 8.250% of the $25.00 per share liquidation preference per annum (equivalent to $2.0625 per annum per share). During the floating rate period, dividends on the Series B Preferred Stock accumulate at a percentage of the $25.00 liquidation preference equal to an annual floating rate of the three-month CME Term SOFR plus a spread of 5.89261%.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 xml:space="preserve">Dividends on the Series A </w:t>
      </w:r>
      <w:r>
        <w:rPr>
          <w:rFonts w:ascii="Times New Roman" w:hAnsi="Times New Roman"/>
          <w:b w:val="false"/>
          <w:i w:val="false"/>
          <w:caps w:val="false"/>
          <w:smallCaps w:val="false"/>
          <w:color w:val="000000"/>
          <w:spacing w:val="0"/>
          <w:sz w:val="20"/>
          <w:shd w:fill="FFFFFF" w:val="clear"/>
        </w:rPr>
        <w:t xml:space="preserve">Preferred Stock </w:t>
      </w:r>
      <w:r>
        <w:rPr>
          <w:rFonts w:ascii="Times New Roman" w:hAnsi="Times New Roman"/>
          <w:b w:val="false"/>
          <w:i w:val="false"/>
          <w:caps w:val="false"/>
          <w:smallCaps w:val="false"/>
          <w:color w:val="000000"/>
          <w:spacing w:val="0"/>
          <w:sz w:val="20"/>
          <w:shd w:fill="FFFFFF" w:val="clear"/>
        </w:rPr>
        <w:t xml:space="preserve">and Series B </w:t>
      </w:r>
      <w:r>
        <w:rPr>
          <w:rFonts w:ascii="Times New Roman" w:hAnsi="Times New Roman"/>
          <w:b w:val="false"/>
          <w:i w:val="false"/>
          <w:caps w:val="false"/>
          <w:smallCaps w:val="false"/>
          <w:color w:val="000000"/>
          <w:spacing w:val="0"/>
          <w:sz w:val="20"/>
          <w:shd w:fill="FFFFFF" w:val="clear"/>
        </w:rPr>
        <w:t xml:space="preserve">Preferred Stock are </w:t>
      </w:r>
      <w:r>
        <w:rPr>
          <w:rFonts w:ascii="Times New Roman" w:hAnsi="Times New Roman"/>
          <w:color w:val="000000"/>
          <w:sz w:val="20"/>
          <w:shd w:fill="FFFFFF" w:val="clear"/>
        </w:rPr>
        <w:t xml:space="preserve">payable quarterly in arrears on the 15th day of each January, April, July and October, when and as authorized by the Company’s board of directors and declared by the Company. </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Common Stock ATM Program</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In August 2018, the Company instituted an at-the-market offering program for its common stock (the “Common Stock ATM Program”) of up to $50.0 million of its common stock. In November 2022 and August 2024, the Company entered into amendments to the existing At Market Issuance Sales Agreements, increasing the aggregate offering price to up to an aggregate of $150.0 million of its common stock, of which, approximately $34.6 million was remaining as of June 30, 2026. Under the Common Stock ATM Program, the Company may, but is not obligated to, sell shares of common stock from time to time through one or more selling agents. The Common Stock ATM Program has no set expiration date and may be renewed or terminated by the Company at any time. During the three and six-month period ended June 30, 2026, the Company did not issue or sell any shares pursuant to the Common Stock ATM Program. During the year ended December 31, 2025, the Company issued and sold 4,909,053 shares of common stock under the Common Stock ATM Program. The shares were sold at a weighted average price of $3.00 per share for aggregate gross proceeds of approximately $14.7 million before fees of approximately $293,000.</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24</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rFonts w:ascii="Times New Roman" w:hAnsi="Times New Roman"/>
          <w:b/>
          <w:i/>
          <w:caps w:val="false"/>
          <w:smallCaps w:val="false"/>
          <w:color w:val="000000"/>
          <w:sz w:val="20"/>
          <w:shd w:fill="FFFFFF" w:val="clear"/>
        </w:rPr>
      </w:pPr>
      <w:r>
        <w:rPr>
          <w:rFonts w:ascii="Times New Roman" w:hAnsi="Times New Roman"/>
          <w:b/>
          <w:i/>
          <w:caps w:val="false"/>
          <w:smallCaps w:val="false"/>
          <w:color w:val="000000"/>
          <w:sz w:val="20"/>
          <w:shd w:fill="FFFFFF" w:val="clear"/>
        </w:rPr>
        <w:t>Common Stock Repurchase Program</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In September 2019, the Company instituted a common stock repurchase program that allows for the repurchase of up to an aggregate of $10.0 million of its common stock. Shares of common stock may be repurchased from time to time through privately negotiated transactions or open market transactions, pursuant to a trading plan in accordance with Rules 10b5-1 and 10b-18 under the Securities Exchange Act of 1934, as amended, or the Exchange Act, or by any combination of such methods. The manner, price, number and timing of share repurchases are subject to a variety of factors, including market conditions and applicable SEC rules. The common stock repurchase program does not require the purchase of any minimum number of shares of common stock, and, subject to SEC rules, purchases may be commenced or suspended at any time without prior notice. During the three and six-month periods ended June 30, 2026 and the year ended December 31, 2025, the Company did not repurchase any shares of its common stock pursuant to the common stock repurchase program.</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Preferred Stock Repurchase Program</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In December 2023, the Company initiated a preferred stock repurchase program that allows for the repurchase of up to an aggregate of $50.0 million of its shares of preferred stock. Shares of preferred stock may be repurchased from time to time through privately negotiated transactions or open market transactions, pursuant to a trading plan in accordance with Rules 10b5-1 under the Exchange Act. The manner, price, number and timing of share repurchases are subject to a variety of factors, including market conditions and applicable SEC rules. The preferred stock repurchase program does not require the purchase of any minimum number of shares of preferred stock, and, subject to SEC rules, purchases may be commenced or suspended at any time without prior notice. During the three and six-month periods ended June 30, 2026 and the year ended December 31, 2025, the Company did not repurchase any shares of its preferred stock pursuant to the preferred stock repurchase program. Shares of preferred stock that are repurchased by the Company cease to be outstanding but remain authorized for future issuance.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Equity Incentive Plan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During 2013, the board of directors approved and the Company adopted the Cherry Hill Mortgage Investment Corporation 2013 Equity Incentive Plan (the “2013 Plan”). The 2013 Plan, which expired by its terms in October 2023, provided for the grant of options to purchase shares of the Company’s common stock, stock awards, stock appreciation rights (“SARs”), performance units, incentive awards and other equity-based awards, including long term incentive plan units of the Operating Partnership (the “LTIP-OP Units”).</w:t>
      </w:r>
    </w:p>
    <w:p>
      <w:pPr>
        <w:pStyle w:val="TextBody"/>
        <w:bidi w:val="0"/>
        <w:spacing w:before="0" w:after="0"/>
        <w:jc w:val="left"/>
        <w:rPr/>
      </w:pPr>
      <w:r>
        <w:rPr/>
      </w:r>
    </w:p>
    <w:p>
      <w:pPr>
        <w:pStyle w:val="TextBody"/>
        <w:bidi w:val="0"/>
        <w:spacing w:before="0" w:after="0"/>
        <w:ind w:left="0" w:right="0" w:hanging="0"/>
        <w:jc w:val="left"/>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In April 2023, the Company’s board of directors adopted the Cherry Hill Mortgage Investment Corporation 2023 Equity Incentive Plan (the “2023 Plan”). The 2023 Plan, which expires by its term in April 2033, permits the Company to provide equity-based compensation in the form of options to purchase shares of the Company’s common stock, stock awards, SARs, performance units, incentive awards and other equity-based awards (including LTIP-OP Units).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The maximum aggregate number of shares of common stock issuable pursuant to the 2023 Plan by the exercise of options and SARs, the grant of stock awards or other equity-based awards (including LTIP-OP Units) and the settlement of incentive awards and performance units is 2,830,000 shares. Other equity-based awards that are LTIP-OP Units will reduce the maximum aggregate number of shares of common stock issuable pursuant to the 2023 Plan on a one-for-one basis—that is, each such LTIP-OP Unit will be treated as an award of common stock; provided, however, for the avoidance of doubt, the conversion of any such LTIP-OP Units at a later date into a share of common stock will not count as an award of common stock under the 2023 Plan for purposes of determining the aggregate limit to avoid any double counting of the same award. In connection with stock splits, dividends, recapitalizations and certain other events, the Company’s board of directors will make equitable adjustments that it deems appropriate in the aggregate number of shares of common stock issuable pursuant to the 2023 Plan and the terms of outstanding awards.</w:t>
      </w:r>
    </w:p>
    <w:p>
      <w:pPr>
        <w:pStyle w:val="TextBody"/>
        <w:widowControl/>
        <w:bidi w:val="0"/>
        <w:spacing w:before="0" w:after="0"/>
        <w:ind w:left="0" w:right="0" w:hanging="0"/>
        <w:jc w:val="left"/>
        <w:rPr>
          <w:caps w:val="false"/>
          <w:smallCaps w:val="false"/>
          <w:color w:val="000000"/>
          <w:spacing w:val="0"/>
          <w:shd w:fill="FFFFFF" w:val="clear"/>
        </w:rPr>
      </w:pPr>
      <w:r>
        <w:rPr>
          <w:caps w:val="false"/>
          <w:smallCaps w:val="false"/>
          <w:color w:val="000000"/>
          <w:spacing w:val="0"/>
          <w:shd w:fill="FFFFFF" w:val="clear"/>
        </w:rPr>
        <w:t xml:space="preserve">  </w:t>
      </w:r>
    </w:p>
    <w:p>
      <w:pPr>
        <w:pStyle w:val="TextBody"/>
        <w:widowControl/>
        <w:bidi w:val="0"/>
        <w:spacing w:before="200" w:after="200"/>
        <w:jc w:val="center"/>
        <w:rPr>
          <w:rFonts w:ascii="Times New Roman" w:hAnsi="Times New Roman"/>
          <w:b w:val="false"/>
          <w:i w:val="false"/>
          <w:caps w:val="false"/>
          <w:smallCaps w:val="false"/>
          <w:color w:val="000000"/>
          <w:spacing w:val="0"/>
          <w:sz w:val="16"/>
          <w:shd w:fill="FFFFFF" w:val="clear"/>
        </w:rPr>
      </w:pPr>
      <w:r>
        <w:rPr>
          <w:rFonts w:ascii="Times New Roman" w:hAnsi="Times New Roman"/>
          <w:b w:val="false"/>
          <w:i w:val="false"/>
          <w:caps w:val="false"/>
          <w:smallCaps w:val="false"/>
          <w:color w:val="000000"/>
          <w:spacing w:val="0"/>
          <w:sz w:val="16"/>
          <w:shd w:fill="FFFFFF" w:val="clear"/>
        </w:rPr>
        <w:t>25</w:t>
      </w:r>
    </w:p>
    <w:p>
      <w:pPr>
        <w:pStyle w:val="HorizontalLine"/>
        <w:widowControl/>
        <w:bidi w:val="0"/>
        <w:spacing w:before="200" w:after="200"/>
        <w:jc w:val="left"/>
        <w:rPr/>
      </w:pPr>
      <w:r>
        <w:rPr/>
      </w:r>
    </w:p>
    <w:p>
      <w:pPr>
        <w:pStyle w:val="TextBody"/>
        <w:widowControl/>
        <w:bidi w:val="0"/>
        <w:spacing w:before="200" w:after="200"/>
        <w:jc w:val="left"/>
        <w:rPr/>
      </w:pPr>
      <w:hyperlink w:anchor="TABLEOFCONTENTS">
        <w:r>
          <w:rPr>
            <w:rStyle w:val="InternetLink"/>
            <w:rFonts w:ascii="Times New Roman" w:hAnsi="Times New Roman"/>
            <w:b w:val="false"/>
            <w:i/>
            <w:caps w:val="false"/>
            <w:smallCaps w:val="false"/>
            <w:color w:val="000000"/>
            <w:spacing w:val="0"/>
            <w:sz w:val="16"/>
            <w:shd w:fill="FFFFFF" w:val="clear"/>
          </w:rPr>
          <w:t>Table of Contents</w:t>
        </w:r>
      </w:hyperlink>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If any options or stock appreciation rights terminate, expire or are cancelled, forfeited, exchanged or surrendered without having been exercised or are paid in cash without delivery of common stock or if any stock awards, performance units or other equity-based awards (including LTIP-OP Units) are forfeited, the shares of common stock subject to such awards will again be available for purposes of the 2023 Plan. Shares of common stock tendered or withheld to satisfy the exercise price or for tax withholding are not available for future grants under the 2023 Plan. The Company has elected to account for forfeitures as they occur.</w:t>
      </w:r>
    </w:p>
    <w:p>
      <w:pPr>
        <w:pStyle w:val="TextBody"/>
        <w:bidi w:val="0"/>
        <w:spacing w:before="0" w:after="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LTIP-OP Units are a special class of partnership interest in the Operating Partnership. LTIP-OP Units may be issued to eligible participants for the performance of services to or for the benefit of the Operating Partnership. Initially, LTIP-OP Units do not have full parity with the Operating Partnership’s common units of limited partnership interest (“OP Units”) with respect to liquidating distributions; however, LTIP-OP Units receive, whether vested or not, the same per-unit distributions as OP Units and are allocated their pro-rata share of the Operating Partnership’s net income or loss. Under the terms of the LTIP-OP Units, the Operating Partnership will revalue its assets upon the occurrence of certain specified events, and any increase in the Operating Partnership’s valuation from the time of grant of the LTIP-OP Units until such event will be allocated first to the holders of LTIP-OP Units to equalize the capital accounts of such holders with the capital accounts of the holders of OP Units. Upon equalization of the capital accounts of the holders of LTIP-OP Units with the other holders of OP Units, the LTIP-OP Units will achieve full parity with OP Units for all purposes, including with respect to liquidating distributions. If such parity is reached, vested LTIP-OP Units may be converted into an equal number of OP Units at any time and, thereafter, enjoy all the rights of OP Units, including redemption rights.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An LTIP-OP Unit and a share of common stock of the Company have substantially the same economic characteristics in as much as they effectively share equally in the net income or loss of the Operating Partnership. Holders of LTIP-OP Units that have reached parity with OP Units have the right to redeem their LTIP-OP Units, subject to certain restrictions. The redemption is required to be satisfied in cash, or at the Company’s option, the Company may purchase the OP Units for common stock, calculated as follows: one share of the Company’s common stock, or cash equal to the fair value of a share of the Company’s common stock at the time of redemption, for each LTIP-OP Unit. When an LTIP-OP Unit holder redeems an OP Unit (as described above), non-controlling interest in the Operating Partnership is reduced and the Company’s equity is increased.</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LTIP-OP Units vest ratably over the first three annual anniversaries of the grant date. The fair value of each LTIP-OP Unit was determined based on the closing price of the Company’s common stock on the applicable grant date in all other cases.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 xml:space="preserve">On May 30, 2024, the Company granted certain eligible participants of the 2023 Plan other equity-based awards in the form of a total of 181,942 restricted stock units (“RSUs”) under the 2023 Plan. Each granted RSU represents the right to receive one share of common stock. Subject to the terms and conditions of an RSU award agreement and the 2023 Plan, each award of RSUs vests ratably over a three-year period beginning on the one-year anniversary of the grant date of the RSUs. To the extent the RSUs have not otherwise been forfeited or canceled prior to the applicable settlement date, each award recipient will be paid a cash payment on the applicable settlement date equal to the number of shares of common stock delivered multiplied by the total amount of dividend payments made in relation to one share of common stock with respect to record dates occurring during the period between the grant date and the applicable settlement date. On May 30, 2026, 60,041 of these RSU units vested and were settled with a grant of 60,041 units of common stock to the participants. Of the 60,041 shares of common stock granted, 20,253 shares of common stock were withheld by the Company to satisfy tax withholding requirements on the grant. On May 30, 2025, 60,041 of these RSU units vested and were settled with a grant of 60,041 units of common stock to the participants. Of the 60,041 shares of common stock granted, 21,391 shares of common stock were withheld by the Company to satisfy tax withholding requirements on the grant. </w:t>
      </w:r>
    </w:p>
    <w:p>
      <w:pPr>
        <w:pStyle w:val="TextBody"/>
        <w:bidi w:val="0"/>
        <w:spacing w:before="0" w:after="0"/>
        <w:jc w:val="both"/>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26</w:t>
      </w:r>
    </w:p>
    <w:p>
      <w:pPr>
        <w:pStyle w:val="HorizontalLine"/>
        <w:bidi w:val="0"/>
        <w:spacing w:before="200" w:after="200"/>
        <w:jc w:val="both"/>
        <w:rPr/>
      </w:pPr>
      <w:r>
        <w:rPr/>
      </w:r>
    </w:p>
    <w:p>
      <w:pPr>
        <w:pStyle w:val="TextBody"/>
        <w:bidi w:val="0"/>
        <w:spacing w:before="200" w:after="200"/>
        <w:jc w:val="both"/>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On February 10, 2026, the Company granted an individual participant of the 2023 Plan other equity-based awards in the form of a total of 24,414 RSUs under the 2023 Plan. Each granted RSU represents the right to receive one share of common stock. Subject to the terms and conditions of an RSU award agreement and the 2023 Plan, the award of RSUs vests on the one-year anniversary of the grant date of the RSUs. To the extent the RSUs have not otherwise been forfeited or canceled prior to the settlement date, the award recipient will be paid a cash payment on the applicable settlement date equal to the number of shares of common stock delivered multiplied by the total amount of dividend payments made in relation to one share of common stock with respect to the record dates occurring during the period between the grant date and the applicable settlement date.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On June 15, 2026, the Company granted an aggregate of 168,068 shares of restricted common stock to the Company’s independent directors (42,017 shares each) subject to the terms and conditions of a restricted stock award agreement and the 2023 Plan. Unless sooner vested in accordance with the terms of the restricted stock award agreement and the 2023 Plan, each independent director’s interest in the shares of common stock covered by the June 15, 2026 stock award become vested and nonforfeitable on the one-year anniversary of the grant date.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r>
    </w:p>
    <w:p>
      <w:pPr>
        <w:pStyle w:val="TextBody"/>
        <w:bidi w:val="0"/>
        <w:spacing w:before="0" w:after="0"/>
        <w:jc w:val="both"/>
        <w:rPr>
          <w:rFonts w:ascii="Times New Roman" w:hAnsi="Times New Roman"/>
          <w:b/>
          <w:i/>
          <w:caps w:val="false"/>
          <w:smallCaps w:val="false"/>
          <w:color w:val="000000"/>
          <w:sz w:val="20"/>
          <w:shd w:fill="FFFFFF" w:val="clear"/>
        </w:rPr>
      </w:pPr>
      <w:r>
        <w:rPr>
          <w:rFonts w:ascii="Times New Roman" w:hAnsi="Times New Roman"/>
          <w:b/>
          <w:i/>
          <w:caps w:val="false"/>
          <w:smallCaps w:val="false"/>
          <w:color w:val="000000"/>
          <w:sz w:val="20"/>
          <w:shd w:fill="FFFFFF" w:val="clear"/>
        </w:rPr>
        <w:t>Executive Compensation Plan</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On April 6, 2026, the board of directors, based upon the recommendation of its compensation committee, approved and adopted the Company’s 2026 Executive Compensation Plan (the “2026 Executive Plan”), effective January 1, 2026. The purpose of the 2026 Executive Plan is to attract, retain and motivate highly-qualified executives to achieve corporate and individual performance objectives and increase stockholder value on an annual and long-term basis. The 2026 Executive Plan provides for annual base salary for the participants as well as compensation opportunities tied to length of service to the Company, individual performance objectives, and Company performance objectives. The Company’s executive compensation program is comprised of short-term incentive compensation (the “STIP”) and long-term equity-based awards (the “LTIP”). The LTIP is comprised of time-based equity awards (the “Time-Based LTIP”) and performance-based equity awards (the “Performance-Based LTIP”). Under the STIP, participating executive officers are eligible to earn annual cash bonuses based on the achievement of specified short-term Company and individual goals. Awards under the STIP are expressed as a dollar amount that is a percentage of each participant’s base salary and are determined based on a combination of Company financial metrics and individual performance objectives, with performance evaluated against defined threshold, target, and maximum levels. Awards under the LTIP are expressed as a dollar amount that is then converted to equity based on a 50/50 split between the Time-Based LTIP and the Performance-Based LTIP, each further calculated into units based on the grant date fair market value. The Time-Based LTIPs vest ratably over a three-year period based solely on length of service. The Performance-Based LTIPs are further split into absolute TSR awards and relative TSR awards and may be earned contingent on defined performance goals tied to Company performance measured over a three-year period, with performance evaluated against specified threshold, target, and maximum levels.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Dividend equivalents on the Performance-Based LTIPs are not paid unless and until the awards are earned. Upon vesting, recipients are entitled to receive cumulative dividends as if the awards had been outstanding since the beginning of the performance period. Dividends or other distributions with respect to the Time-Based LTIPs are paid currently on vested and unvested time-based awards. LTIPs granted under the 2026 Executive Plan are subject to the terms of the 2023 Plan and the Company’s Clawback Policy.</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ind w:left="0" w:right="0" w:firstLine="72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Compensation expense for the STIP awards is accrued over the service period based on the estimated level of achievement of performance conditions. Such estimates are reassessed at each reporting date, and adjustments are recorded as necessary. A portion of the STIP award includes market conditions, the fair value of which is determined using a Monte Carlo simulation model. The model incorporates assumptions for expected volatility, dividend yield, risk-free interest rates, and the correlation of the Company’s performance relative to the peer group. Fair value is remeasured at each quarterly reporting period and adjustments to compensation expense are recorded as necessary.</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b w:val="false"/>
          <w:i w:val="false"/>
          <w:caps w:val="false"/>
          <w:smallCaps w:val="false"/>
          <w:color w:val="000000"/>
          <w:sz w:val="20"/>
          <w:shd w:fill="FFFFFF" w:val="clear"/>
        </w:rPr>
        <w:t>The Company accounts for share-based compensation in accordance with ASC 718, Compensation—Stock Compensation. The grant-date fair value of equity awards is recognized as compensation expense over the requisite service period.</w:t>
      </w:r>
      <w:r>
        <w:rPr>
          <w:rFonts w:ascii="Times New Roman" w:hAnsi="Times New Roman"/>
          <w:caps w:val="false"/>
          <w:smallCaps w:val="false"/>
          <w:color w:val="000000"/>
          <w:sz w:val="20"/>
          <w:shd w:fill="FFFFFF" w:val="clear"/>
        </w:rPr>
        <w:t xml:space="preserve"> </w:t>
      </w:r>
      <w:r>
        <w:rPr>
          <w:rFonts w:ascii="Times New Roman" w:hAnsi="Times New Roman"/>
          <w:b w:val="false"/>
          <w:i w:val="false"/>
          <w:caps w:val="false"/>
          <w:smallCaps w:val="false"/>
          <w:color w:val="000000"/>
          <w:sz w:val="20"/>
          <w:shd w:fill="FFFFFF" w:val="clear"/>
        </w:rPr>
        <w:t>The grant-date fair value of Performance-Based LTIPs which include market conditions is determined using a Monte Carlo simulation model. The model incorporates assumptions for expected volatility, dividend yield, risk-free interest rates, and the correlation of the Company’s stock returns with those of the peer group. The weighted-average grant-date fair value was $2.07 per unit for absolute TSR awards and $3.45 for relative TSR awards. Compensation expense is recognized over the requisite service period regardless of the ultimate level of TSR achieved, provided the requisite service condition is satisfied. Forfeitures are recognized as they occur.</w:t>
      </w:r>
      <w:r>
        <w:rPr>
          <w:rFonts w:ascii="Times New Roman" w:hAnsi="Times New Roman"/>
          <w:color w:val="000000"/>
          <w:sz w:val="20"/>
          <w:shd w:fill="FFFFFF" w:val="clear"/>
        </w:rPr>
        <w:t xml:space="preserve"> </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The following table sets forth the number of shares of the Company’s common stock as well as LTIP-OP Units and the values thereof (based on the closing prices on the respective dates of grant) granted under the 2013 Plan and the 2023 Plan. As noted above, effective as of June 15, 2023, (the date of the Company’s 2023 annual meeting of stockholders) the 2023 Plan replaced the 2013 Plan. No further awards will be made by the Company under the 2013 Plan, and currently outstanding awards granted under the 2013 Plan will remain effective in accordance with their terms. Except as otherwise indicated, all shares shown in the table below are fully vested.</w:t>
      </w:r>
    </w:p>
    <w:p>
      <w:pPr>
        <w:pStyle w:val="TextBody"/>
        <w:bidi w:val="0"/>
        <w:spacing w:before="0" w:after="0"/>
        <w:jc w:val="both"/>
        <w:rPr/>
      </w:pPr>
      <w:r>
        <w:rPr/>
      </w:r>
    </w:p>
    <w:p>
      <w:pPr>
        <w:pStyle w:val="TextBody"/>
        <w:bidi w:val="0"/>
        <w:spacing w:before="200" w:after="200"/>
        <w:jc w:val="center"/>
        <w:rPr>
          <w:rFonts w:ascii="Times New Roman" w:hAnsi="Times New Roman"/>
          <w:b w:val="false"/>
          <w:i w:val="false"/>
          <w:caps w:val="false"/>
          <w:smallCaps w:val="false"/>
          <w:color w:val="000000"/>
          <w:spacing w:val="0"/>
          <w:sz w:val="16"/>
          <w:shd w:fill="FFFFFF" w:val="clear"/>
        </w:rPr>
      </w:pPr>
      <w:r>
        <w:rPr>
          <w:rFonts w:ascii="Times New Roman" w:hAnsi="Times New Roman"/>
          <w:b w:val="false"/>
          <w:i w:val="false"/>
          <w:caps w:val="false"/>
          <w:smallCaps w:val="false"/>
          <w:color w:val="000000"/>
          <w:spacing w:val="0"/>
          <w:sz w:val="16"/>
          <w:shd w:fill="FFFFFF" w:val="clear"/>
        </w:rPr>
        <w:t>27</w:t>
      </w:r>
    </w:p>
    <w:p>
      <w:pPr>
        <w:pStyle w:val="HorizontalLine"/>
        <w:bidi w:val="0"/>
        <w:spacing w:before="200" w:after="200"/>
        <w:jc w:val="both"/>
        <w:rPr/>
      </w:pPr>
      <w:r>
        <w:rPr/>
      </w:r>
    </w:p>
    <w:p>
      <w:pPr>
        <w:pStyle w:val="TextBody"/>
        <w:bidi w:val="0"/>
        <w:spacing w:before="200" w:after="200"/>
        <w:jc w:val="both"/>
        <w:rPr/>
      </w:pPr>
      <w:hyperlink w:anchor="TABLEOFCONTENTS">
        <w:r>
          <w:rPr>
            <w:rStyle w:val="InternetLink"/>
            <w:rFonts w:ascii="Times New Roman" w:hAnsi="Times New Roman"/>
            <w:b w:val="false"/>
            <w:i/>
            <w:caps w:val="false"/>
            <w:smallCaps w:val="false"/>
            <w:color w:val="000000"/>
            <w:spacing w:val="0"/>
            <w:sz w:val="16"/>
            <w:shd w:fill="FFFFFF" w:val="clear"/>
          </w:rPr>
          <w:t>Table of Contents</w:t>
        </w:r>
      </w:hyperlink>
    </w:p>
    <w:p>
      <w:pPr>
        <w:pStyle w:val="TextBody"/>
        <w:bidi w:val="0"/>
        <w:spacing w:before="0" w:after="0"/>
        <w:jc w:val="left"/>
        <w:rPr/>
      </w:pPr>
      <w:r>
        <w:rPr/>
      </w:r>
    </w:p>
    <w:p>
      <w:pPr>
        <w:pStyle w:val="TextBody"/>
        <w:bidi w:val="0"/>
        <w:spacing w:before="0" w:after="0"/>
        <w:ind w:left="0" w:right="0" w:hanging="0"/>
        <w:jc w:val="center"/>
        <w:rPr>
          <w:rFonts w:ascii="Times New Roman" w:hAnsi="Times New Roman"/>
          <w:b/>
          <w:i w:val="false"/>
          <w:caps w:val="false"/>
          <w:smallCaps w:val="false"/>
          <w:color w:val="000000"/>
          <w:spacing w:val="0"/>
          <w:sz w:val="20"/>
          <w:shd w:fill="FFFFFF" w:val="clear"/>
        </w:rPr>
      </w:pPr>
      <w:r>
        <w:rPr>
          <w:rFonts w:ascii="Times New Roman" w:hAnsi="Times New Roman"/>
          <w:b/>
          <w:i w:val="false"/>
          <w:caps w:val="false"/>
          <w:smallCaps w:val="false"/>
          <w:color w:val="000000"/>
          <w:spacing w:val="0"/>
          <w:sz w:val="20"/>
          <w:shd w:fill="FFFFFF" w:val="clear"/>
        </w:rPr>
        <w:t>Equity Incentive Plan Information</w:t>
      </w:r>
    </w:p>
    <w:p>
      <w:pPr>
        <w:pStyle w:val="TextBody"/>
        <w:bidi w:val="0"/>
        <w:spacing w:before="0" w:after="0"/>
        <w:jc w:val="left"/>
        <w:rPr/>
      </w:pPr>
      <w:r>
        <w:rPr/>
      </w:r>
    </w:p>
    <w:p>
      <w:pPr>
        <w:pStyle w:val="TextBody"/>
        <w:bidi w:val="0"/>
        <w:spacing w:before="0" w:after="0"/>
        <w:ind w:left="0" w:right="0" w:hanging="0"/>
        <w:jc w:val="left"/>
        <w:rPr>
          <w:caps w:val="false"/>
          <w:smallCaps w:val="false"/>
          <w:color w:val="000000"/>
          <w:spacing w:val="0"/>
          <w:shd w:fill="FFFFFF" w:val="clear"/>
        </w:rPr>
      </w:pPr>
      <w:r>
        <w:rPr>
          <w:caps w:val="false"/>
          <w:smallCaps w:val="false"/>
          <w:color w:val="000000"/>
          <w:spacing w:val="0"/>
          <w:shd w:fill="FFFFFF" w:val="clear"/>
        </w:rPr>
        <w:t> </w:t>
      </w:r>
    </w:p>
    <w:tbl>
      <w:tblPr>
        <w:tblW w:w="13076" w:type="dxa"/>
        <w:jc w:val="left"/>
        <w:tblInd w:w="0" w:type="dxa"/>
        <w:shd w:fill="FFFFFF" w:val="clear"/>
        <w:tblLayout w:type="fixed"/>
        <w:tblCellMar>
          <w:top w:w="0" w:type="dxa"/>
          <w:left w:w="0" w:type="dxa"/>
          <w:bottom w:w="0" w:type="dxa"/>
          <w:right w:w="0" w:type="dxa"/>
        </w:tblCellMar>
      </w:tblPr>
      <w:tblGrid>
        <w:gridCol w:w="731"/>
        <w:gridCol w:w="240"/>
        <w:gridCol w:w="60"/>
        <w:gridCol w:w="755"/>
        <w:gridCol w:w="80"/>
        <w:gridCol w:w="60"/>
        <w:gridCol w:w="82"/>
        <w:gridCol w:w="808"/>
        <w:gridCol w:w="60"/>
        <w:gridCol w:w="60"/>
        <w:gridCol w:w="83"/>
        <w:gridCol w:w="822"/>
        <w:gridCol w:w="60"/>
        <w:gridCol w:w="60"/>
        <w:gridCol w:w="60"/>
        <w:gridCol w:w="755"/>
        <w:gridCol w:w="80"/>
        <w:gridCol w:w="200"/>
        <w:gridCol w:w="60"/>
        <w:gridCol w:w="88"/>
        <w:gridCol w:w="712"/>
        <w:gridCol w:w="60"/>
        <w:gridCol w:w="60"/>
        <w:gridCol w:w="73"/>
        <w:gridCol w:w="727"/>
        <w:gridCol w:w="60"/>
        <w:gridCol w:w="60"/>
        <w:gridCol w:w="60"/>
        <w:gridCol w:w="755"/>
        <w:gridCol w:w="80"/>
        <w:gridCol w:w="185"/>
        <w:gridCol w:w="60"/>
        <w:gridCol w:w="342"/>
        <w:gridCol w:w="458"/>
        <w:gridCol w:w="60"/>
        <w:gridCol w:w="60"/>
        <w:gridCol w:w="60"/>
        <w:gridCol w:w="695"/>
        <w:gridCol w:w="60"/>
        <w:gridCol w:w="60"/>
        <w:gridCol w:w="342"/>
        <w:gridCol w:w="458"/>
        <w:gridCol w:w="60"/>
        <w:gridCol w:w="60"/>
        <w:gridCol w:w="81"/>
        <w:gridCol w:w="1154"/>
        <w:gridCol w:w="80"/>
        <w:gridCol w:w="60"/>
        <w:gridCol w:w="205"/>
        <w:gridCol w:w="625"/>
        <w:gridCol w:w="60"/>
      </w:tblGrid>
      <w:tr>
        <w:trPr/>
        <w:tc>
          <w:tcPr>
            <w:tcW w:w="731" w:type="dxa"/>
            <w:tcBorders/>
            <w:shd w:fill="FFFFFF" w:val="clear"/>
            <w:vAlign w:val="bottom"/>
          </w:tcPr>
          <w:p>
            <w:pPr>
              <w:pStyle w:val="TableContents"/>
              <w:bidi w:val="0"/>
              <w:spacing w:before="0" w:after="283"/>
              <w:jc w:val="left"/>
              <w:rPr/>
            </w:pPr>
            <w:r>
              <w:rPr/>
              <w:t> </w:t>
            </w:r>
          </w:p>
        </w:tc>
        <w:tc>
          <w:tcPr>
            <w:tcW w:w="240" w:type="dxa"/>
            <w:tcBorders/>
            <w:shd w:fill="FFFFFF" w:val="clear"/>
            <w:vAlign w:val="bottom"/>
          </w:tcPr>
          <w:p>
            <w:pPr>
              <w:pStyle w:val="TableContents"/>
              <w:bidi w:val="0"/>
              <w:spacing w:before="0" w:after="283"/>
              <w:ind w:left="0" w:right="0" w:firstLine="180"/>
              <w:jc w:val="left"/>
              <w:rPr/>
            </w:pPr>
            <w:r>
              <w:rPr/>
              <w:t> </w:t>
            </w:r>
          </w:p>
        </w:tc>
        <w:tc>
          <w:tcPr>
            <w:tcW w:w="2870" w:type="dxa"/>
            <w:gridSpan w:val="10"/>
            <w:tcBorders>
              <w:bottom w:val="single" w:sz="12" w:space="0" w:color="000000"/>
            </w:tcBorders>
            <w:shd w:fill="FFFFFF" w:val="clear"/>
            <w:tcMar>
              <w:bottom w:w="28" w:type="dxa"/>
            </w:tcMar>
            <w:vAlign w:val="bottom"/>
          </w:tcPr>
          <w:p>
            <w:pPr>
              <w:pStyle w:val="TableContents"/>
              <w:bidi w:val="0"/>
              <w:spacing w:before="0" w:after="283"/>
              <w:jc w:val="center"/>
              <w:rPr/>
            </w:pPr>
            <w:r>
              <w:rPr/>
              <w:t xml:space="preserve">       </w:t>
            </w:r>
            <w:r>
              <w:rPr>
                <w:b/>
                <w:sz w:val="20"/>
              </w:rPr>
              <w:t>LTIP-OP Units</w:t>
            </w:r>
            <w:r>
              <w:rPr>
                <w:sz w:val="20"/>
              </w:rPr>
              <w:t xml:space="preserve">   </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2875" w:type="dxa"/>
            <w:gridSpan w:val="11"/>
            <w:tcBorders>
              <w:bottom w:val="single" w:sz="12" w:space="0" w:color="000000"/>
            </w:tcBorders>
            <w:shd w:fill="FFFFFF" w:val="clear"/>
            <w:tcMar>
              <w:bottom w:w="28" w:type="dxa"/>
            </w:tcMar>
            <w:vAlign w:val="bottom"/>
          </w:tcPr>
          <w:p>
            <w:pPr>
              <w:pStyle w:val="TableContents"/>
              <w:bidi w:val="0"/>
              <w:spacing w:before="0" w:after="283"/>
              <w:jc w:val="center"/>
              <w:rPr/>
            </w:pPr>
            <w:r>
              <w:rPr/>
              <w:t>       </w:t>
            </w:r>
            <w:r>
              <w:rPr>
                <w:caps w:val="false"/>
                <w:smallCaps w:val="false"/>
                <w:color w:val="000000"/>
                <w:shd w:fill="FFFFFF" w:val="clear"/>
              </w:rPr>
              <w:t xml:space="preserve"> </w:t>
            </w:r>
            <w:r>
              <w:rPr>
                <w:rFonts w:ascii="Times New Roman" w:hAnsi="Times New Roman"/>
                <w:b/>
                <w:i w:val="false"/>
                <w:caps w:val="false"/>
                <w:smallCaps w:val="false"/>
                <w:color w:val="000000"/>
                <w:sz w:val="20"/>
                <w:shd w:fill="FFFFFF" w:val="clear"/>
              </w:rPr>
              <w:t xml:space="preserve">Shares of Common Stock   </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center"/>
              <w:rPr/>
            </w:pPr>
            <w:r>
              <w:rPr/>
              <w:t> </w:t>
            </w:r>
          </w:p>
        </w:tc>
        <w:tc>
          <w:tcPr>
            <w:tcW w:w="3735" w:type="dxa"/>
            <w:gridSpan w:val="15"/>
            <w:tcBorders>
              <w:bottom w:val="single" w:sz="12" w:space="0" w:color="000000"/>
            </w:tcBorders>
            <w:shd w:fill="FFFFFF" w:val="clear"/>
            <w:tcMar>
              <w:bottom w:w="28" w:type="dxa"/>
            </w:tcMar>
            <w:vAlign w:val="bottom"/>
          </w:tcPr>
          <w:p>
            <w:pPr>
              <w:pStyle w:val="TableContents"/>
              <w:bidi w:val="0"/>
              <w:spacing w:before="0" w:after="283"/>
              <w:jc w:val="center"/>
              <w:rPr/>
            </w:pPr>
            <w:r>
              <w:rPr/>
              <w:t xml:space="preserve">      </w:t>
            </w:r>
            <w:r>
              <w:rPr>
                <w:b/>
                <w:sz w:val="20"/>
              </w:rPr>
              <w:t xml:space="preserve">Restricted Stock Units        </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235" w:type="dxa"/>
            <w:gridSpan w:val="2"/>
            <w:tcBorders/>
            <w:shd w:fill="FFFFFF" w:val="clear"/>
            <w:vAlign w:val="bottom"/>
          </w:tcPr>
          <w:p>
            <w:pPr>
              <w:pStyle w:val="TableContents"/>
              <w:bidi w:val="0"/>
              <w:spacing w:before="0" w:after="283"/>
              <w:jc w:val="left"/>
              <w:rPr/>
            </w:pPr>
            <w:r>
              <w:rPr/>
              <w:t> </w:t>
            </w:r>
          </w:p>
        </w:tc>
        <w:tc>
          <w:tcPr>
            <w:tcW w:w="8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830" w:type="dxa"/>
            <w:gridSpan w:val="2"/>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r>
      <w:tr>
        <w:trPr/>
        <w:tc>
          <w:tcPr>
            <w:tcW w:w="731" w:type="dxa"/>
            <w:tcBorders/>
            <w:shd w:fill="FFFFFF" w:val="clear"/>
            <w:vAlign w:val="bottom"/>
          </w:tcPr>
          <w:p>
            <w:pPr>
              <w:pStyle w:val="TableContents"/>
              <w:bidi w:val="0"/>
              <w:spacing w:before="0" w:after="283"/>
              <w:jc w:val="left"/>
              <w:rPr/>
            </w:pPr>
            <w:r>
              <w:rPr/>
              <w:t> </w:t>
            </w:r>
          </w:p>
        </w:tc>
        <w:tc>
          <w:tcPr>
            <w:tcW w:w="240" w:type="dxa"/>
            <w:tcBorders/>
            <w:shd w:fill="FFFFFF" w:val="clear"/>
            <w:vAlign w:val="bottom"/>
          </w:tcPr>
          <w:p>
            <w:pPr>
              <w:pStyle w:val="TableContents"/>
              <w:bidi w:val="0"/>
              <w:spacing w:before="0" w:after="283"/>
              <w:jc w:val="left"/>
              <w:rPr/>
            </w:pPr>
            <w:r>
              <w:rPr/>
              <w:t> </w:t>
            </w:r>
          </w:p>
        </w:tc>
        <w:tc>
          <w:tcPr>
            <w:tcW w:w="815" w:type="dxa"/>
            <w:gridSpan w:val="2"/>
            <w:tcBorders>
              <w:bottom w:val="single" w:sz="12" w:space="0" w:color="000000"/>
            </w:tcBorders>
            <w:shd w:fill="FFFFFF" w:val="clear"/>
            <w:tcMar>
              <w:bottom w:w="28" w:type="dxa"/>
            </w:tcMar>
            <w:vAlign w:val="bottom"/>
          </w:tcPr>
          <w:p>
            <w:pPr>
              <w:pStyle w:val="TableContents"/>
              <w:bidi w:val="0"/>
              <w:spacing w:before="0" w:after="0"/>
              <w:jc w:val="center"/>
              <w:rPr>
                <w:b/>
                <w:color w:val="000000"/>
                <w:sz w:val="20"/>
              </w:rPr>
            </w:pPr>
            <w:r>
              <w:rPr>
                <w:b/>
                <w:color w:val="000000"/>
                <w:sz w:val="20"/>
              </w:rPr>
              <w:t>Issued</w:t>
            </w:r>
          </w:p>
        </w:tc>
        <w:tc>
          <w:tcPr>
            <w:tcW w:w="8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890" w:type="dxa"/>
            <w:gridSpan w:val="2"/>
            <w:tcBorders>
              <w:bottom w:val="single" w:sz="12" w:space="0" w:color="000000"/>
            </w:tcBorders>
            <w:shd w:fill="FFFFFF" w:val="clear"/>
            <w:tcMar>
              <w:bottom w:w="28" w:type="dxa"/>
            </w:tcMar>
            <w:vAlign w:val="bottom"/>
          </w:tcPr>
          <w:p>
            <w:pPr>
              <w:pStyle w:val="TableContents"/>
              <w:bidi w:val="0"/>
              <w:spacing w:before="0" w:after="0"/>
              <w:jc w:val="center"/>
              <w:rPr>
                <w:b/>
                <w:color w:val="000000"/>
                <w:sz w:val="20"/>
              </w:rPr>
            </w:pPr>
            <w:r>
              <w:rPr>
                <w:b/>
                <w:color w:val="000000"/>
                <w:sz w:val="20"/>
              </w:rPr>
              <w:t>Forfeited/</w:t>
            </w:r>
          </w:p>
          <w:p>
            <w:pPr>
              <w:pStyle w:val="TableContents"/>
              <w:bidi w:val="0"/>
              <w:spacing w:before="0" w:after="0"/>
              <w:jc w:val="center"/>
              <w:rPr>
                <w:b/>
                <w:color w:val="000000"/>
                <w:sz w:val="20"/>
              </w:rPr>
            </w:pPr>
            <w:r>
              <w:rPr>
                <w:b/>
                <w:color w:val="000000"/>
                <w:sz w:val="20"/>
              </w:rPr>
              <w:t xml:space="preserve">Redeemed </w:t>
            </w:r>
            <w:r>
              <w:rPr>
                <w:b/>
                <w:color w:val="000000"/>
                <w:position w:val="7"/>
                <w:sz w:val="16"/>
                <w:sz w:val="20"/>
              </w:rPr>
              <w:t>(A)</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905" w:type="dxa"/>
            <w:gridSpan w:val="2"/>
            <w:tcBorders>
              <w:bottom w:val="single" w:sz="12" w:space="0" w:color="000000"/>
            </w:tcBorders>
            <w:shd w:fill="FFFFFF" w:val="clear"/>
            <w:tcMar>
              <w:bottom w:w="28" w:type="dxa"/>
            </w:tcMar>
            <w:vAlign w:val="bottom"/>
          </w:tcPr>
          <w:p>
            <w:pPr>
              <w:pStyle w:val="TableContents"/>
              <w:bidi w:val="0"/>
              <w:spacing w:before="0" w:after="0"/>
              <w:jc w:val="center"/>
              <w:rPr>
                <w:b/>
                <w:color w:val="000000"/>
                <w:sz w:val="20"/>
              </w:rPr>
            </w:pPr>
            <w:r>
              <w:rPr>
                <w:b/>
                <w:color w:val="000000"/>
                <w:sz w:val="20"/>
              </w:rPr>
              <w:t>Converted</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815" w:type="dxa"/>
            <w:gridSpan w:val="2"/>
            <w:tcBorders>
              <w:bottom w:val="single" w:sz="12" w:space="0" w:color="000000"/>
            </w:tcBorders>
            <w:shd w:fill="FFFFFF" w:val="clear"/>
            <w:tcMar>
              <w:bottom w:w="28" w:type="dxa"/>
            </w:tcMar>
            <w:vAlign w:val="bottom"/>
          </w:tcPr>
          <w:p>
            <w:pPr>
              <w:pStyle w:val="TableContents"/>
              <w:bidi w:val="0"/>
              <w:spacing w:before="0" w:after="0"/>
              <w:jc w:val="center"/>
              <w:rPr>
                <w:b/>
                <w:color w:val="000000"/>
                <w:sz w:val="20"/>
              </w:rPr>
            </w:pPr>
            <w:r>
              <w:rPr>
                <w:b/>
                <w:color w:val="000000"/>
                <w:sz w:val="20"/>
              </w:rPr>
              <w:t>Issued</w:t>
            </w:r>
          </w:p>
        </w:tc>
        <w:tc>
          <w:tcPr>
            <w:tcW w:w="80" w:type="dxa"/>
            <w:tcBorders/>
            <w:shd w:fill="FFFFFF" w:val="clear"/>
            <w:vAlign w:val="bottom"/>
          </w:tcPr>
          <w:p>
            <w:pPr>
              <w:pStyle w:val="TableContents"/>
              <w:bidi w:val="0"/>
              <w:spacing w:before="0" w:after="283"/>
              <w:jc w:val="left"/>
              <w:rPr/>
            </w:pPr>
            <w:r>
              <w:rPr/>
              <w:t> </w:t>
            </w:r>
          </w:p>
        </w:tc>
        <w:tc>
          <w:tcPr>
            <w:tcW w:w="20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800" w:type="dxa"/>
            <w:gridSpan w:val="2"/>
            <w:tcBorders>
              <w:bottom w:val="single" w:sz="12" w:space="0" w:color="000000"/>
            </w:tcBorders>
            <w:shd w:fill="FFFFFF" w:val="clear"/>
            <w:tcMar>
              <w:bottom w:w="28" w:type="dxa"/>
            </w:tcMar>
            <w:vAlign w:val="bottom"/>
          </w:tcPr>
          <w:p>
            <w:pPr>
              <w:pStyle w:val="TableContents"/>
              <w:bidi w:val="0"/>
              <w:spacing w:before="0" w:after="0"/>
              <w:jc w:val="center"/>
              <w:rPr>
                <w:b/>
                <w:color w:val="000000"/>
                <w:sz w:val="20"/>
              </w:rPr>
            </w:pPr>
            <w:r>
              <w:rPr>
                <w:b/>
                <w:color w:val="000000"/>
                <w:sz w:val="20"/>
              </w:rPr>
              <w:t xml:space="preserve">Forfeited </w:t>
            </w:r>
            <w:r>
              <w:rPr>
                <w:b/>
                <w:color w:val="000000"/>
                <w:position w:val="7"/>
                <w:sz w:val="16"/>
                <w:sz w:val="20"/>
              </w:rPr>
              <w:t>(A)</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center"/>
              <w:rPr/>
            </w:pPr>
            <w:r>
              <w:rPr/>
              <w:t> </w:t>
            </w:r>
          </w:p>
        </w:tc>
        <w:tc>
          <w:tcPr>
            <w:tcW w:w="800" w:type="dxa"/>
            <w:gridSpan w:val="2"/>
            <w:tcBorders>
              <w:bottom w:val="single" w:sz="12" w:space="0" w:color="000000"/>
            </w:tcBorders>
            <w:shd w:fill="FFFFFF" w:val="clear"/>
            <w:tcMar>
              <w:bottom w:w="28" w:type="dxa"/>
            </w:tcMar>
            <w:vAlign w:val="bottom"/>
          </w:tcPr>
          <w:p>
            <w:pPr>
              <w:pStyle w:val="TableContents"/>
              <w:bidi w:val="0"/>
              <w:spacing w:before="0" w:after="283"/>
              <w:jc w:val="center"/>
              <w:rPr>
                <w:sz w:val="18"/>
              </w:rPr>
            </w:pPr>
            <w:r>
              <w:rPr>
                <w:b/>
                <w:sz w:val="20"/>
              </w:rPr>
              <w:t xml:space="preserve">Withheld </w:t>
            </w:r>
            <w:r>
              <w:rPr>
                <w:b/>
                <w:position w:val="7"/>
                <w:sz w:val="16"/>
                <w:sz w:val="20"/>
              </w:rPr>
              <w:t>(B)</w:t>
            </w:r>
            <w:r>
              <w:rPr>
                <w:sz w:val="18"/>
              </w:rPr>
              <w:t xml:space="preserve"> </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center"/>
              <w:rPr/>
            </w:pPr>
            <w:r>
              <w:rPr/>
              <w:t> </w:t>
            </w:r>
          </w:p>
        </w:tc>
        <w:tc>
          <w:tcPr>
            <w:tcW w:w="815" w:type="dxa"/>
            <w:gridSpan w:val="2"/>
            <w:tcBorders>
              <w:bottom w:val="single" w:sz="12" w:space="0" w:color="000000"/>
            </w:tcBorders>
            <w:shd w:fill="FFFFFF" w:val="clear"/>
            <w:tcMar>
              <w:bottom w:w="28" w:type="dxa"/>
            </w:tcMar>
            <w:vAlign w:val="bottom"/>
          </w:tcPr>
          <w:p>
            <w:pPr>
              <w:pStyle w:val="TableContents"/>
              <w:bidi w:val="0"/>
              <w:spacing w:before="0" w:after="283"/>
              <w:jc w:val="center"/>
              <w:rPr>
                <w:b/>
                <w:sz w:val="20"/>
              </w:rPr>
            </w:pPr>
            <w:r>
              <w:rPr>
                <w:b/>
                <w:sz w:val="20"/>
              </w:rPr>
              <w:t xml:space="preserve">Issued </w:t>
            </w:r>
          </w:p>
        </w:tc>
        <w:tc>
          <w:tcPr>
            <w:tcW w:w="80" w:type="dxa"/>
            <w:tcBorders/>
            <w:shd w:fill="FFFFFF" w:val="clear"/>
            <w:vAlign w:val="bottom"/>
          </w:tcPr>
          <w:p>
            <w:pPr>
              <w:pStyle w:val="TableContents"/>
              <w:bidi w:val="0"/>
              <w:spacing w:before="0" w:after="283"/>
              <w:jc w:val="left"/>
              <w:rPr/>
            </w:pPr>
            <w:r>
              <w:rPr/>
              <w:t> </w:t>
            </w:r>
          </w:p>
        </w:tc>
        <w:tc>
          <w:tcPr>
            <w:tcW w:w="185" w:type="dxa"/>
            <w:tcBorders/>
            <w:shd w:fill="FFFFFF" w:val="clear"/>
            <w:vAlign w:val="bottom"/>
          </w:tcPr>
          <w:p>
            <w:pPr>
              <w:pStyle w:val="TableContents"/>
              <w:bidi w:val="0"/>
              <w:spacing w:before="0" w:after="283"/>
              <w:jc w:val="center"/>
              <w:rPr/>
            </w:pPr>
            <w:r>
              <w:rPr/>
              <w:t> </w:t>
            </w:r>
          </w:p>
        </w:tc>
        <w:tc>
          <w:tcPr>
            <w:tcW w:w="60" w:type="dxa"/>
            <w:tcBorders/>
            <w:shd w:fill="FFFFFF" w:val="clear"/>
            <w:vAlign w:val="bottom"/>
          </w:tcPr>
          <w:p>
            <w:pPr>
              <w:pStyle w:val="TableContents"/>
              <w:bidi w:val="0"/>
              <w:spacing w:before="0" w:after="283"/>
              <w:jc w:val="center"/>
              <w:rPr/>
            </w:pPr>
            <w:r>
              <w:rPr/>
              <w:t> </w:t>
            </w:r>
          </w:p>
        </w:tc>
        <w:tc>
          <w:tcPr>
            <w:tcW w:w="800" w:type="dxa"/>
            <w:gridSpan w:val="2"/>
            <w:tcBorders>
              <w:bottom w:val="single" w:sz="12" w:space="0" w:color="000000"/>
            </w:tcBorders>
            <w:shd w:fill="FFFFFF" w:val="clear"/>
            <w:tcMar>
              <w:bottom w:w="28" w:type="dxa"/>
            </w:tcMar>
            <w:vAlign w:val="bottom"/>
          </w:tcPr>
          <w:p>
            <w:pPr>
              <w:pStyle w:val="TableContents"/>
              <w:bidi w:val="0"/>
              <w:spacing w:before="0" w:after="283"/>
              <w:jc w:val="center"/>
              <w:rPr>
                <w:b/>
                <w:sz w:val="20"/>
              </w:rPr>
            </w:pPr>
            <w:r>
              <w:rPr>
                <w:b/>
                <w:sz w:val="20"/>
              </w:rPr>
              <w:t xml:space="preserve">Forfeited </w:t>
            </w:r>
            <w:r>
              <w:rPr>
                <w:b/>
                <w:position w:val="7"/>
                <w:sz w:val="16"/>
                <w:sz w:val="20"/>
              </w:rPr>
              <w:t>(A)</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center"/>
              <w:rPr/>
            </w:pPr>
            <w:r>
              <w:rPr/>
              <w:t> </w:t>
            </w:r>
          </w:p>
        </w:tc>
        <w:tc>
          <w:tcPr>
            <w:tcW w:w="755" w:type="dxa"/>
            <w:gridSpan w:val="2"/>
            <w:tcBorders>
              <w:bottom w:val="single" w:sz="12" w:space="0" w:color="000000"/>
            </w:tcBorders>
            <w:shd w:fill="FFFFFF" w:val="clear"/>
            <w:tcMar>
              <w:bottom w:w="28" w:type="dxa"/>
            </w:tcMar>
            <w:vAlign w:val="bottom"/>
          </w:tcPr>
          <w:p>
            <w:pPr>
              <w:pStyle w:val="TableContents"/>
              <w:bidi w:val="0"/>
              <w:spacing w:before="0" w:after="283"/>
              <w:jc w:val="center"/>
              <w:rPr>
                <w:b/>
                <w:sz w:val="20"/>
              </w:rPr>
            </w:pPr>
            <w:r>
              <w:rPr>
                <w:b/>
                <w:sz w:val="20"/>
              </w:rPr>
              <w:t xml:space="preserve">Settled </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center"/>
              <w:rPr/>
            </w:pPr>
            <w:r>
              <w:rPr/>
              <w:t> </w:t>
            </w:r>
          </w:p>
        </w:tc>
        <w:tc>
          <w:tcPr>
            <w:tcW w:w="800" w:type="dxa"/>
            <w:gridSpan w:val="2"/>
            <w:tcBorders>
              <w:bottom w:val="single" w:sz="12" w:space="0" w:color="000000"/>
            </w:tcBorders>
            <w:shd w:fill="FFFFFF" w:val="clear"/>
            <w:tcMar>
              <w:bottom w:w="28" w:type="dxa"/>
            </w:tcMar>
            <w:vAlign w:val="bottom"/>
          </w:tcPr>
          <w:p>
            <w:pPr>
              <w:pStyle w:val="TableContents"/>
              <w:bidi w:val="0"/>
              <w:spacing w:before="0" w:after="283"/>
              <w:jc w:val="center"/>
              <w:rPr>
                <w:b/>
                <w:sz w:val="20"/>
              </w:rPr>
            </w:pPr>
            <w:r>
              <w:rPr>
                <w:b/>
                <w:sz w:val="20"/>
              </w:rPr>
              <w:t xml:space="preserve">Withheld </w:t>
            </w:r>
            <w:r>
              <w:rPr>
                <w:b/>
                <w:position w:val="7"/>
                <w:sz w:val="16"/>
                <w:sz w:val="20"/>
              </w:rPr>
              <w:t>(B)</w:t>
            </w:r>
            <w:r>
              <w:rPr>
                <w:b/>
                <w:sz w:val="20"/>
              </w:rPr>
              <w:t xml:space="preserve"> </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235" w:type="dxa"/>
            <w:gridSpan w:val="2"/>
            <w:tcBorders>
              <w:bottom w:val="single" w:sz="12" w:space="0" w:color="000000"/>
            </w:tcBorders>
            <w:shd w:fill="FFFFFF" w:val="clear"/>
            <w:tcMar>
              <w:bottom w:w="28" w:type="dxa"/>
            </w:tcMar>
            <w:vAlign w:val="bottom"/>
          </w:tcPr>
          <w:p>
            <w:pPr>
              <w:pStyle w:val="TableContents"/>
              <w:bidi w:val="0"/>
              <w:spacing w:before="0" w:after="0"/>
              <w:jc w:val="center"/>
              <w:rPr>
                <w:b/>
                <w:sz w:val="20"/>
              </w:rPr>
            </w:pPr>
            <w:r>
              <w:rPr>
                <w:b/>
                <w:sz w:val="20"/>
              </w:rPr>
              <w:t>Number of Securities</w:t>
            </w:r>
          </w:p>
          <w:p>
            <w:pPr>
              <w:pStyle w:val="TableContents"/>
              <w:bidi w:val="0"/>
              <w:spacing w:before="0" w:after="0"/>
              <w:jc w:val="center"/>
              <w:rPr>
                <w:b/>
                <w:sz w:val="20"/>
              </w:rPr>
            </w:pPr>
            <w:r>
              <w:rPr>
                <w:b/>
                <w:sz w:val="20"/>
              </w:rPr>
              <w:t>Remaining Available For</w:t>
            </w:r>
          </w:p>
          <w:p>
            <w:pPr>
              <w:pStyle w:val="TableContents"/>
              <w:bidi w:val="0"/>
              <w:spacing w:before="0" w:after="0"/>
              <w:jc w:val="center"/>
              <w:rPr>
                <w:b/>
                <w:sz w:val="20"/>
              </w:rPr>
            </w:pPr>
            <w:r>
              <w:rPr>
                <w:b/>
                <w:sz w:val="20"/>
              </w:rPr>
              <w:t xml:space="preserve">Future Issuance Under </w:t>
            </w:r>
          </w:p>
          <w:p>
            <w:pPr>
              <w:pStyle w:val="TableContents"/>
              <w:bidi w:val="0"/>
              <w:spacing w:before="0" w:after="0"/>
              <w:jc w:val="center"/>
              <w:rPr>
                <w:b/>
                <w:sz w:val="20"/>
              </w:rPr>
            </w:pPr>
            <w:r>
              <w:rPr>
                <w:b/>
                <w:sz w:val="20"/>
              </w:rPr>
              <w:t xml:space="preserve">Equity Compensation Plans </w:t>
            </w:r>
          </w:p>
        </w:tc>
        <w:tc>
          <w:tcPr>
            <w:tcW w:w="8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830" w:type="dxa"/>
            <w:gridSpan w:val="2"/>
            <w:tcBorders>
              <w:bottom w:val="single" w:sz="12" w:space="0" w:color="000000"/>
            </w:tcBorders>
            <w:shd w:fill="FFFFFF" w:val="clear"/>
            <w:tcMar>
              <w:bottom w:w="28" w:type="dxa"/>
            </w:tcMar>
            <w:vAlign w:val="bottom"/>
          </w:tcPr>
          <w:p>
            <w:pPr>
              <w:pStyle w:val="TableContents"/>
              <w:bidi w:val="0"/>
              <w:spacing w:before="0" w:after="0"/>
              <w:jc w:val="center"/>
              <w:rPr>
                <w:b/>
                <w:sz w:val="20"/>
              </w:rPr>
            </w:pPr>
            <w:r>
              <w:rPr>
                <w:b/>
                <w:sz w:val="20"/>
              </w:rPr>
              <w:t xml:space="preserve">Weighted </w:t>
            </w:r>
          </w:p>
          <w:p>
            <w:pPr>
              <w:pStyle w:val="TableContents"/>
              <w:bidi w:val="0"/>
              <w:spacing w:before="0" w:after="0"/>
              <w:jc w:val="center"/>
              <w:rPr>
                <w:b/>
                <w:sz w:val="20"/>
              </w:rPr>
            </w:pPr>
            <w:r>
              <w:rPr>
                <w:b/>
                <w:sz w:val="20"/>
              </w:rPr>
              <w:t xml:space="preserve">Average </w:t>
            </w:r>
          </w:p>
          <w:p>
            <w:pPr>
              <w:pStyle w:val="TableContents"/>
              <w:bidi w:val="0"/>
              <w:spacing w:before="0" w:after="0"/>
              <w:jc w:val="center"/>
              <w:rPr>
                <w:b/>
                <w:sz w:val="20"/>
              </w:rPr>
            </w:pPr>
            <w:r>
              <w:rPr>
                <w:b/>
                <w:sz w:val="20"/>
              </w:rPr>
              <w:t>Issuance</w:t>
            </w:r>
          </w:p>
          <w:p>
            <w:pPr>
              <w:pStyle w:val="TableContents"/>
              <w:bidi w:val="0"/>
              <w:spacing w:before="0" w:after="0"/>
              <w:jc w:val="center"/>
              <w:rPr>
                <w:b/>
                <w:sz w:val="20"/>
              </w:rPr>
            </w:pPr>
            <w:r>
              <w:rPr>
                <w:b/>
                <w:sz w:val="20"/>
              </w:rPr>
              <w:t>Price</w:t>
            </w:r>
          </w:p>
        </w:tc>
        <w:tc>
          <w:tcPr>
            <w:tcW w:w="60" w:type="dxa"/>
            <w:tcBorders/>
            <w:shd w:fill="FFFFFF" w:val="clear"/>
            <w:vAlign w:val="bottom"/>
          </w:tcPr>
          <w:p>
            <w:pPr>
              <w:pStyle w:val="TableContents"/>
              <w:bidi w:val="0"/>
              <w:spacing w:before="0" w:after="283"/>
              <w:jc w:val="left"/>
              <w:rPr/>
            </w:pPr>
            <w:r>
              <w:rPr/>
              <w:t> </w:t>
            </w:r>
          </w:p>
        </w:tc>
      </w:tr>
      <w:tr>
        <w:trPr/>
        <w:tc>
          <w:tcPr>
            <w:tcW w:w="731" w:type="dxa"/>
            <w:tcBorders/>
            <w:shd w:fill="CCEEFF" w:val="clear"/>
            <w:vAlign w:val="bottom"/>
          </w:tcPr>
          <w:p>
            <w:pPr>
              <w:pStyle w:val="TableContents"/>
              <w:bidi w:val="0"/>
              <w:spacing w:before="0" w:after="0"/>
              <w:ind w:left="144" w:right="0" w:hanging="144"/>
              <w:jc w:val="left"/>
              <w:rPr>
                <w:b/>
                <w:color w:val="000000"/>
                <w:sz w:val="20"/>
              </w:rPr>
            </w:pPr>
            <w:r>
              <w:rPr>
                <w:b/>
                <w:color w:val="000000"/>
                <w:sz w:val="20"/>
              </w:rPr>
              <w:t>December 31, 2024</w:t>
            </w:r>
          </w:p>
        </w:tc>
        <w:tc>
          <w:tcPr>
            <w:tcW w:w="24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color w:val="000000"/>
                <w:sz w:val="20"/>
              </w:rPr>
            </w:pPr>
            <w:r>
              <w:rPr>
                <w:color w:val="000000"/>
                <w:sz w:val="20"/>
              </w:rPr>
              <w:t>(663,492</w:t>
            </w:r>
          </w:p>
        </w:tc>
        <w:tc>
          <w:tcPr>
            <w:tcW w:w="80" w:type="dxa"/>
            <w:tcBorders/>
            <w:shd w:fill="CCEEFF" w:val="clear"/>
            <w:vAlign w:val="bottom"/>
          </w:tcPr>
          <w:p>
            <w:pPr>
              <w:pStyle w:val="TableContents"/>
              <w:bidi w:val="0"/>
              <w:spacing w:before="0" w:after="0"/>
              <w:jc w:val="left"/>
              <w:rPr>
                <w:color w:val="000000"/>
                <w:sz w:val="20"/>
              </w:rPr>
            </w:pPr>
            <w:r>
              <w:rPr>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82" w:type="dxa"/>
            <w:tcBorders/>
            <w:shd w:fill="CCEEFF" w:val="clear"/>
            <w:vAlign w:val="bottom"/>
          </w:tcPr>
          <w:p>
            <w:pPr>
              <w:pStyle w:val="TableContents"/>
              <w:bidi w:val="0"/>
              <w:spacing w:before="0" w:after="283"/>
              <w:jc w:val="left"/>
              <w:rPr/>
            </w:pPr>
            <w:r>
              <w:rPr/>
              <w:t> </w:t>
            </w:r>
          </w:p>
        </w:tc>
        <w:tc>
          <w:tcPr>
            <w:tcW w:w="808" w:type="dxa"/>
            <w:tcBorders/>
            <w:shd w:fill="CCEEFF" w:val="clear"/>
            <w:vAlign w:val="bottom"/>
          </w:tcPr>
          <w:p>
            <w:pPr>
              <w:pStyle w:val="TableContents"/>
              <w:bidi w:val="0"/>
              <w:spacing w:before="0" w:after="0"/>
              <w:jc w:val="right"/>
              <w:rPr>
                <w:color w:val="000000"/>
                <w:sz w:val="20"/>
              </w:rPr>
            </w:pPr>
            <w:r>
              <w:rPr>
                <w:color w:val="000000"/>
                <w:sz w:val="20"/>
              </w:rPr>
              <w:t>8,492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83" w:type="dxa"/>
            <w:tcBorders/>
            <w:shd w:fill="CCEEFF" w:val="clear"/>
            <w:vAlign w:val="bottom"/>
          </w:tcPr>
          <w:p>
            <w:pPr>
              <w:pStyle w:val="TableContents"/>
              <w:bidi w:val="0"/>
              <w:spacing w:before="0" w:after="283"/>
              <w:jc w:val="left"/>
              <w:rPr/>
            </w:pPr>
            <w:r>
              <w:rPr/>
              <w:t> </w:t>
            </w:r>
          </w:p>
        </w:tc>
        <w:tc>
          <w:tcPr>
            <w:tcW w:w="822" w:type="dxa"/>
            <w:tcBorders/>
            <w:shd w:fill="CCEEFF" w:val="clear"/>
            <w:vAlign w:val="bottom"/>
          </w:tcPr>
          <w:p>
            <w:pPr>
              <w:pStyle w:val="TableContents"/>
              <w:bidi w:val="0"/>
              <w:spacing w:before="0" w:after="0"/>
              <w:jc w:val="right"/>
              <w:rPr>
                <w:color w:val="000000"/>
                <w:sz w:val="20"/>
              </w:rPr>
            </w:pPr>
            <w:r>
              <w:rPr>
                <w:color w:val="000000"/>
                <w:sz w:val="20"/>
              </w:rPr>
              <w:t>44,795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color w:val="000000"/>
                <w:sz w:val="20"/>
              </w:rPr>
            </w:pPr>
            <w:r>
              <w:rPr>
                <w:color w:val="000000"/>
                <w:sz w:val="20"/>
              </w:rPr>
              <w:t>(283,672</w:t>
            </w:r>
          </w:p>
        </w:tc>
        <w:tc>
          <w:tcPr>
            <w:tcW w:w="80" w:type="dxa"/>
            <w:tcBorders/>
            <w:shd w:fill="CCEEFF" w:val="clear"/>
            <w:vAlign w:val="bottom"/>
          </w:tcPr>
          <w:p>
            <w:pPr>
              <w:pStyle w:val="TableContents"/>
              <w:bidi w:val="0"/>
              <w:spacing w:before="0" w:after="0"/>
              <w:jc w:val="left"/>
              <w:rPr>
                <w:color w:val="000000"/>
                <w:sz w:val="20"/>
              </w:rPr>
            </w:pPr>
            <w:r>
              <w:rPr>
                <w:color w:val="000000"/>
                <w:sz w:val="20"/>
              </w:rPr>
              <w:t>)</w:t>
            </w:r>
          </w:p>
        </w:tc>
        <w:tc>
          <w:tcPr>
            <w:tcW w:w="2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right"/>
              <w:rPr/>
            </w:pPr>
            <w:r>
              <w:rPr/>
              <w:t> </w:t>
            </w:r>
          </w:p>
        </w:tc>
        <w:tc>
          <w:tcPr>
            <w:tcW w:w="88" w:type="dxa"/>
            <w:tcBorders/>
            <w:shd w:fill="CCEEFF" w:val="clear"/>
            <w:vAlign w:val="bottom"/>
          </w:tcPr>
          <w:p>
            <w:pPr>
              <w:pStyle w:val="TableContents"/>
              <w:bidi w:val="0"/>
              <w:spacing w:before="0" w:after="283"/>
              <w:jc w:val="left"/>
              <w:rPr/>
            </w:pPr>
            <w:r>
              <w:rPr/>
              <w:t> </w:t>
            </w:r>
          </w:p>
        </w:tc>
        <w:tc>
          <w:tcPr>
            <w:tcW w:w="712" w:type="dxa"/>
            <w:tcBorders/>
            <w:shd w:fill="CCEEFF" w:val="clear"/>
            <w:vAlign w:val="bottom"/>
          </w:tcPr>
          <w:p>
            <w:pPr>
              <w:pStyle w:val="TableContents"/>
              <w:bidi w:val="0"/>
              <w:spacing w:before="0" w:after="0"/>
              <w:jc w:val="right"/>
              <w:rPr>
                <w:color w:val="000000"/>
                <w:sz w:val="20"/>
              </w:rPr>
            </w:pPr>
            <w:r>
              <w:rPr>
                <w:color w:val="000000"/>
                <w:sz w:val="20"/>
              </w:rPr>
              <w:t>3,155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73" w:type="dxa"/>
            <w:tcBorders/>
            <w:shd w:fill="CCEEFF" w:val="clear"/>
            <w:vAlign w:val="bottom"/>
          </w:tcPr>
          <w:p>
            <w:pPr>
              <w:pStyle w:val="TableContents"/>
              <w:bidi w:val="0"/>
              <w:spacing w:before="0" w:after="283"/>
              <w:jc w:val="left"/>
              <w:rPr/>
            </w:pPr>
            <w:r>
              <w:rPr/>
              <w:t> </w:t>
            </w:r>
          </w:p>
        </w:tc>
        <w:tc>
          <w:tcPr>
            <w:tcW w:w="727" w:type="dxa"/>
            <w:tcBorders/>
            <w:shd w:fill="CCEEFF" w:val="clear"/>
            <w:vAlign w:val="bottom"/>
          </w:tcPr>
          <w:p>
            <w:pPr>
              <w:pStyle w:val="TableContents"/>
              <w:bidi w:val="0"/>
              <w:spacing w:before="0" w:after="283"/>
              <w:jc w:val="right"/>
              <w:rPr>
                <w:sz w:val="20"/>
              </w:rPr>
            </w:pPr>
            <w:r>
              <w:rPr>
                <w:sz w:val="20"/>
              </w:rPr>
              <w:t>3,229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sz w:val="20"/>
              </w:rPr>
            </w:pPr>
            <w:r>
              <w:rPr>
                <w:sz w:val="20"/>
              </w:rPr>
              <w:t>(181,942</w:t>
            </w:r>
          </w:p>
        </w:tc>
        <w:tc>
          <w:tcPr>
            <w:tcW w:w="80" w:type="dxa"/>
            <w:tcBorders/>
            <w:shd w:fill="CCEEFF" w:val="clear"/>
            <w:vAlign w:val="bottom"/>
          </w:tcPr>
          <w:p>
            <w:pPr>
              <w:pStyle w:val="TableContents"/>
              <w:bidi w:val="0"/>
              <w:spacing w:before="0" w:after="283"/>
              <w:jc w:val="left"/>
              <w:rPr>
                <w:sz w:val="20"/>
              </w:rPr>
            </w:pPr>
            <w:r>
              <w:rPr>
                <w:sz w:val="20"/>
              </w:rPr>
              <w:t>)</w:t>
            </w:r>
          </w:p>
        </w:tc>
        <w:tc>
          <w:tcPr>
            <w:tcW w:w="18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right"/>
              <w:rPr/>
            </w:pPr>
            <w:r>
              <w:rPr/>
              <w:t> </w:t>
            </w:r>
          </w:p>
        </w:tc>
        <w:tc>
          <w:tcPr>
            <w:tcW w:w="342" w:type="dxa"/>
            <w:tcBorders/>
            <w:shd w:fill="CCEEFF" w:val="clear"/>
            <w:vAlign w:val="bottom"/>
          </w:tcPr>
          <w:p>
            <w:pPr>
              <w:pStyle w:val="TableContents"/>
              <w:bidi w:val="0"/>
              <w:spacing w:before="0" w:after="283"/>
              <w:jc w:val="left"/>
              <w:rPr/>
            </w:pPr>
            <w:r>
              <w:rPr/>
              <w:t> </w:t>
            </w:r>
          </w:p>
        </w:tc>
        <w:tc>
          <w:tcPr>
            <w:tcW w:w="458" w:type="dxa"/>
            <w:tcBorders/>
            <w:shd w:fill="CCEEFF" w:val="clear"/>
            <w:vAlign w:val="bottom"/>
          </w:tcPr>
          <w:p>
            <w:pPr>
              <w:pStyle w:val="TableContents"/>
              <w:bidi w:val="0"/>
              <w:spacing w:before="0" w:after="283"/>
              <w:jc w:val="right"/>
              <w:rPr>
                <w:sz w:val="20"/>
              </w:rPr>
            </w:pPr>
            <w:r>
              <w:rPr>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sz w:val="20"/>
              </w:rPr>
            </w:pPr>
            <w:r>
              <w:rPr>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42" w:type="dxa"/>
            <w:tcBorders/>
            <w:shd w:fill="CCEEFF" w:val="clear"/>
            <w:vAlign w:val="bottom"/>
          </w:tcPr>
          <w:p>
            <w:pPr>
              <w:pStyle w:val="TableContents"/>
              <w:bidi w:val="0"/>
              <w:spacing w:before="0" w:after="283"/>
              <w:jc w:val="left"/>
              <w:rPr/>
            </w:pPr>
            <w:r>
              <w:rPr/>
              <w:t> </w:t>
            </w:r>
          </w:p>
        </w:tc>
        <w:tc>
          <w:tcPr>
            <w:tcW w:w="458" w:type="dxa"/>
            <w:tcBorders/>
            <w:shd w:fill="CCEEFF" w:val="clear"/>
            <w:vAlign w:val="bottom"/>
          </w:tcPr>
          <w:p>
            <w:pPr>
              <w:pStyle w:val="TableContents"/>
              <w:bidi w:val="0"/>
              <w:spacing w:before="0" w:after="283"/>
              <w:jc w:val="right"/>
              <w:rPr>
                <w:sz w:val="20"/>
              </w:rPr>
            </w:pPr>
            <w:r>
              <w:rPr>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81" w:type="dxa"/>
            <w:tcBorders/>
            <w:shd w:fill="CCEEFF" w:val="clear"/>
            <w:vAlign w:val="bottom"/>
          </w:tcPr>
          <w:p>
            <w:pPr>
              <w:pStyle w:val="TableContents"/>
              <w:bidi w:val="0"/>
              <w:spacing w:before="0" w:after="283"/>
              <w:jc w:val="left"/>
              <w:rPr/>
            </w:pPr>
            <w:r>
              <w:rPr/>
              <w:t> </w:t>
            </w:r>
          </w:p>
        </w:tc>
        <w:tc>
          <w:tcPr>
            <w:tcW w:w="1154" w:type="dxa"/>
            <w:tcBorders/>
            <w:shd w:fill="CCEEFF" w:val="clear"/>
            <w:vAlign w:val="bottom"/>
          </w:tcPr>
          <w:p>
            <w:pPr>
              <w:pStyle w:val="TableContents"/>
              <w:bidi w:val="0"/>
              <w:spacing w:before="0" w:after="0"/>
              <w:jc w:val="right"/>
              <w:rPr>
                <w:color w:val="000000"/>
                <w:sz w:val="20"/>
              </w:rPr>
            </w:pPr>
            <w:r>
              <w:rPr>
                <w:color w:val="000000"/>
                <w:sz w:val="20"/>
              </w:rPr>
              <w:t>2,434,072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0" w:type="dxa"/>
            <w:gridSpan w:val="2"/>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731" w:type="dxa"/>
            <w:tcBorders/>
            <w:shd w:fill="FFFFFF" w:val="clear"/>
            <w:vAlign w:val="bottom"/>
          </w:tcPr>
          <w:p>
            <w:pPr>
              <w:pStyle w:val="TableContents"/>
              <w:bidi w:val="0"/>
              <w:spacing w:before="0" w:after="0"/>
              <w:ind w:left="360" w:right="0" w:hanging="180"/>
              <w:jc w:val="left"/>
              <w:rPr>
                <w:color w:val="000000"/>
                <w:sz w:val="20"/>
              </w:rPr>
            </w:pPr>
            <w:r>
              <w:rPr>
                <w:color w:val="000000"/>
                <w:sz w:val="20"/>
              </w:rPr>
              <w:t>Number of securities issued or to be issued upon exercise</w:t>
            </w:r>
          </w:p>
        </w:tc>
        <w:tc>
          <w:tcPr>
            <w:tcW w:w="240" w:type="dxa"/>
            <w:tcBorders/>
            <w:shd w:fill="FFFFFF" w:val="clear"/>
            <w:vAlign w:val="bottom"/>
          </w:tcPr>
          <w:p>
            <w:pPr>
              <w:pStyle w:val="TableContents"/>
              <w:bidi w:val="0"/>
              <w:spacing w:before="0" w:after="283"/>
              <w:jc w:val="right"/>
              <w:rPr/>
            </w:pPr>
            <w:r>
              <w:rPr/>
              <w:t> </w:t>
            </w:r>
          </w:p>
        </w:tc>
        <w:tc>
          <w:tcPr>
            <w:tcW w:w="60" w:type="dxa"/>
            <w:tcBorders>
              <w:bottom w:val="single" w:sz="12" w:space="0" w:color="000000"/>
            </w:tcBorders>
            <w:shd w:fill="FFFFFF" w:val="clear"/>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bottom"/>
          </w:tcPr>
          <w:p>
            <w:pPr>
              <w:pStyle w:val="TableContents"/>
              <w:bidi w:val="0"/>
              <w:spacing w:before="0" w:after="0"/>
              <w:jc w:val="right"/>
              <w:rPr>
                <w:color w:val="000000"/>
                <w:sz w:val="20"/>
              </w:rPr>
            </w:pPr>
            <w:r>
              <w:rPr>
                <w:color w:val="000000"/>
                <w:sz w:val="20"/>
              </w:rPr>
              <w:t>-</w:t>
            </w:r>
          </w:p>
        </w:tc>
        <w:tc>
          <w:tcPr>
            <w:tcW w:w="8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right"/>
              <w:rPr/>
            </w:pPr>
            <w:r>
              <w:rPr/>
              <w:t> </w:t>
            </w:r>
          </w:p>
        </w:tc>
        <w:tc>
          <w:tcPr>
            <w:tcW w:w="82" w:type="dxa"/>
            <w:tcBorders>
              <w:bottom w:val="single" w:sz="12" w:space="0" w:color="000000"/>
            </w:tcBorders>
            <w:shd w:fill="FFFFFF" w:val="clear"/>
            <w:tcMar>
              <w:bottom w:w="28" w:type="dxa"/>
            </w:tcMar>
            <w:vAlign w:val="bottom"/>
          </w:tcPr>
          <w:p>
            <w:pPr>
              <w:pStyle w:val="TableContents"/>
              <w:bidi w:val="0"/>
              <w:spacing w:before="0" w:after="283"/>
              <w:jc w:val="left"/>
              <w:rPr/>
            </w:pPr>
            <w:r>
              <w:rPr/>
              <w:t> </w:t>
            </w:r>
          </w:p>
        </w:tc>
        <w:tc>
          <w:tcPr>
            <w:tcW w:w="808" w:type="dxa"/>
            <w:tcBorders>
              <w:bottom w:val="single" w:sz="12" w:space="0" w:color="000000"/>
            </w:tcBorders>
            <w:shd w:fill="FFFFFF" w:val="clear"/>
            <w:tcMar>
              <w:bottom w:w="28" w:type="dxa"/>
            </w:tcMar>
            <w:vAlign w:val="bottom"/>
          </w:tcPr>
          <w:p>
            <w:pPr>
              <w:pStyle w:val="TableContents"/>
              <w:bidi w:val="0"/>
              <w:spacing w:before="0" w:after="0"/>
              <w:jc w:val="right"/>
              <w:rPr>
                <w:color w:val="000000"/>
                <w:sz w:val="20"/>
              </w:rPr>
            </w:pPr>
            <w:r>
              <w:rPr>
                <w:color w:val="000000"/>
                <w:sz w:val="20"/>
              </w:rPr>
              <w:t>-</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right"/>
              <w:rPr/>
            </w:pPr>
            <w:r>
              <w:rPr/>
              <w:t> </w:t>
            </w:r>
          </w:p>
        </w:tc>
        <w:tc>
          <w:tcPr>
            <w:tcW w:w="83" w:type="dxa"/>
            <w:tcBorders>
              <w:bottom w:val="single" w:sz="12" w:space="0" w:color="000000"/>
            </w:tcBorders>
            <w:shd w:fill="FFFFFF" w:val="clear"/>
            <w:tcMar>
              <w:bottom w:w="28" w:type="dxa"/>
            </w:tcMar>
            <w:vAlign w:val="bottom"/>
          </w:tcPr>
          <w:p>
            <w:pPr>
              <w:pStyle w:val="TableContents"/>
              <w:bidi w:val="0"/>
              <w:spacing w:before="0" w:after="283"/>
              <w:jc w:val="left"/>
              <w:rPr/>
            </w:pPr>
            <w:r>
              <w:rPr/>
              <w:t> </w:t>
            </w:r>
          </w:p>
        </w:tc>
        <w:tc>
          <w:tcPr>
            <w:tcW w:w="822" w:type="dxa"/>
            <w:tcBorders>
              <w:bottom w:val="single" w:sz="12" w:space="0" w:color="000000"/>
            </w:tcBorders>
            <w:shd w:fill="FFFFFF" w:val="clear"/>
            <w:tcMar>
              <w:bottom w:w="28" w:type="dxa"/>
            </w:tcMar>
            <w:vAlign w:val="bottom"/>
          </w:tcPr>
          <w:p>
            <w:pPr>
              <w:pStyle w:val="TableContents"/>
              <w:bidi w:val="0"/>
              <w:spacing w:before="0" w:after="0"/>
              <w:jc w:val="right"/>
              <w:rPr>
                <w:color w:val="000000"/>
                <w:sz w:val="20"/>
              </w:rPr>
            </w:pPr>
            <w:r>
              <w:rPr>
                <w:color w:val="000000"/>
                <w:sz w:val="20"/>
              </w:rPr>
              <w:t>-</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right"/>
              <w:rPr/>
            </w:pPr>
            <w:r>
              <w:rPr/>
              <w:t> </w:t>
            </w:r>
          </w:p>
        </w:tc>
        <w:tc>
          <w:tcPr>
            <w:tcW w:w="60" w:type="dxa"/>
            <w:tcBorders>
              <w:bottom w:val="single" w:sz="12" w:space="0" w:color="000000"/>
            </w:tcBorders>
            <w:shd w:fill="FFFFFF" w:val="clear"/>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bottom"/>
          </w:tcPr>
          <w:p>
            <w:pPr>
              <w:pStyle w:val="TableContents"/>
              <w:bidi w:val="0"/>
              <w:spacing w:before="0" w:after="0"/>
              <w:jc w:val="right"/>
              <w:rPr>
                <w:color w:val="000000"/>
                <w:sz w:val="20"/>
              </w:rPr>
            </w:pPr>
            <w:r>
              <w:rPr>
                <w:color w:val="000000"/>
                <w:sz w:val="20"/>
              </w:rPr>
              <w:t>-</w:t>
            </w:r>
          </w:p>
        </w:tc>
        <w:tc>
          <w:tcPr>
            <w:tcW w:w="80" w:type="dxa"/>
            <w:tcBorders/>
            <w:shd w:fill="FFFFFF" w:val="clear"/>
            <w:vAlign w:val="bottom"/>
          </w:tcPr>
          <w:p>
            <w:pPr>
              <w:pStyle w:val="TableContents"/>
              <w:bidi w:val="0"/>
              <w:spacing w:before="0" w:after="283"/>
              <w:jc w:val="left"/>
              <w:rPr/>
            </w:pPr>
            <w:r>
              <w:rPr/>
              <w:t> </w:t>
            </w:r>
          </w:p>
        </w:tc>
        <w:tc>
          <w:tcPr>
            <w:tcW w:w="200" w:type="dxa"/>
            <w:tcBorders/>
            <w:shd w:fill="FFFFFF" w:val="clear"/>
            <w:vAlign w:val="bottom"/>
          </w:tcPr>
          <w:p>
            <w:pPr>
              <w:pStyle w:val="TableContents"/>
              <w:bidi w:val="0"/>
              <w:spacing w:before="0" w:after="283"/>
              <w:jc w:val="right"/>
              <w:rPr/>
            </w:pPr>
            <w:r>
              <w:rPr/>
              <w:t> </w:t>
            </w:r>
          </w:p>
        </w:tc>
        <w:tc>
          <w:tcPr>
            <w:tcW w:w="60" w:type="dxa"/>
            <w:tcBorders/>
            <w:shd w:fill="FFFFFF" w:val="clear"/>
            <w:vAlign w:val="bottom"/>
          </w:tcPr>
          <w:p>
            <w:pPr>
              <w:pStyle w:val="TableContents"/>
              <w:bidi w:val="0"/>
              <w:spacing w:before="0" w:after="283"/>
              <w:jc w:val="right"/>
              <w:rPr/>
            </w:pPr>
            <w:r>
              <w:rPr/>
              <w:t> </w:t>
            </w:r>
          </w:p>
        </w:tc>
        <w:tc>
          <w:tcPr>
            <w:tcW w:w="88" w:type="dxa"/>
            <w:tcBorders>
              <w:bottom w:val="single" w:sz="12" w:space="0" w:color="000000"/>
            </w:tcBorders>
            <w:shd w:fill="FFFFFF" w:val="clear"/>
            <w:tcMar>
              <w:bottom w:w="28" w:type="dxa"/>
            </w:tcMar>
            <w:vAlign w:val="bottom"/>
          </w:tcPr>
          <w:p>
            <w:pPr>
              <w:pStyle w:val="TableContents"/>
              <w:bidi w:val="0"/>
              <w:spacing w:before="0" w:after="283"/>
              <w:jc w:val="left"/>
              <w:rPr/>
            </w:pPr>
            <w:r>
              <w:rPr/>
              <w:t> </w:t>
            </w:r>
          </w:p>
        </w:tc>
        <w:tc>
          <w:tcPr>
            <w:tcW w:w="712" w:type="dxa"/>
            <w:tcBorders>
              <w:bottom w:val="single" w:sz="12" w:space="0" w:color="000000"/>
            </w:tcBorders>
            <w:shd w:fill="FFFFFF" w:val="clear"/>
            <w:tcMar>
              <w:bottom w:w="28" w:type="dxa"/>
            </w:tcMar>
            <w:vAlign w:val="bottom"/>
          </w:tcPr>
          <w:p>
            <w:pPr>
              <w:pStyle w:val="TableContents"/>
              <w:bidi w:val="0"/>
              <w:spacing w:before="0" w:after="0"/>
              <w:jc w:val="right"/>
              <w:rPr>
                <w:color w:val="000000"/>
                <w:sz w:val="20"/>
              </w:rPr>
            </w:pPr>
            <w:r>
              <w:rPr>
                <w:color w:val="000000"/>
                <w:sz w:val="20"/>
              </w:rPr>
              <w:t>-</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right"/>
              <w:rPr/>
            </w:pPr>
            <w:r>
              <w:rPr/>
              <w:t> </w:t>
            </w:r>
          </w:p>
        </w:tc>
        <w:tc>
          <w:tcPr>
            <w:tcW w:w="73" w:type="dxa"/>
            <w:tcBorders>
              <w:bottom w:val="single" w:sz="12" w:space="0" w:color="000000"/>
            </w:tcBorders>
            <w:shd w:fill="FFFFFF" w:val="clear"/>
            <w:tcMar>
              <w:bottom w:w="28" w:type="dxa"/>
            </w:tcMar>
            <w:vAlign w:val="bottom"/>
          </w:tcPr>
          <w:p>
            <w:pPr>
              <w:pStyle w:val="TableContents"/>
              <w:bidi w:val="0"/>
              <w:spacing w:before="0" w:after="283"/>
              <w:jc w:val="left"/>
              <w:rPr/>
            </w:pPr>
            <w:r>
              <w:rPr/>
              <w:t> </w:t>
            </w:r>
          </w:p>
        </w:tc>
        <w:tc>
          <w:tcPr>
            <w:tcW w:w="727" w:type="dxa"/>
            <w:tcBorders>
              <w:bottom w:val="single" w:sz="12" w:space="0" w:color="000000"/>
            </w:tcBorders>
            <w:shd w:fill="FFFFFF" w:val="clear"/>
            <w:tcMar>
              <w:bottom w:w="28" w:type="dxa"/>
            </w:tcMar>
            <w:vAlign w:val="bottom"/>
          </w:tcPr>
          <w:p>
            <w:pPr>
              <w:pStyle w:val="TableContents"/>
              <w:bidi w:val="0"/>
              <w:spacing w:before="0" w:after="283"/>
              <w:jc w:val="right"/>
              <w:rPr>
                <w:sz w:val="20"/>
              </w:rPr>
            </w:pPr>
            <w:r>
              <w:rPr>
                <w:sz w:val="20"/>
              </w:rPr>
              <w:t>-</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right"/>
              <w:rPr/>
            </w:pPr>
            <w:r>
              <w:rPr/>
              <w:t> </w:t>
            </w:r>
          </w:p>
        </w:tc>
        <w:tc>
          <w:tcPr>
            <w:tcW w:w="60" w:type="dxa"/>
            <w:tcBorders>
              <w:bottom w:val="single" w:sz="12" w:space="0" w:color="000000"/>
            </w:tcBorders>
            <w:shd w:fill="FFFFFF" w:val="clear"/>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bottom"/>
          </w:tcPr>
          <w:p>
            <w:pPr>
              <w:pStyle w:val="TableContents"/>
              <w:bidi w:val="0"/>
              <w:spacing w:before="0" w:after="283"/>
              <w:jc w:val="right"/>
              <w:rPr>
                <w:sz w:val="20"/>
              </w:rPr>
            </w:pPr>
            <w:r>
              <w:rPr>
                <w:sz w:val="20"/>
              </w:rPr>
              <w:t>-</w:t>
            </w:r>
          </w:p>
        </w:tc>
        <w:tc>
          <w:tcPr>
            <w:tcW w:w="80" w:type="dxa"/>
            <w:tcBorders/>
            <w:shd w:fill="FFFFFF" w:val="clear"/>
            <w:vAlign w:val="bottom"/>
          </w:tcPr>
          <w:p>
            <w:pPr>
              <w:pStyle w:val="TableContents"/>
              <w:bidi w:val="0"/>
              <w:spacing w:before="0" w:after="283"/>
              <w:jc w:val="left"/>
              <w:rPr/>
            </w:pPr>
            <w:r>
              <w:rPr/>
              <w:t> </w:t>
            </w:r>
          </w:p>
        </w:tc>
        <w:tc>
          <w:tcPr>
            <w:tcW w:w="185" w:type="dxa"/>
            <w:tcBorders/>
            <w:shd w:fill="FFFFFF" w:val="clear"/>
            <w:vAlign w:val="bottom"/>
          </w:tcPr>
          <w:p>
            <w:pPr>
              <w:pStyle w:val="TableContents"/>
              <w:bidi w:val="0"/>
              <w:spacing w:before="0" w:after="283"/>
              <w:jc w:val="right"/>
              <w:rPr/>
            </w:pPr>
            <w:r>
              <w:rPr/>
              <w:t> </w:t>
            </w:r>
          </w:p>
        </w:tc>
        <w:tc>
          <w:tcPr>
            <w:tcW w:w="60" w:type="dxa"/>
            <w:tcBorders/>
            <w:shd w:fill="FFFFFF" w:val="clear"/>
            <w:vAlign w:val="bottom"/>
          </w:tcPr>
          <w:p>
            <w:pPr>
              <w:pStyle w:val="TableContents"/>
              <w:bidi w:val="0"/>
              <w:spacing w:before="0" w:after="283"/>
              <w:jc w:val="right"/>
              <w:rPr/>
            </w:pPr>
            <w:r>
              <w:rPr/>
              <w:t> </w:t>
            </w:r>
          </w:p>
        </w:tc>
        <w:tc>
          <w:tcPr>
            <w:tcW w:w="342" w:type="dxa"/>
            <w:tcBorders>
              <w:bottom w:val="single" w:sz="12" w:space="0" w:color="000000"/>
            </w:tcBorders>
            <w:shd w:fill="FFFFFF" w:val="clear"/>
            <w:tcMar>
              <w:bottom w:w="28" w:type="dxa"/>
            </w:tcMar>
            <w:vAlign w:val="bottom"/>
          </w:tcPr>
          <w:p>
            <w:pPr>
              <w:pStyle w:val="TableContents"/>
              <w:bidi w:val="0"/>
              <w:spacing w:before="0" w:after="283"/>
              <w:jc w:val="left"/>
              <w:rPr/>
            </w:pPr>
            <w:r>
              <w:rPr/>
              <w:t> </w:t>
            </w:r>
          </w:p>
        </w:tc>
        <w:tc>
          <w:tcPr>
            <w:tcW w:w="458" w:type="dxa"/>
            <w:tcBorders>
              <w:bottom w:val="single" w:sz="12" w:space="0" w:color="000000"/>
            </w:tcBorders>
            <w:shd w:fill="FFFFFF" w:val="clear"/>
            <w:tcMar>
              <w:bottom w:w="28" w:type="dxa"/>
            </w:tcMar>
            <w:vAlign w:val="bottom"/>
          </w:tcPr>
          <w:p>
            <w:pPr>
              <w:pStyle w:val="TableContents"/>
              <w:bidi w:val="0"/>
              <w:spacing w:before="0" w:after="283"/>
              <w:jc w:val="right"/>
              <w:rPr>
                <w:sz w:val="20"/>
              </w:rPr>
            </w:pPr>
            <w:r>
              <w:rPr>
                <w:sz w:val="20"/>
              </w:rPr>
              <w:t>-</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right"/>
              <w:rPr/>
            </w:pPr>
            <w:r>
              <w:rPr/>
              <w:t> </w:t>
            </w:r>
          </w:p>
        </w:tc>
        <w:tc>
          <w:tcPr>
            <w:tcW w:w="60" w:type="dxa"/>
            <w:tcBorders>
              <w:bottom w:val="single" w:sz="12" w:space="0" w:color="000000"/>
            </w:tcBorders>
            <w:shd w:fill="FFFF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FFFFFF" w:val="clear"/>
            <w:tcMar>
              <w:bottom w:w="28" w:type="dxa"/>
            </w:tcMar>
            <w:vAlign w:val="bottom"/>
          </w:tcPr>
          <w:p>
            <w:pPr>
              <w:pStyle w:val="TableContents"/>
              <w:bidi w:val="0"/>
              <w:spacing w:before="0" w:after="283"/>
              <w:jc w:val="right"/>
              <w:rPr>
                <w:sz w:val="20"/>
              </w:rPr>
            </w:pPr>
            <w:r>
              <w:rPr>
                <w:sz w:val="20"/>
              </w:rPr>
              <w:t>-</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right"/>
              <w:rPr/>
            </w:pPr>
            <w:r>
              <w:rPr/>
              <w:t> </w:t>
            </w:r>
          </w:p>
        </w:tc>
        <w:tc>
          <w:tcPr>
            <w:tcW w:w="342" w:type="dxa"/>
            <w:tcBorders>
              <w:bottom w:val="single" w:sz="12" w:space="0" w:color="000000"/>
            </w:tcBorders>
            <w:shd w:fill="FFFFFF" w:val="clear"/>
            <w:tcMar>
              <w:bottom w:w="28" w:type="dxa"/>
            </w:tcMar>
            <w:vAlign w:val="bottom"/>
          </w:tcPr>
          <w:p>
            <w:pPr>
              <w:pStyle w:val="TableContents"/>
              <w:bidi w:val="0"/>
              <w:spacing w:before="0" w:after="283"/>
              <w:jc w:val="left"/>
              <w:rPr/>
            </w:pPr>
            <w:r>
              <w:rPr/>
              <w:t> </w:t>
            </w:r>
          </w:p>
        </w:tc>
        <w:tc>
          <w:tcPr>
            <w:tcW w:w="458" w:type="dxa"/>
            <w:tcBorders>
              <w:bottom w:val="single" w:sz="12" w:space="0" w:color="000000"/>
            </w:tcBorders>
            <w:shd w:fill="FFFFFF" w:val="clear"/>
            <w:tcMar>
              <w:bottom w:w="28" w:type="dxa"/>
            </w:tcMar>
            <w:vAlign w:val="bottom"/>
          </w:tcPr>
          <w:p>
            <w:pPr>
              <w:pStyle w:val="TableContents"/>
              <w:bidi w:val="0"/>
              <w:spacing w:before="0" w:after="283"/>
              <w:jc w:val="right"/>
              <w:rPr>
                <w:sz w:val="20"/>
              </w:rPr>
            </w:pPr>
            <w:r>
              <w:rPr>
                <w:sz w:val="20"/>
              </w:rPr>
              <w:t>-</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right"/>
              <w:rPr/>
            </w:pPr>
            <w:r>
              <w:rPr/>
              <w:t> </w:t>
            </w:r>
          </w:p>
        </w:tc>
        <w:tc>
          <w:tcPr>
            <w:tcW w:w="81" w:type="dxa"/>
            <w:tcBorders>
              <w:bottom w:val="single" w:sz="12" w:space="0" w:color="000000"/>
            </w:tcBorders>
            <w:shd w:fill="FFFFFF" w:val="clear"/>
            <w:tcMar>
              <w:bottom w:w="28" w:type="dxa"/>
            </w:tcMar>
            <w:vAlign w:val="bottom"/>
          </w:tcPr>
          <w:p>
            <w:pPr>
              <w:pStyle w:val="TableContents"/>
              <w:bidi w:val="0"/>
              <w:spacing w:before="0" w:after="283"/>
              <w:jc w:val="left"/>
              <w:rPr/>
            </w:pPr>
            <w:r>
              <w:rPr/>
              <w:t> </w:t>
            </w:r>
          </w:p>
        </w:tc>
        <w:tc>
          <w:tcPr>
            <w:tcW w:w="1154" w:type="dxa"/>
            <w:tcBorders>
              <w:bottom w:val="single" w:sz="12" w:space="0" w:color="000000"/>
            </w:tcBorders>
            <w:shd w:fill="FFFFFF" w:val="clear"/>
            <w:tcMar>
              <w:bottom w:w="28" w:type="dxa"/>
            </w:tcMar>
            <w:vAlign w:val="bottom"/>
          </w:tcPr>
          <w:p>
            <w:pPr>
              <w:pStyle w:val="TableContents"/>
              <w:bidi w:val="0"/>
              <w:spacing w:before="0" w:after="0"/>
              <w:jc w:val="right"/>
              <w:rPr>
                <w:color w:val="000000"/>
                <w:sz w:val="20"/>
              </w:rPr>
            </w:pPr>
            <w:r>
              <w:rPr>
                <w:color w:val="000000"/>
                <w:sz w:val="20"/>
              </w:rPr>
              <w:t>-</w:t>
            </w:r>
          </w:p>
        </w:tc>
        <w:tc>
          <w:tcPr>
            <w:tcW w:w="8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right"/>
              <w:rPr/>
            </w:pPr>
            <w:r>
              <w:rPr/>
              <w:t> </w:t>
            </w:r>
          </w:p>
        </w:tc>
        <w:tc>
          <w:tcPr>
            <w:tcW w:w="205" w:type="dxa"/>
            <w:tcBorders/>
            <w:shd w:fill="FFFFFF" w:val="clear"/>
            <w:vAlign w:val="bottom"/>
          </w:tcPr>
          <w:p>
            <w:pPr>
              <w:pStyle w:val="TableContents"/>
              <w:bidi w:val="0"/>
              <w:spacing w:before="0" w:after="0"/>
              <w:jc w:val="left"/>
              <w:rPr>
                <w:color w:val="000000"/>
                <w:sz w:val="20"/>
              </w:rPr>
            </w:pPr>
            <w:r>
              <w:rPr>
                <w:color w:val="000000"/>
                <w:sz w:val="20"/>
              </w:rPr>
              <w:t>$</w:t>
            </w:r>
          </w:p>
        </w:tc>
        <w:tc>
          <w:tcPr>
            <w:tcW w:w="625" w:type="dxa"/>
            <w:tcBorders/>
            <w:shd w:fill="FFFFFF" w:val="clear"/>
            <w:vAlign w:val="bottom"/>
          </w:tcPr>
          <w:p>
            <w:pPr>
              <w:pStyle w:val="TableContents"/>
              <w:bidi w:val="0"/>
              <w:spacing w:before="0" w:after="0"/>
              <w:jc w:val="right"/>
              <w:rPr>
                <w:color w:val="000000"/>
                <w:sz w:val="20"/>
              </w:rPr>
            </w:pPr>
            <w:r>
              <w:rPr>
                <w:color w:val="000000"/>
                <w:sz w:val="20"/>
              </w:rPr>
              <w:t>-</w:t>
            </w:r>
          </w:p>
        </w:tc>
        <w:tc>
          <w:tcPr>
            <w:tcW w:w="60" w:type="dxa"/>
            <w:tcBorders/>
            <w:shd w:fill="FFFFFF" w:val="clear"/>
            <w:vAlign w:val="bottom"/>
          </w:tcPr>
          <w:p>
            <w:pPr>
              <w:pStyle w:val="TableContents"/>
              <w:bidi w:val="0"/>
              <w:spacing w:before="0" w:after="283"/>
              <w:jc w:val="left"/>
              <w:rPr/>
            </w:pPr>
            <w:r>
              <w:rPr/>
              <w:t> </w:t>
            </w:r>
          </w:p>
        </w:tc>
      </w:tr>
      <w:tr>
        <w:trPr/>
        <w:tc>
          <w:tcPr>
            <w:tcW w:w="731" w:type="dxa"/>
            <w:tcBorders/>
            <w:shd w:fill="CCEEFF" w:val="clear"/>
            <w:vAlign w:val="bottom"/>
          </w:tcPr>
          <w:p>
            <w:pPr>
              <w:pStyle w:val="TableContents"/>
              <w:bidi w:val="0"/>
              <w:spacing w:before="0" w:after="0"/>
              <w:ind w:left="144" w:right="0" w:hanging="144"/>
              <w:jc w:val="left"/>
              <w:rPr>
                <w:b/>
                <w:color w:val="000000"/>
                <w:sz w:val="20"/>
              </w:rPr>
            </w:pPr>
            <w:r>
              <w:rPr>
                <w:b/>
                <w:color w:val="000000"/>
                <w:sz w:val="20"/>
              </w:rPr>
              <w:t>March 31, 2025</w:t>
            </w:r>
          </w:p>
        </w:tc>
        <w:tc>
          <w:tcPr>
            <w:tcW w:w="24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color w:val="000000"/>
                <w:sz w:val="20"/>
              </w:rPr>
            </w:pPr>
            <w:r>
              <w:rPr>
                <w:color w:val="000000"/>
                <w:sz w:val="20"/>
              </w:rPr>
              <w:t>(663,492</w:t>
            </w:r>
          </w:p>
        </w:tc>
        <w:tc>
          <w:tcPr>
            <w:tcW w:w="80" w:type="dxa"/>
            <w:tcBorders/>
            <w:shd w:fill="CCEEFF" w:val="clear"/>
            <w:vAlign w:val="bottom"/>
          </w:tcPr>
          <w:p>
            <w:pPr>
              <w:pStyle w:val="TableContents"/>
              <w:bidi w:val="0"/>
              <w:spacing w:before="0" w:after="0"/>
              <w:jc w:val="left"/>
              <w:rPr>
                <w:color w:val="000000"/>
                <w:sz w:val="20"/>
              </w:rPr>
            </w:pPr>
            <w:r>
              <w:rPr>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82" w:type="dxa"/>
            <w:tcBorders/>
            <w:shd w:fill="CCEEFF" w:val="clear"/>
            <w:vAlign w:val="bottom"/>
          </w:tcPr>
          <w:p>
            <w:pPr>
              <w:pStyle w:val="TableContents"/>
              <w:bidi w:val="0"/>
              <w:spacing w:before="0" w:after="283"/>
              <w:jc w:val="left"/>
              <w:rPr/>
            </w:pPr>
            <w:r>
              <w:rPr/>
              <w:t> </w:t>
            </w:r>
          </w:p>
        </w:tc>
        <w:tc>
          <w:tcPr>
            <w:tcW w:w="808" w:type="dxa"/>
            <w:tcBorders/>
            <w:shd w:fill="CCEEFF" w:val="clear"/>
            <w:vAlign w:val="bottom"/>
          </w:tcPr>
          <w:p>
            <w:pPr>
              <w:pStyle w:val="TableContents"/>
              <w:bidi w:val="0"/>
              <w:spacing w:before="0" w:after="0"/>
              <w:jc w:val="right"/>
              <w:rPr>
                <w:color w:val="000000"/>
                <w:sz w:val="20"/>
              </w:rPr>
            </w:pPr>
            <w:r>
              <w:rPr>
                <w:color w:val="000000"/>
                <w:sz w:val="20"/>
              </w:rPr>
              <w:t>8,492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83" w:type="dxa"/>
            <w:tcBorders/>
            <w:shd w:fill="CCEEFF" w:val="clear"/>
            <w:vAlign w:val="bottom"/>
          </w:tcPr>
          <w:p>
            <w:pPr>
              <w:pStyle w:val="TableContents"/>
              <w:bidi w:val="0"/>
              <w:spacing w:before="0" w:after="283"/>
              <w:jc w:val="left"/>
              <w:rPr/>
            </w:pPr>
            <w:r>
              <w:rPr/>
              <w:t> </w:t>
            </w:r>
          </w:p>
        </w:tc>
        <w:tc>
          <w:tcPr>
            <w:tcW w:w="822" w:type="dxa"/>
            <w:tcBorders/>
            <w:shd w:fill="CCEEFF" w:val="clear"/>
            <w:vAlign w:val="bottom"/>
          </w:tcPr>
          <w:p>
            <w:pPr>
              <w:pStyle w:val="TableContents"/>
              <w:bidi w:val="0"/>
              <w:spacing w:before="0" w:after="0"/>
              <w:jc w:val="right"/>
              <w:rPr>
                <w:color w:val="000000"/>
                <w:sz w:val="20"/>
              </w:rPr>
            </w:pPr>
            <w:r>
              <w:rPr>
                <w:color w:val="000000"/>
                <w:sz w:val="20"/>
              </w:rPr>
              <w:t>44,795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color w:val="000000"/>
                <w:sz w:val="20"/>
              </w:rPr>
            </w:pPr>
            <w:r>
              <w:rPr>
                <w:color w:val="000000"/>
                <w:sz w:val="20"/>
              </w:rPr>
              <w:t>(283,672</w:t>
            </w:r>
          </w:p>
        </w:tc>
        <w:tc>
          <w:tcPr>
            <w:tcW w:w="80" w:type="dxa"/>
            <w:tcBorders/>
            <w:shd w:fill="CCEEFF" w:val="clear"/>
            <w:vAlign w:val="bottom"/>
          </w:tcPr>
          <w:p>
            <w:pPr>
              <w:pStyle w:val="TableContents"/>
              <w:bidi w:val="0"/>
              <w:spacing w:before="0" w:after="0"/>
              <w:jc w:val="left"/>
              <w:rPr>
                <w:color w:val="000000"/>
                <w:sz w:val="20"/>
              </w:rPr>
            </w:pPr>
            <w:r>
              <w:rPr>
                <w:color w:val="000000"/>
                <w:sz w:val="20"/>
              </w:rPr>
              <w:t>)</w:t>
            </w:r>
          </w:p>
        </w:tc>
        <w:tc>
          <w:tcPr>
            <w:tcW w:w="2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right"/>
              <w:rPr/>
            </w:pPr>
            <w:r>
              <w:rPr/>
              <w:t> </w:t>
            </w:r>
          </w:p>
        </w:tc>
        <w:tc>
          <w:tcPr>
            <w:tcW w:w="88" w:type="dxa"/>
            <w:tcBorders/>
            <w:shd w:fill="CCEEFF" w:val="clear"/>
            <w:vAlign w:val="bottom"/>
          </w:tcPr>
          <w:p>
            <w:pPr>
              <w:pStyle w:val="TableContents"/>
              <w:bidi w:val="0"/>
              <w:spacing w:before="0" w:after="283"/>
              <w:jc w:val="left"/>
              <w:rPr/>
            </w:pPr>
            <w:r>
              <w:rPr/>
              <w:t> </w:t>
            </w:r>
          </w:p>
        </w:tc>
        <w:tc>
          <w:tcPr>
            <w:tcW w:w="712" w:type="dxa"/>
            <w:tcBorders/>
            <w:shd w:fill="CCEEFF" w:val="clear"/>
            <w:vAlign w:val="bottom"/>
          </w:tcPr>
          <w:p>
            <w:pPr>
              <w:pStyle w:val="TableContents"/>
              <w:bidi w:val="0"/>
              <w:spacing w:before="0" w:after="0"/>
              <w:jc w:val="right"/>
              <w:rPr>
                <w:color w:val="000000"/>
                <w:sz w:val="20"/>
              </w:rPr>
            </w:pPr>
            <w:r>
              <w:rPr>
                <w:color w:val="000000"/>
                <w:sz w:val="20"/>
              </w:rPr>
              <w:t>3,155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73" w:type="dxa"/>
            <w:tcBorders/>
            <w:shd w:fill="CCEEFF" w:val="clear"/>
            <w:vAlign w:val="bottom"/>
          </w:tcPr>
          <w:p>
            <w:pPr>
              <w:pStyle w:val="TableContents"/>
              <w:bidi w:val="0"/>
              <w:spacing w:before="0" w:after="283"/>
              <w:jc w:val="left"/>
              <w:rPr/>
            </w:pPr>
            <w:r>
              <w:rPr/>
              <w:t> </w:t>
            </w:r>
          </w:p>
        </w:tc>
        <w:tc>
          <w:tcPr>
            <w:tcW w:w="727" w:type="dxa"/>
            <w:tcBorders/>
            <w:shd w:fill="CCEEFF" w:val="clear"/>
            <w:vAlign w:val="bottom"/>
          </w:tcPr>
          <w:p>
            <w:pPr>
              <w:pStyle w:val="TableContents"/>
              <w:bidi w:val="0"/>
              <w:spacing w:before="0" w:after="283"/>
              <w:jc w:val="right"/>
              <w:rPr>
                <w:sz w:val="20"/>
              </w:rPr>
            </w:pPr>
            <w:r>
              <w:rPr>
                <w:sz w:val="20"/>
              </w:rPr>
              <w:t>3,229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sz w:val="20"/>
              </w:rPr>
            </w:pPr>
            <w:r>
              <w:rPr>
                <w:sz w:val="20"/>
              </w:rPr>
              <w:t>(181,942</w:t>
            </w:r>
          </w:p>
        </w:tc>
        <w:tc>
          <w:tcPr>
            <w:tcW w:w="80" w:type="dxa"/>
            <w:tcBorders/>
            <w:shd w:fill="CCEEFF" w:val="clear"/>
            <w:vAlign w:val="bottom"/>
          </w:tcPr>
          <w:p>
            <w:pPr>
              <w:pStyle w:val="TableContents"/>
              <w:bidi w:val="0"/>
              <w:spacing w:before="0" w:after="283"/>
              <w:jc w:val="left"/>
              <w:rPr>
                <w:sz w:val="20"/>
              </w:rPr>
            </w:pPr>
            <w:r>
              <w:rPr>
                <w:sz w:val="20"/>
              </w:rPr>
              <w:t>)</w:t>
            </w:r>
          </w:p>
        </w:tc>
        <w:tc>
          <w:tcPr>
            <w:tcW w:w="18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right"/>
              <w:rPr/>
            </w:pPr>
            <w:r>
              <w:rPr/>
              <w:t> </w:t>
            </w:r>
          </w:p>
        </w:tc>
        <w:tc>
          <w:tcPr>
            <w:tcW w:w="342" w:type="dxa"/>
            <w:tcBorders/>
            <w:shd w:fill="CCEEFF" w:val="clear"/>
            <w:vAlign w:val="bottom"/>
          </w:tcPr>
          <w:p>
            <w:pPr>
              <w:pStyle w:val="TableContents"/>
              <w:bidi w:val="0"/>
              <w:spacing w:before="0" w:after="283"/>
              <w:jc w:val="left"/>
              <w:rPr/>
            </w:pPr>
            <w:r>
              <w:rPr/>
              <w:t> </w:t>
            </w:r>
          </w:p>
        </w:tc>
        <w:tc>
          <w:tcPr>
            <w:tcW w:w="458" w:type="dxa"/>
            <w:tcBorders/>
            <w:shd w:fill="CCEEFF" w:val="clear"/>
            <w:vAlign w:val="bottom"/>
          </w:tcPr>
          <w:p>
            <w:pPr>
              <w:pStyle w:val="TableContents"/>
              <w:bidi w:val="0"/>
              <w:spacing w:before="0" w:after="283"/>
              <w:jc w:val="right"/>
              <w:rPr>
                <w:sz w:val="20"/>
              </w:rPr>
            </w:pPr>
            <w:r>
              <w:rPr>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sz w:val="20"/>
              </w:rPr>
            </w:pPr>
            <w:r>
              <w:rPr>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42" w:type="dxa"/>
            <w:tcBorders/>
            <w:shd w:fill="CCEEFF" w:val="clear"/>
            <w:vAlign w:val="bottom"/>
          </w:tcPr>
          <w:p>
            <w:pPr>
              <w:pStyle w:val="TableContents"/>
              <w:bidi w:val="0"/>
              <w:spacing w:before="0" w:after="283"/>
              <w:jc w:val="left"/>
              <w:rPr/>
            </w:pPr>
            <w:r>
              <w:rPr/>
              <w:t> </w:t>
            </w:r>
          </w:p>
        </w:tc>
        <w:tc>
          <w:tcPr>
            <w:tcW w:w="458" w:type="dxa"/>
            <w:tcBorders/>
            <w:shd w:fill="CCEEFF" w:val="clear"/>
            <w:vAlign w:val="bottom"/>
          </w:tcPr>
          <w:p>
            <w:pPr>
              <w:pStyle w:val="TableContents"/>
              <w:bidi w:val="0"/>
              <w:spacing w:before="0" w:after="283"/>
              <w:jc w:val="right"/>
              <w:rPr>
                <w:sz w:val="20"/>
              </w:rPr>
            </w:pPr>
            <w:r>
              <w:rPr>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81" w:type="dxa"/>
            <w:tcBorders/>
            <w:shd w:fill="CCEEFF" w:val="clear"/>
            <w:vAlign w:val="bottom"/>
          </w:tcPr>
          <w:p>
            <w:pPr>
              <w:pStyle w:val="TableContents"/>
              <w:bidi w:val="0"/>
              <w:spacing w:before="0" w:after="283"/>
              <w:jc w:val="left"/>
              <w:rPr/>
            </w:pPr>
            <w:r>
              <w:rPr/>
              <w:t> </w:t>
            </w:r>
          </w:p>
        </w:tc>
        <w:tc>
          <w:tcPr>
            <w:tcW w:w="1154" w:type="dxa"/>
            <w:tcBorders/>
            <w:shd w:fill="CCEEFF" w:val="clear"/>
            <w:vAlign w:val="bottom"/>
          </w:tcPr>
          <w:p>
            <w:pPr>
              <w:pStyle w:val="TableContents"/>
              <w:bidi w:val="0"/>
              <w:spacing w:before="0" w:after="0"/>
              <w:jc w:val="right"/>
              <w:rPr>
                <w:color w:val="000000"/>
                <w:sz w:val="20"/>
              </w:rPr>
            </w:pPr>
            <w:r>
              <w:rPr>
                <w:color w:val="000000"/>
                <w:sz w:val="20"/>
              </w:rPr>
              <w:t>2,434,072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5" w:type="dxa"/>
            <w:tcBorders/>
            <w:shd w:fill="CCEEFF" w:val="clear"/>
            <w:vAlign w:val="bottom"/>
          </w:tcPr>
          <w:p>
            <w:pPr>
              <w:pStyle w:val="TableContents"/>
              <w:bidi w:val="0"/>
              <w:spacing w:before="0" w:after="283"/>
              <w:jc w:val="left"/>
              <w:rPr/>
            </w:pPr>
            <w:r>
              <w:rPr/>
              <w:t> </w:t>
            </w:r>
          </w:p>
        </w:tc>
        <w:tc>
          <w:tcPr>
            <w:tcW w:w="62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731" w:type="dxa"/>
            <w:tcBorders/>
            <w:shd w:fill="FFFFFF" w:val="clear"/>
            <w:vAlign w:val="bottom"/>
          </w:tcPr>
          <w:p>
            <w:pPr>
              <w:pStyle w:val="TableContents"/>
              <w:bidi w:val="0"/>
              <w:spacing w:before="0" w:after="0"/>
              <w:ind w:left="360" w:right="0" w:hanging="180"/>
              <w:jc w:val="left"/>
              <w:rPr>
                <w:sz w:val="20"/>
              </w:rPr>
            </w:pPr>
            <w:r>
              <w:rPr>
                <w:sz w:val="20"/>
              </w:rPr>
              <w:t xml:space="preserve">Number of securities forfeited </w:t>
            </w:r>
          </w:p>
        </w:tc>
        <w:tc>
          <w:tcPr>
            <w:tcW w:w="240" w:type="dxa"/>
            <w:tcBorders/>
            <w:shd w:fill="FFFFFF" w:val="clear"/>
            <w:vAlign w:val="bottom"/>
          </w:tcPr>
          <w:p>
            <w:pPr>
              <w:pStyle w:val="TableContents"/>
              <w:bidi w:val="0"/>
              <w:spacing w:before="0" w:after="283"/>
              <w:jc w:val="right"/>
              <w:rPr/>
            </w:pPr>
            <w:r>
              <w:rPr/>
              <w:t> </w:t>
            </w:r>
          </w:p>
        </w:tc>
        <w:tc>
          <w:tcPr>
            <w:tcW w:w="60" w:type="dxa"/>
            <w:tcBorders/>
            <w:shd w:fill="FFFFFF" w:val="clear"/>
            <w:vAlign w:val="bottom"/>
          </w:tcPr>
          <w:p>
            <w:pPr>
              <w:pStyle w:val="TableContents"/>
              <w:bidi w:val="0"/>
              <w:spacing w:before="0" w:after="283"/>
              <w:jc w:val="left"/>
              <w:rPr/>
            </w:pPr>
            <w:r>
              <w:rPr/>
              <w:t> </w:t>
            </w:r>
          </w:p>
        </w:tc>
        <w:tc>
          <w:tcPr>
            <w:tcW w:w="755" w:type="dxa"/>
            <w:tcBorders/>
            <w:shd w:fill="FFFFFF" w:val="clear"/>
            <w:vAlign w:val="bottom"/>
          </w:tcPr>
          <w:p>
            <w:pPr>
              <w:pStyle w:val="TableContents"/>
              <w:bidi w:val="0"/>
              <w:spacing w:before="0" w:after="283"/>
              <w:jc w:val="right"/>
              <w:rPr>
                <w:sz w:val="20"/>
              </w:rPr>
            </w:pPr>
            <w:r>
              <w:rPr>
                <w:sz w:val="20"/>
              </w:rPr>
              <w:t>-</w:t>
            </w:r>
          </w:p>
        </w:tc>
        <w:tc>
          <w:tcPr>
            <w:tcW w:w="8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right"/>
              <w:rPr/>
            </w:pPr>
            <w:r>
              <w:rPr/>
              <w:t> </w:t>
            </w:r>
          </w:p>
        </w:tc>
        <w:tc>
          <w:tcPr>
            <w:tcW w:w="82" w:type="dxa"/>
            <w:tcBorders/>
            <w:shd w:fill="FFFFFF" w:val="clear"/>
            <w:vAlign w:val="bottom"/>
          </w:tcPr>
          <w:p>
            <w:pPr>
              <w:pStyle w:val="TableContents"/>
              <w:bidi w:val="0"/>
              <w:spacing w:before="0" w:after="283"/>
              <w:jc w:val="left"/>
              <w:rPr/>
            </w:pPr>
            <w:r>
              <w:rPr/>
              <w:t> </w:t>
            </w:r>
          </w:p>
        </w:tc>
        <w:tc>
          <w:tcPr>
            <w:tcW w:w="808" w:type="dxa"/>
            <w:tcBorders/>
            <w:shd w:fill="FFFFFF" w:val="clear"/>
            <w:vAlign w:val="bottom"/>
          </w:tcPr>
          <w:p>
            <w:pPr>
              <w:pStyle w:val="TableContents"/>
              <w:bidi w:val="0"/>
              <w:spacing w:before="0" w:after="283"/>
              <w:jc w:val="right"/>
              <w:rPr>
                <w:sz w:val="20"/>
              </w:rPr>
            </w:pPr>
            <w:r>
              <w:rPr>
                <w:sz w:val="20"/>
              </w:rPr>
              <w:t>14,500</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right"/>
              <w:rPr/>
            </w:pPr>
            <w:r>
              <w:rPr/>
              <w:t> </w:t>
            </w:r>
          </w:p>
        </w:tc>
        <w:tc>
          <w:tcPr>
            <w:tcW w:w="83" w:type="dxa"/>
            <w:tcBorders/>
            <w:shd w:fill="FFFFFF" w:val="clear"/>
            <w:vAlign w:val="bottom"/>
          </w:tcPr>
          <w:p>
            <w:pPr>
              <w:pStyle w:val="TableContents"/>
              <w:bidi w:val="0"/>
              <w:spacing w:before="0" w:after="283"/>
              <w:jc w:val="left"/>
              <w:rPr/>
            </w:pPr>
            <w:r>
              <w:rPr/>
              <w:t> </w:t>
            </w:r>
          </w:p>
        </w:tc>
        <w:tc>
          <w:tcPr>
            <w:tcW w:w="822" w:type="dxa"/>
            <w:tcBorders/>
            <w:shd w:fill="FFFFFF" w:val="clear"/>
            <w:vAlign w:val="bottom"/>
          </w:tcPr>
          <w:p>
            <w:pPr>
              <w:pStyle w:val="TableContents"/>
              <w:bidi w:val="0"/>
              <w:spacing w:before="0" w:after="283"/>
              <w:jc w:val="right"/>
              <w:rPr>
                <w:sz w:val="20"/>
              </w:rPr>
            </w:pPr>
            <w:r>
              <w:rPr>
                <w:sz w:val="20"/>
              </w:rPr>
              <w:t>-</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right"/>
              <w:rPr/>
            </w:pPr>
            <w:r>
              <w:rPr/>
              <w:t> </w:t>
            </w:r>
          </w:p>
        </w:tc>
        <w:tc>
          <w:tcPr>
            <w:tcW w:w="60" w:type="dxa"/>
            <w:tcBorders/>
            <w:shd w:fill="FFFFFF" w:val="clear"/>
            <w:vAlign w:val="bottom"/>
          </w:tcPr>
          <w:p>
            <w:pPr>
              <w:pStyle w:val="TableContents"/>
              <w:bidi w:val="0"/>
              <w:spacing w:before="0" w:after="283"/>
              <w:jc w:val="left"/>
              <w:rPr/>
            </w:pPr>
            <w:r>
              <w:rPr/>
              <w:t> </w:t>
            </w:r>
          </w:p>
        </w:tc>
        <w:tc>
          <w:tcPr>
            <w:tcW w:w="755" w:type="dxa"/>
            <w:tcBorders/>
            <w:shd w:fill="FFFFFF" w:val="clear"/>
            <w:vAlign w:val="bottom"/>
          </w:tcPr>
          <w:p>
            <w:pPr>
              <w:pStyle w:val="TableContents"/>
              <w:bidi w:val="0"/>
              <w:spacing w:before="0" w:after="283"/>
              <w:jc w:val="right"/>
              <w:rPr>
                <w:sz w:val="20"/>
              </w:rPr>
            </w:pPr>
            <w:r>
              <w:rPr>
                <w:sz w:val="20"/>
              </w:rPr>
              <w:t>-</w:t>
            </w:r>
          </w:p>
        </w:tc>
        <w:tc>
          <w:tcPr>
            <w:tcW w:w="80" w:type="dxa"/>
            <w:tcBorders/>
            <w:shd w:fill="FFFFFF" w:val="clear"/>
            <w:vAlign w:val="bottom"/>
          </w:tcPr>
          <w:p>
            <w:pPr>
              <w:pStyle w:val="TableContents"/>
              <w:bidi w:val="0"/>
              <w:spacing w:before="0" w:after="283"/>
              <w:jc w:val="left"/>
              <w:rPr/>
            </w:pPr>
            <w:r>
              <w:rPr/>
              <w:t> </w:t>
            </w:r>
          </w:p>
        </w:tc>
        <w:tc>
          <w:tcPr>
            <w:tcW w:w="200" w:type="dxa"/>
            <w:tcBorders/>
            <w:shd w:fill="FFFFFF" w:val="clear"/>
            <w:vAlign w:val="bottom"/>
          </w:tcPr>
          <w:p>
            <w:pPr>
              <w:pStyle w:val="TableContents"/>
              <w:bidi w:val="0"/>
              <w:spacing w:before="0" w:after="283"/>
              <w:jc w:val="right"/>
              <w:rPr/>
            </w:pPr>
            <w:r>
              <w:rPr/>
              <w:t> </w:t>
            </w:r>
          </w:p>
        </w:tc>
        <w:tc>
          <w:tcPr>
            <w:tcW w:w="60" w:type="dxa"/>
            <w:tcBorders/>
            <w:shd w:fill="FFFFFF" w:val="clear"/>
            <w:vAlign w:val="bottom"/>
          </w:tcPr>
          <w:p>
            <w:pPr>
              <w:pStyle w:val="TableContents"/>
              <w:bidi w:val="0"/>
              <w:spacing w:before="0" w:after="283"/>
              <w:jc w:val="right"/>
              <w:rPr/>
            </w:pPr>
            <w:r>
              <w:rPr/>
              <w:t> </w:t>
            </w:r>
          </w:p>
        </w:tc>
        <w:tc>
          <w:tcPr>
            <w:tcW w:w="88" w:type="dxa"/>
            <w:tcBorders/>
            <w:shd w:fill="FFFFFF" w:val="clear"/>
            <w:vAlign w:val="bottom"/>
          </w:tcPr>
          <w:p>
            <w:pPr>
              <w:pStyle w:val="TableContents"/>
              <w:bidi w:val="0"/>
              <w:spacing w:before="0" w:after="283"/>
              <w:jc w:val="left"/>
              <w:rPr/>
            </w:pPr>
            <w:r>
              <w:rPr/>
              <w:t> </w:t>
            </w:r>
          </w:p>
        </w:tc>
        <w:tc>
          <w:tcPr>
            <w:tcW w:w="712" w:type="dxa"/>
            <w:tcBorders/>
            <w:shd w:fill="FFFFFF" w:val="clear"/>
            <w:vAlign w:val="bottom"/>
          </w:tcPr>
          <w:p>
            <w:pPr>
              <w:pStyle w:val="TableContents"/>
              <w:bidi w:val="0"/>
              <w:spacing w:before="0" w:after="283"/>
              <w:jc w:val="right"/>
              <w:rPr>
                <w:sz w:val="20"/>
              </w:rPr>
            </w:pPr>
            <w:r>
              <w:rPr>
                <w:sz w:val="20"/>
              </w:rPr>
              <w:t>-</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right"/>
              <w:rPr/>
            </w:pPr>
            <w:r>
              <w:rPr/>
              <w:t> </w:t>
            </w:r>
          </w:p>
        </w:tc>
        <w:tc>
          <w:tcPr>
            <w:tcW w:w="73" w:type="dxa"/>
            <w:tcBorders/>
            <w:shd w:fill="FFFFFF" w:val="clear"/>
            <w:vAlign w:val="bottom"/>
          </w:tcPr>
          <w:p>
            <w:pPr>
              <w:pStyle w:val="TableContents"/>
              <w:bidi w:val="0"/>
              <w:spacing w:before="0" w:after="283"/>
              <w:jc w:val="left"/>
              <w:rPr/>
            </w:pPr>
            <w:r>
              <w:rPr/>
              <w:t> </w:t>
            </w:r>
          </w:p>
        </w:tc>
        <w:tc>
          <w:tcPr>
            <w:tcW w:w="727" w:type="dxa"/>
            <w:tcBorders/>
            <w:shd w:fill="FFFFFF" w:val="clear"/>
            <w:vAlign w:val="bottom"/>
          </w:tcPr>
          <w:p>
            <w:pPr>
              <w:pStyle w:val="TableContents"/>
              <w:bidi w:val="0"/>
              <w:spacing w:before="0" w:after="283"/>
              <w:jc w:val="right"/>
              <w:rPr>
                <w:sz w:val="20"/>
              </w:rPr>
            </w:pPr>
            <w:r>
              <w:rPr>
                <w:sz w:val="20"/>
              </w:rPr>
              <w:t>-</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right"/>
              <w:rPr/>
            </w:pPr>
            <w:r>
              <w:rPr/>
              <w:t> </w:t>
            </w:r>
          </w:p>
        </w:tc>
        <w:tc>
          <w:tcPr>
            <w:tcW w:w="60" w:type="dxa"/>
            <w:tcBorders/>
            <w:shd w:fill="FFFFFF" w:val="clear"/>
            <w:vAlign w:val="bottom"/>
          </w:tcPr>
          <w:p>
            <w:pPr>
              <w:pStyle w:val="TableContents"/>
              <w:bidi w:val="0"/>
              <w:spacing w:before="0" w:after="283"/>
              <w:jc w:val="left"/>
              <w:rPr/>
            </w:pPr>
            <w:r>
              <w:rPr/>
              <w:t> </w:t>
            </w:r>
          </w:p>
        </w:tc>
        <w:tc>
          <w:tcPr>
            <w:tcW w:w="755" w:type="dxa"/>
            <w:tcBorders/>
            <w:shd w:fill="FFFFFF" w:val="clear"/>
            <w:vAlign w:val="bottom"/>
          </w:tcPr>
          <w:p>
            <w:pPr>
              <w:pStyle w:val="TableContents"/>
              <w:bidi w:val="0"/>
              <w:spacing w:before="0" w:after="283"/>
              <w:jc w:val="right"/>
              <w:rPr>
                <w:sz w:val="20"/>
              </w:rPr>
            </w:pPr>
            <w:r>
              <w:rPr>
                <w:sz w:val="20"/>
              </w:rPr>
              <w:t>-</w:t>
            </w:r>
          </w:p>
        </w:tc>
        <w:tc>
          <w:tcPr>
            <w:tcW w:w="80" w:type="dxa"/>
            <w:tcBorders/>
            <w:shd w:fill="FFFFFF" w:val="clear"/>
            <w:vAlign w:val="bottom"/>
          </w:tcPr>
          <w:p>
            <w:pPr>
              <w:pStyle w:val="TableContents"/>
              <w:bidi w:val="0"/>
              <w:spacing w:before="0" w:after="283"/>
              <w:jc w:val="left"/>
              <w:rPr/>
            </w:pPr>
            <w:r>
              <w:rPr/>
              <w:t> </w:t>
            </w:r>
          </w:p>
        </w:tc>
        <w:tc>
          <w:tcPr>
            <w:tcW w:w="185" w:type="dxa"/>
            <w:tcBorders/>
            <w:shd w:fill="FFFFFF" w:val="clear"/>
            <w:vAlign w:val="bottom"/>
          </w:tcPr>
          <w:p>
            <w:pPr>
              <w:pStyle w:val="TableContents"/>
              <w:bidi w:val="0"/>
              <w:spacing w:before="0" w:after="283"/>
              <w:jc w:val="right"/>
              <w:rPr/>
            </w:pPr>
            <w:r>
              <w:rPr/>
              <w:t> </w:t>
            </w:r>
          </w:p>
        </w:tc>
        <w:tc>
          <w:tcPr>
            <w:tcW w:w="60" w:type="dxa"/>
            <w:tcBorders/>
            <w:shd w:fill="FFFFFF" w:val="clear"/>
            <w:vAlign w:val="bottom"/>
          </w:tcPr>
          <w:p>
            <w:pPr>
              <w:pStyle w:val="TableContents"/>
              <w:bidi w:val="0"/>
              <w:spacing w:before="0" w:after="283"/>
              <w:jc w:val="right"/>
              <w:rPr/>
            </w:pPr>
            <w:r>
              <w:rPr/>
              <w:t> </w:t>
            </w:r>
          </w:p>
        </w:tc>
        <w:tc>
          <w:tcPr>
            <w:tcW w:w="342" w:type="dxa"/>
            <w:tcBorders/>
            <w:shd w:fill="FFFFFF" w:val="clear"/>
            <w:vAlign w:val="bottom"/>
          </w:tcPr>
          <w:p>
            <w:pPr>
              <w:pStyle w:val="TableContents"/>
              <w:bidi w:val="0"/>
              <w:spacing w:before="0" w:after="283"/>
              <w:jc w:val="left"/>
              <w:rPr/>
            </w:pPr>
            <w:r>
              <w:rPr/>
              <w:t> </w:t>
            </w:r>
          </w:p>
        </w:tc>
        <w:tc>
          <w:tcPr>
            <w:tcW w:w="458" w:type="dxa"/>
            <w:tcBorders/>
            <w:shd w:fill="FFFFFF" w:val="clear"/>
            <w:vAlign w:val="bottom"/>
          </w:tcPr>
          <w:p>
            <w:pPr>
              <w:pStyle w:val="TableContents"/>
              <w:bidi w:val="0"/>
              <w:spacing w:before="0" w:after="283"/>
              <w:jc w:val="right"/>
              <w:rPr>
                <w:sz w:val="20"/>
              </w:rPr>
            </w:pPr>
            <w:r>
              <w:rPr>
                <w:sz w:val="20"/>
              </w:rPr>
              <w:t>-</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right"/>
              <w:rPr/>
            </w:pPr>
            <w:r>
              <w:rPr/>
              <w:t> </w:t>
            </w:r>
          </w:p>
        </w:tc>
        <w:tc>
          <w:tcPr>
            <w:tcW w:w="60" w:type="dxa"/>
            <w:tcBorders/>
            <w:shd w:fill="FFFFFF" w:val="clear"/>
            <w:vAlign w:val="bottom"/>
          </w:tcPr>
          <w:p>
            <w:pPr>
              <w:pStyle w:val="TableContents"/>
              <w:bidi w:val="0"/>
              <w:spacing w:before="0" w:after="283"/>
              <w:jc w:val="left"/>
              <w:rPr/>
            </w:pPr>
            <w:r>
              <w:rPr/>
              <w:t> </w:t>
            </w:r>
          </w:p>
        </w:tc>
        <w:tc>
          <w:tcPr>
            <w:tcW w:w="695" w:type="dxa"/>
            <w:tcBorders/>
            <w:shd w:fill="FFFFFF" w:val="clear"/>
            <w:vAlign w:val="bottom"/>
          </w:tcPr>
          <w:p>
            <w:pPr>
              <w:pStyle w:val="TableContents"/>
              <w:bidi w:val="0"/>
              <w:spacing w:before="0" w:after="283"/>
              <w:jc w:val="right"/>
              <w:rPr>
                <w:sz w:val="20"/>
              </w:rPr>
            </w:pPr>
            <w:r>
              <w:rPr>
                <w:sz w:val="20"/>
              </w:rPr>
              <w:t>-</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right"/>
              <w:rPr/>
            </w:pPr>
            <w:r>
              <w:rPr/>
              <w:t> </w:t>
            </w:r>
          </w:p>
        </w:tc>
        <w:tc>
          <w:tcPr>
            <w:tcW w:w="342" w:type="dxa"/>
            <w:tcBorders/>
            <w:shd w:fill="FFFFFF" w:val="clear"/>
            <w:vAlign w:val="bottom"/>
          </w:tcPr>
          <w:p>
            <w:pPr>
              <w:pStyle w:val="TableContents"/>
              <w:bidi w:val="0"/>
              <w:spacing w:before="0" w:after="283"/>
              <w:jc w:val="left"/>
              <w:rPr/>
            </w:pPr>
            <w:r>
              <w:rPr/>
              <w:t> </w:t>
            </w:r>
          </w:p>
        </w:tc>
        <w:tc>
          <w:tcPr>
            <w:tcW w:w="458" w:type="dxa"/>
            <w:tcBorders/>
            <w:shd w:fill="FFFFFF" w:val="clear"/>
            <w:vAlign w:val="bottom"/>
          </w:tcPr>
          <w:p>
            <w:pPr>
              <w:pStyle w:val="TableContents"/>
              <w:bidi w:val="0"/>
              <w:spacing w:before="0" w:after="283"/>
              <w:jc w:val="right"/>
              <w:rPr>
                <w:sz w:val="20"/>
              </w:rPr>
            </w:pPr>
            <w:r>
              <w:rPr>
                <w:sz w:val="20"/>
              </w:rPr>
              <w:t>-</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right"/>
              <w:rPr/>
            </w:pPr>
            <w:r>
              <w:rPr/>
              <w:t> </w:t>
            </w:r>
          </w:p>
        </w:tc>
        <w:tc>
          <w:tcPr>
            <w:tcW w:w="81" w:type="dxa"/>
            <w:tcBorders/>
            <w:shd w:fill="FFFFFF" w:val="clear"/>
            <w:vAlign w:val="bottom"/>
          </w:tcPr>
          <w:p>
            <w:pPr>
              <w:pStyle w:val="TableContents"/>
              <w:bidi w:val="0"/>
              <w:spacing w:before="0" w:after="283"/>
              <w:jc w:val="left"/>
              <w:rPr/>
            </w:pPr>
            <w:r>
              <w:rPr/>
              <w:t> </w:t>
            </w:r>
          </w:p>
        </w:tc>
        <w:tc>
          <w:tcPr>
            <w:tcW w:w="1154" w:type="dxa"/>
            <w:tcBorders/>
            <w:shd w:fill="FFFFFF" w:val="clear"/>
            <w:vAlign w:val="bottom"/>
          </w:tcPr>
          <w:p>
            <w:pPr>
              <w:pStyle w:val="TableContents"/>
              <w:bidi w:val="0"/>
              <w:spacing w:before="0" w:after="283"/>
              <w:jc w:val="right"/>
              <w:rPr>
                <w:sz w:val="20"/>
              </w:rPr>
            </w:pPr>
            <w:r>
              <w:rPr>
                <w:sz w:val="20"/>
              </w:rPr>
              <w:t>14,500</w:t>
            </w:r>
          </w:p>
        </w:tc>
        <w:tc>
          <w:tcPr>
            <w:tcW w:w="8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right"/>
              <w:rPr/>
            </w:pPr>
            <w:r>
              <w:rPr/>
              <w:t> </w:t>
            </w:r>
          </w:p>
        </w:tc>
        <w:tc>
          <w:tcPr>
            <w:tcW w:w="205" w:type="dxa"/>
            <w:tcBorders/>
            <w:shd w:fill="FFFFFF" w:val="clear"/>
            <w:vAlign w:val="bottom"/>
          </w:tcPr>
          <w:p>
            <w:pPr>
              <w:pStyle w:val="TableContents"/>
              <w:bidi w:val="0"/>
              <w:spacing w:before="0" w:after="283"/>
              <w:jc w:val="left"/>
              <w:rPr/>
            </w:pPr>
            <w:r>
              <w:rPr/>
              <w:t> </w:t>
            </w:r>
          </w:p>
        </w:tc>
        <w:tc>
          <w:tcPr>
            <w:tcW w:w="625" w:type="dxa"/>
            <w:tcBorders/>
            <w:shd w:fill="FFFFFF" w:val="clear"/>
            <w:vAlign w:val="bottom"/>
          </w:tcPr>
          <w:p>
            <w:pPr>
              <w:pStyle w:val="TableContents"/>
              <w:bidi w:val="0"/>
              <w:spacing w:before="0" w:after="283"/>
              <w:jc w:val="right"/>
              <w:rPr/>
            </w:pPr>
            <w:r>
              <w:rPr/>
              <w:t> </w:t>
            </w:r>
          </w:p>
        </w:tc>
        <w:tc>
          <w:tcPr>
            <w:tcW w:w="60" w:type="dxa"/>
            <w:tcBorders/>
            <w:shd w:fill="FFFFFF" w:val="clear"/>
            <w:vAlign w:val="bottom"/>
          </w:tcPr>
          <w:p>
            <w:pPr>
              <w:pStyle w:val="TableContents"/>
              <w:bidi w:val="0"/>
              <w:spacing w:before="0" w:after="283"/>
              <w:jc w:val="left"/>
              <w:rPr/>
            </w:pPr>
            <w:r>
              <w:rPr/>
              <w:t> </w:t>
            </w:r>
          </w:p>
        </w:tc>
      </w:tr>
      <w:tr>
        <w:trPr/>
        <w:tc>
          <w:tcPr>
            <w:tcW w:w="731" w:type="dxa"/>
            <w:tcBorders/>
            <w:shd w:fill="CCEEFF" w:val="clear"/>
            <w:vAlign w:val="bottom"/>
          </w:tcPr>
          <w:p>
            <w:pPr>
              <w:pStyle w:val="TableContents"/>
              <w:bidi w:val="0"/>
              <w:spacing w:before="0" w:after="0"/>
              <w:ind w:left="360" w:right="0" w:hanging="180"/>
              <w:jc w:val="left"/>
              <w:rPr>
                <w:color w:val="000000"/>
                <w:sz w:val="20"/>
              </w:rPr>
            </w:pPr>
            <w:r>
              <w:rPr>
                <w:color w:val="000000"/>
                <w:sz w:val="20"/>
              </w:rPr>
              <w:t>Number of securities redeemed</w:t>
            </w:r>
          </w:p>
        </w:tc>
        <w:tc>
          <w:tcPr>
            <w:tcW w:w="24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color w:val="000000"/>
                <w:sz w:val="20"/>
              </w:rPr>
            </w:pPr>
            <w:r>
              <w:rPr>
                <w:color w:val="000000"/>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82" w:type="dxa"/>
            <w:tcBorders/>
            <w:shd w:fill="CCEEFF" w:val="clear"/>
            <w:vAlign w:val="bottom"/>
          </w:tcPr>
          <w:p>
            <w:pPr>
              <w:pStyle w:val="TableContents"/>
              <w:bidi w:val="0"/>
              <w:spacing w:before="0" w:after="283"/>
              <w:jc w:val="left"/>
              <w:rPr/>
            </w:pPr>
            <w:r>
              <w:rPr/>
              <w:t> </w:t>
            </w:r>
          </w:p>
        </w:tc>
        <w:tc>
          <w:tcPr>
            <w:tcW w:w="808" w:type="dxa"/>
            <w:tcBorders/>
            <w:shd w:fill="CCEEFF" w:val="clear"/>
            <w:vAlign w:val="bottom"/>
          </w:tcPr>
          <w:p>
            <w:pPr>
              <w:pStyle w:val="TableContents"/>
              <w:bidi w:val="0"/>
              <w:spacing w:before="0" w:after="0"/>
              <w:jc w:val="right"/>
              <w:rPr>
                <w:color w:val="000000"/>
                <w:sz w:val="20"/>
              </w:rPr>
            </w:pPr>
            <w:r>
              <w:rPr>
                <w:color w:val="000000"/>
                <w:sz w:val="20"/>
              </w:rPr>
              <w:t>34,697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83" w:type="dxa"/>
            <w:tcBorders/>
            <w:shd w:fill="CCEEFF" w:val="clear"/>
            <w:vAlign w:val="bottom"/>
          </w:tcPr>
          <w:p>
            <w:pPr>
              <w:pStyle w:val="TableContents"/>
              <w:bidi w:val="0"/>
              <w:spacing w:before="0" w:after="283"/>
              <w:jc w:val="left"/>
              <w:rPr/>
            </w:pPr>
            <w:r>
              <w:rPr/>
              <w:t> </w:t>
            </w:r>
          </w:p>
        </w:tc>
        <w:tc>
          <w:tcPr>
            <w:tcW w:w="822" w:type="dxa"/>
            <w:tcBorders/>
            <w:shd w:fill="CCEEFF" w:val="clear"/>
            <w:vAlign w:val="bottom"/>
          </w:tcPr>
          <w:p>
            <w:pPr>
              <w:pStyle w:val="TableContents"/>
              <w:bidi w:val="0"/>
              <w:spacing w:before="0" w:after="0"/>
              <w:jc w:val="right"/>
              <w:rPr>
                <w:color w:val="000000"/>
                <w:sz w:val="20"/>
              </w:rPr>
            </w:pPr>
            <w:r>
              <w:rPr>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color w:val="000000"/>
                <w:sz w:val="20"/>
              </w:rPr>
            </w:pPr>
            <w:r>
              <w:rPr>
                <w:color w:val="000000"/>
                <w:sz w:val="20"/>
              </w:rPr>
              <w:t>-</w:t>
            </w:r>
          </w:p>
        </w:tc>
        <w:tc>
          <w:tcPr>
            <w:tcW w:w="8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right"/>
              <w:rPr/>
            </w:pPr>
            <w:r>
              <w:rPr/>
              <w:t> </w:t>
            </w:r>
          </w:p>
        </w:tc>
        <w:tc>
          <w:tcPr>
            <w:tcW w:w="88" w:type="dxa"/>
            <w:tcBorders/>
            <w:shd w:fill="CCEEFF" w:val="clear"/>
            <w:vAlign w:val="bottom"/>
          </w:tcPr>
          <w:p>
            <w:pPr>
              <w:pStyle w:val="TableContents"/>
              <w:bidi w:val="0"/>
              <w:spacing w:before="0" w:after="283"/>
              <w:jc w:val="left"/>
              <w:rPr/>
            </w:pPr>
            <w:r>
              <w:rPr/>
              <w:t> </w:t>
            </w:r>
          </w:p>
        </w:tc>
        <w:tc>
          <w:tcPr>
            <w:tcW w:w="712" w:type="dxa"/>
            <w:tcBorders/>
            <w:shd w:fill="CCEEFF" w:val="clear"/>
            <w:vAlign w:val="bottom"/>
          </w:tcPr>
          <w:p>
            <w:pPr>
              <w:pStyle w:val="TableContents"/>
              <w:bidi w:val="0"/>
              <w:spacing w:before="0" w:after="0"/>
              <w:jc w:val="right"/>
              <w:rPr>
                <w:color w:val="000000"/>
                <w:sz w:val="20"/>
              </w:rPr>
            </w:pPr>
            <w:r>
              <w:rPr>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73" w:type="dxa"/>
            <w:tcBorders/>
            <w:shd w:fill="CCEEFF" w:val="clear"/>
            <w:vAlign w:val="bottom"/>
          </w:tcPr>
          <w:p>
            <w:pPr>
              <w:pStyle w:val="TableContents"/>
              <w:bidi w:val="0"/>
              <w:spacing w:before="0" w:after="283"/>
              <w:jc w:val="left"/>
              <w:rPr/>
            </w:pPr>
            <w:r>
              <w:rPr/>
              <w:t> </w:t>
            </w:r>
          </w:p>
        </w:tc>
        <w:tc>
          <w:tcPr>
            <w:tcW w:w="727" w:type="dxa"/>
            <w:tcBorders/>
            <w:shd w:fill="CCEEFF" w:val="clear"/>
            <w:vAlign w:val="bottom"/>
          </w:tcPr>
          <w:p>
            <w:pPr>
              <w:pStyle w:val="TableContents"/>
              <w:bidi w:val="0"/>
              <w:spacing w:before="0" w:after="283"/>
              <w:jc w:val="right"/>
              <w:rPr>
                <w:sz w:val="20"/>
              </w:rPr>
            </w:pPr>
            <w:r>
              <w:rPr>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sz w:val="20"/>
              </w:rPr>
            </w:pPr>
            <w:r>
              <w:rPr>
                <w:sz w:val="20"/>
              </w:rPr>
              <w:t>-</w:t>
            </w:r>
          </w:p>
        </w:tc>
        <w:tc>
          <w:tcPr>
            <w:tcW w:w="8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right"/>
              <w:rPr/>
            </w:pPr>
            <w:r>
              <w:rPr/>
              <w:t> </w:t>
            </w:r>
          </w:p>
        </w:tc>
        <w:tc>
          <w:tcPr>
            <w:tcW w:w="342" w:type="dxa"/>
            <w:tcBorders/>
            <w:shd w:fill="CCEEFF" w:val="clear"/>
            <w:vAlign w:val="bottom"/>
          </w:tcPr>
          <w:p>
            <w:pPr>
              <w:pStyle w:val="TableContents"/>
              <w:bidi w:val="0"/>
              <w:spacing w:before="0" w:after="283"/>
              <w:jc w:val="left"/>
              <w:rPr/>
            </w:pPr>
            <w:r>
              <w:rPr/>
              <w:t> </w:t>
            </w:r>
          </w:p>
        </w:tc>
        <w:tc>
          <w:tcPr>
            <w:tcW w:w="458" w:type="dxa"/>
            <w:tcBorders/>
            <w:shd w:fill="CCEEFF" w:val="clear"/>
            <w:vAlign w:val="bottom"/>
          </w:tcPr>
          <w:p>
            <w:pPr>
              <w:pStyle w:val="TableContents"/>
              <w:bidi w:val="0"/>
              <w:spacing w:before="0" w:after="283"/>
              <w:jc w:val="right"/>
              <w:rPr>
                <w:sz w:val="20"/>
              </w:rPr>
            </w:pPr>
            <w:r>
              <w:rPr>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sz w:val="20"/>
              </w:rPr>
            </w:pPr>
            <w:r>
              <w:rPr>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42" w:type="dxa"/>
            <w:tcBorders/>
            <w:shd w:fill="CCEEFF" w:val="clear"/>
            <w:vAlign w:val="bottom"/>
          </w:tcPr>
          <w:p>
            <w:pPr>
              <w:pStyle w:val="TableContents"/>
              <w:bidi w:val="0"/>
              <w:spacing w:before="0" w:after="283"/>
              <w:jc w:val="left"/>
              <w:rPr/>
            </w:pPr>
            <w:r>
              <w:rPr/>
              <w:t> </w:t>
            </w:r>
          </w:p>
        </w:tc>
        <w:tc>
          <w:tcPr>
            <w:tcW w:w="458" w:type="dxa"/>
            <w:tcBorders/>
            <w:shd w:fill="CCEEFF" w:val="clear"/>
            <w:vAlign w:val="bottom"/>
          </w:tcPr>
          <w:p>
            <w:pPr>
              <w:pStyle w:val="TableContents"/>
              <w:bidi w:val="0"/>
              <w:spacing w:before="0" w:after="283"/>
              <w:jc w:val="right"/>
              <w:rPr>
                <w:sz w:val="20"/>
              </w:rPr>
            </w:pPr>
            <w:r>
              <w:rPr>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81" w:type="dxa"/>
            <w:tcBorders/>
            <w:shd w:fill="CCEEFF" w:val="clear"/>
            <w:vAlign w:val="bottom"/>
          </w:tcPr>
          <w:p>
            <w:pPr>
              <w:pStyle w:val="TableContents"/>
              <w:bidi w:val="0"/>
              <w:spacing w:before="0" w:after="283"/>
              <w:jc w:val="left"/>
              <w:rPr/>
            </w:pPr>
            <w:r>
              <w:rPr/>
              <w:t> </w:t>
            </w:r>
          </w:p>
        </w:tc>
        <w:tc>
          <w:tcPr>
            <w:tcW w:w="1154" w:type="dxa"/>
            <w:tcBorders/>
            <w:shd w:fill="CCEEFF" w:val="clear"/>
            <w:vAlign w:val="bottom"/>
          </w:tcPr>
          <w:p>
            <w:pPr>
              <w:pStyle w:val="TableContents"/>
              <w:bidi w:val="0"/>
              <w:spacing w:before="0" w:after="0"/>
              <w:jc w:val="right"/>
              <w:rPr>
                <w:color w:val="000000"/>
                <w:sz w:val="20"/>
              </w:rPr>
            </w:pPr>
            <w:r>
              <w:rPr>
                <w:color w:val="000000"/>
                <w:sz w:val="20"/>
              </w:rPr>
              <w:t>34,697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5" w:type="dxa"/>
            <w:tcBorders/>
            <w:shd w:fill="CCEEFF" w:val="clear"/>
            <w:vAlign w:val="bottom"/>
          </w:tcPr>
          <w:p>
            <w:pPr>
              <w:pStyle w:val="TableContents"/>
              <w:bidi w:val="0"/>
              <w:spacing w:before="0" w:after="0"/>
              <w:jc w:val="left"/>
              <w:rPr>
                <w:color w:val="000000"/>
                <w:sz w:val="20"/>
              </w:rPr>
            </w:pPr>
            <w:r>
              <w:rPr>
                <w:color w:val="000000"/>
                <w:sz w:val="20"/>
              </w:rPr>
              <w:t>$</w:t>
            </w:r>
          </w:p>
        </w:tc>
        <w:tc>
          <w:tcPr>
            <w:tcW w:w="625" w:type="dxa"/>
            <w:tcBorders/>
            <w:shd w:fill="CCEEFF" w:val="clear"/>
            <w:vAlign w:val="bottom"/>
          </w:tcPr>
          <w:p>
            <w:pPr>
              <w:pStyle w:val="TableContents"/>
              <w:bidi w:val="0"/>
              <w:spacing w:before="0" w:after="0"/>
              <w:jc w:val="right"/>
              <w:rPr>
                <w:color w:val="000000"/>
                <w:sz w:val="20"/>
              </w:rPr>
            </w:pPr>
            <w:r>
              <w:rPr>
                <w:color w:val="000000"/>
                <w:sz w:val="20"/>
              </w:rPr>
              <w:t>2.95</w:t>
            </w:r>
          </w:p>
        </w:tc>
        <w:tc>
          <w:tcPr>
            <w:tcW w:w="60" w:type="dxa"/>
            <w:tcBorders/>
            <w:shd w:fill="CCEEFF" w:val="clear"/>
            <w:vAlign w:val="bottom"/>
          </w:tcPr>
          <w:p>
            <w:pPr>
              <w:pStyle w:val="TableContents"/>
              <w:bidi w:val="0"/>
              <w:spacing w:before="0" w:after="283"/>
              <w:jc w:val="left"/>
              <w:rPr/>
            </w:pPr>
            <w:r>
              <w:rPr/>
              <w:t> </w:t>
            </w:r>
          </w:p>
        </w:tc>
      </w:tr>
      <w:tr>
        <w:trPr/>
        <w:tc>
          <w:tcPr>
            <w:tcW w:w="731" w:type="dxa"/>
            <w:tcBorders/>
            <w:shd w:fill="FFFFFF" w:val="clear"/>
            <w:vAlign w:val="bottom"/>
          </w:tcPr>
          <w:p>
            <w:pPr>
              <w:pStyle w:val="TableContents"/>
              <w:bidi w:val="0"/>
              <w:spacing w:before="0" w:after="0"/>
              <w:ind w:left="360" w:right="0" w:hanging="180"/>
              <w:jc w:val="left"/>
              <w:rPr>
                <w:sz w:val="20"/>
              </w:rPr>
            </w:pPr>
            <w:r>
              <w:rPr>
                <w:sz w:val="20"/>
              </w:rPr>
              <w:t xml:space="preserve">Number of securities issued or to be issued upon exercise </w:t>
            </w:r>
          </w:p>
        </w:tc>
        <w:tc>
          <w:tcPr>
            <w:tcW w:w="240" w:type="dxa"/>
            <w:tcBorders/>
            <w:shd w:fill="FFFFFF" w:val="clear"/>
            <w:vAlign w:val="bottom"/>
          </w:tcPr>
          <w:p>
            <w:pPr>
              <w:pStyle w:val="TableContents"/>
              <w:bidi w:val="0"/>
              <w:spacing w:before="0" w:after="283"/>
              <w:jc w:val="right"/>
              <w:rPr/>
            </w:pPr>
            <w:r>
              <w:rPr/>
              <w:t> </w:t>
            </w:r>
          </w:p>
        </w:tc>
        <w:tc>
          <w:tcPr>
            <w:tcW w:w="60" w:type="dxa"/>
            <w:tcBorders/>
            <w:shd w:fill="FFFFFF" w:val="clear"/>
            <w:vAlign w:val="bottom"/>
          </w:tcPr>
          <w:p>
            <w:pPr>
              <w:pStyle w:val="TableContents"/>
              <w:bidi w:val="0"/>
              <w:spacing w:before="0" w:after="283"/>
              <w:jc w:val="left"/>
              <w:rPr/>
            </w:pPr>
            <w:r>
              <w:rPr/>
              <w:t> </w:t>
            </w:r>
          </w:p>
        </w:tc>
        <w:tc>
          <w:tcPr>
            <w:tcW w:w="755" w:type="dxa"/>
            <w:tcBorders/>
            <w:shd w:fill="FFFFFF" w:val="clear"/>
            <w:vAlign w:val="bottom"/>
          </w:tcPr>
          <w:p>
            <w:pPr>
              <w:pStyle w:val="TableContents"/>
              <w:bidi w:val="0"/>
              <w:spacing w:before="0" w:after="283"/>
              <w:jc w:val="right"/>
              <w:rPr>
                <w:sz w:val="20"/>
              </w:rPr>
            </w:pPr>
            <w:r>
              <w:rPr>
                <w:sz w:val="20"/>
              </w:rPr>
              <w:t>-</w:t>
            </w:r>
          </w:p>
        </w:tc>
        <w:tc>
          <w:tcPr>
            <w:tcW w:w="8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right"/>
              <w:rPr/>
            </w:pPr>
            <w:r>
              <w:rPr/>
              <w:t> </w:t>
            </w:r>
          </w:p>
        </w:tc>
        <w:tc>
          <w:tcPr>
            <w:tcW w:w="82" w:type="dxa"/>
            <w:tcBorders/>
            <w:shd w:fill="FFFFFF" w:val="clear"/>
            <w:vAlign w:val="bottom"/>
          </w:tcPr>
          <w:p>
            <w:pPr>
              <w:pStyle w:val="TableContents"/>
              <w:bidi w:val="0"/>
              <w:spacing w:before="0" w:after="283"/>
              <w:jc w:val="left"/>
              <w:rPr/>
            </w:pPr>
            <w:r>
              <w:rPr/>
              <w:t> </w:t>
            </w:r>
          </w:p>
        </w:tc>
        <w:tc>
          <w:tcPr>
            <w:tcW w:w="808" w:type="dxa"/>
            <w:tcBorders/>
            <w:shd w:fill="FFFFFF" w:val="clear"/>
            <w:vAlign w:val="bottom"/>
          </w:tcPr>
          <w:p>
            <w:pPr>
              <w:pStyle w:val="TableContents"/>
              <w:bidi w:val="0"/>
              <w:spacing w:before="0" w:after="283"/>
              <w:jc w:val="right"/>
              <w:rPr>
                <w:sz w:val="20"/>
              </w:rPr>
            </w:pPr>
            <w:r>
              <w:rPr>
                <w:sz w:val="20"/>
              </w:rPr>
              <w:t>-</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right"/>
              <w:rPr/>
            </w:pPr>
            <w:r>
              <w:rPr/>
              <w:t> </w:t>
            </w:r>
          </w:p>
        </w:tc>
        <w:tc>
          <w:tcPr>
            <w:tcW w:w="83" w:type="dxa"/>
            <w:tcBorders/>
            <w:shd w:fill="FFFFFF" w:val="clear"/>
            <w:vAlign w:val="bottom"/>
          </w:tcPr>
          <w:p>
            <w:pPr>
              <w:pStyle w:val="TableContents"/>
              <w:bidi w:val="0"/>
              <w:spacing w:before="0" w:after="283"/>
              <w:jc w:val="left"/>
              <w:rPr/>
            </w:pPr>
            <w:r>
              <w:rPr/>
              <w:t> </w:t>
            </w:r>
          </w:p>
        </w:tc>
        <w:tc>
          <w:tcPr>
            <w:tcW w:w="822" w:type="dxa"/>
            <w:tcBorders/>
            <w:shd w:fill="FFFFFF" w:val="clear"/>
            <w:vAlign w:val="bottom"/>
          </w:tcPr>
          <w:p>
            <w:pPr>
              <w:pStyle w:val="TableContents"/>
              <w:bidi w:val="0"/>
              <w:spacing w:before="0" w:after="283"/>
              <w:jc w:val="right"/>
              <w:rPr>
                <w:sz w:val="20"/>
              </w:rPr>
            </w:pPr>
            <w:r>
              <w:rPr>
                <w:sz w:val="20"/>
              </w:rPr>
              <w:t>-</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right"/>
              <w:rPr/>
            </w:pPr>
            <w:r>
              <w:rPr/>
              <w:t> </w:t>
            </w:r>
          </w:p>
        </w:tc>
        <w:tc>
          <w:tcPr>
            <w:tcW w:w="60" w:type="dxa"/>
            <w:tcBorders/>
            <w:shd w:fill="FFFFFF" w:val="clear"/>
            <w:vAlign w:val="bottom"/>
          </w:tcPr>
          <w:p>
            <w:pPr>
              <w:pStyle w:val="TableContents"/>
              <w:bidi w:val="0"/>
              <w:spacing w:before="0" w:after="283"/>
              <w:jc w:val="left"/>
              <w:rPr/>
            </w:pPr>
            <w:r>
              <w:rPr/>
              <w:t> </w:t>
            </w:r>
          </w:p>
        </w:tc>
        <w:tc>
          <w:tcPr>
            <w:tcW w:w="755" w:type="dxa"/>
            <w:tcBorders/>
            <w:shd w:fill="FFFFFF" w:val="clear"/>
            <w:vAlign w:val="bottom"/>
          </w:tcPr>
          <w:p>
            <w:pPr>
              <w:pStyle w:val="TableContents"/>
              <w:bidi w:val="0"/>
              <w:spacing w:before="0" w:after="283"/>
              <w:jc w:val="right"/>
              <w:rPr>
                <w:sz w:val="20"/>
              </w:rPr>
            </w:pPr>
            <w:r>
              <w:rPr>
                <w:sz w:val="20"/>
              </w:rPr>
              <w:t>(60,041</w:t>
            </w:r>
          </w:p>
        </w:tc>
        <w:tc>
          <w:tcPr>
            <w:tcW w:w="80" w:type="dxa"/>
            <w:tcBorders/>
            <w:shd w:fill="FFFFFF" w:val="clear"/>
            <w:vAlign w:val="bottom"/>
          </w:tcPr>
          <w:p>
            <w:pPr>
              <w:pStyle w:val="TableContents"/>
              <w:bidi w:val="0"/>
              <w:spacing w:before="0" w:after="283"/>
              <w:jc w:val="left"/>
              <w:rPr>
                <w:sz w:val="20"/>
              </w:rPr>
            </w:pPr>
            <w:r>
              <w:rPr>
                <w:sz w:val="20"/>
              </w:rPr>
              <w:t>)</w:t>
            </w:r>
          </w:p>
        </w:tc>
        <w:tc>
          <w:tcPr>
            <w:tcW w:w="200" w:type="dxa"/>
            <w:tcBorders/>
            <w:shd w:fill="FFFFFF" w:val="clear"/>
            <w:vAlign w:val="bottom"/>
          </w:tcPr>
          <w:p>
            <w:pPr>
              <w:pStyle w:val="TableContents"/>
              <w:bidi w:val="0"/>
              <w:spacing w:before="0" w:after="283"/>
              <w:jc w:val="right"/>
              <w:rPr/>
            </w:pPr>
            <w:r>
              <w:rPr/>
              <w:t> </w:t>
            </w:r>
          </w:p>
        </w:tc>
        <w:tc>
          <w:tcPr>
            <w:tcW w:w="60" w:type="dxa"/>
            <w:tcBorders/>
            <w:shd w:fill="FFFFFF" w:val="clear"/>
            <w:vAlign w:val="bottom"/>
          </w:tcPr>
          <w:p>
            <w:pPr>
              <w:pStyle w:val="TableContents"/>
              <w:bidi w:val="0"/>
              <w:spacing w:before="0" w:after="283"/>
              <w:jc w:val="right"/>
              <w:rPr/>
            </w:pPr>
            <w:r>
              <w:rPr/>
              <w:t> </w:t>
            </w:r>
          </w:p>
        </w:tc>
        <w:tc>
          <w:tcPr>
            <w:tcW w:w="88" w:type="dxa"/>
            <w:tcBorders/>
            <w:shd w:fill="FFFFFF" w:val="clear"/>
            <w:vAlign w:val="bottom"/>
          </w:tcPr>
          <w:p>
            <w:pPr>
              <w:pStyle w:val="TableContents"/>
              <w:bidi w:val="0"/>
              <w:spacing w:before="0" w:after="283"/>
              <w:jc w:val="left"/>
              <w:rPr/>
            </w:pPr>
            <w:r>
              <w:rPr/>
              <w:t> </w:t>
            </w:r>
          </w:p>
        </w:tc>
        <w:tc>
          <w:tcPr>
            <w:tcW w:w="712" w:type="dxa"/>
            <w:tcBorders/>
            <w:shd w:fill="FFFFFF" w:val="clear"/>
            <w:vAlign w:val="bottom"/>
          </w:tcPr>
          <w:p>
            <w:pPr>
              <w:pStyle w:val="TableContents"/>
              <w:bidi w:val="0"/>
              <w:spacing w:before="0" w:after="283"/>
              <w:jc w:val="right"/>
              <w:rPr>
                <w:sz w:val="20"/>
              </w:rPr>
            </w:pPr>
            <w:r>
              <w:rPr>
                <w:sz w:val="20"/>
              </w:rPr>
              <w:t>-</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right"/>
              <w:rPr/>
            </w:pPr>
            <w:r>
              <w:rPr/>
              <w:t> </w:t>
            </w:r>
          </w:p>
        </w:tc>
        <w:tc>
          <w:tcPr>
            <w:tcW w:w="73" w:type="dxa"/>
            <w:tcBorders/>
            <w:shd w:fill="FFFFFF" w:val="clear"/>
            <w:vAlign w:val="bottom"/>
          </w:tcPr>
          <w:p>
            <w:pPr>
              <w:pStyle w:val="TableContents"/>
              <w:bidi w:val="0"/>
              <w:spacing w:before="0" w:after="283"/>
              <w:jc w:val="left"/>
              <w:rPr/>
            </w:pPr>
            <w:r>
              <w:rPr/>
              <w:t> </w:t>
            </w:r>
          </w:p>
        </w:tc>
        <w:tc>
          <w:tcPr>
            <w:tcW w:w="727" w:type="dxa"/>
            <w:tcBorders/>
            <w:shd w:fill="FFFFFF" w:val="clear"/>
            <w:vAlign w:val="bottom"/>
          </w:tcPr>
          <w:p>
            <w:pPr>
              <w:pStyle w:val="TableContents"/>
              <w:bidi w:val="0"/>
              <w:spacing w:before="0" w:after="283"/>
              <w:jc w:val="right"/>
              <w:rPr>
                <w:sz w:val="20"/>
              </w:rPr>
            </w:pPr>
            <w:r>
              <w:rPr>
                <w:sz w:val="20"/>
              </w:rPr>
              <w:t>21,391</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right"/>
              <w:rPr/>
            </w:pPr>
            <w:r>
              <w:rPr/>
              <w:t> </w:t>
            </w:r>
          </w:p>
        </w:tc>
        <w:tc>
          <w:tcPr>
            <w:tcW w:w="60" w:type="dxa"/>
            <w:tcBorders/>
            <w:shd w:fill="FFFFFF" w:val="clear"/>
            <w:vAlign w:val="bottom"/>
          </w:tcPr>
          <w:p>
            <w:pPr>
              <w:pStyle w:val="TableContents"/>
              <w:bidi w:val="0"/>
              <w:spacing w:before="0" w:after="283"/>
              <w:jc w:val="left"/>
              <w:rPr/>
            </w:pPr>
            <w:r>
              <w:rPr/>
              <w:t> </w:t>
            </w:r>
          </w:p>
        </w:tc>
        <w:tc>
          <w:tcPr>
            <w:tcW w:w="755" w:type="dxa"/>
            <w:tcBorders/>
            <w:shd w:fill="FFFFFF" w:val="clear"/>
            <w:vAlign w:val="bottom"/>
          </w:tcPr>
          <w:p>
            <w:pPr>
              <w:pStyle w:val="TableContents"/>
              <w:bidi w:val="0"/>
              <w:spacing w:before="0" w:after="283"/>
              <w:jc w:val="right"/>
              <w:rPr>
                <w:sz w:val="20"/>
              </w:rPr>
            </w:pPr>
            <w:r>
              <w:rPr>
                <w:sz w:val="20"/>
              </w:rPr>
              <w:t>-</w:t>
            </w:r>
          </w:p>
        </w:tc>
        <w:tc>
          <w:tcPr>
            <w:tcW w:w="80" w:type="dxa"/>
            <w:tcBorders/>
            <w:shd w:fill="FFFFFF" w:val="clear"/>
            <w:vAlign w:val="bottom"/>
          </w:tcPr>
          <w:p>
            <w:pPr>
              <w:pStyle w:val="TableContents"/>
              <w:bidi w:val="0"/>
              <w:spacing w:before="0" w:after="283"/>
              <w:jc w:val="left"/>
              <w:rPr/>
            </w:pPr>
            <w:r>
              <w:rPr/>
              <w:t> </w:t>
            </w:r>
          </w:p>
        </w:tc>
        <w:tc>
          <w:tcPr>
            <w:tcW w:w="185" w:type="dxa"/>
            <w:tcBorders/>
            <w:shd w:fill="FFFFFF" w:val="clear"/>
            <w:vAlign w:val="bottom"/>
          </w:tcPr>
          <w:p>
            <w:pPr>
              <w:pStyle w:val="TableContents"/>
              <w:bidi w:val="0"/>
              <w:spacing w:before="0" w:after="283"/>
              <w:jc w:val="right"/>
              <w:rPr/>
            </w:pPr>
            <w:r>
              <w:rPr/>
              <w:t> </w:t>
            </w:r>
          </w:p>
        </w:tc>
        <w:tc>
          <w:tcPr>
            <w:tcW w:w="60" w:type="dxa"/>
            <w:tcBorders/>
            <w:shd w:fill="FFFFFF" w:val="clear"/>
            <w:vAlign w:val="bottom"/>
          </w:tcPr>
          <w:p>
            <w:pPr>
              <w:pStyle w:val="TableContents"/>
              <w:bidi w:val="0"/>
              <w:spacing w:before="0" w:after="283"/>
              <w:jc w:val="right"/>
              <w:rPr/>
            </w:pPr>
            <w:r>
              <w:rPr/>
              <w:t> </w:t>
            </w:r>
          </w:p>
        </w:tc>
        <w:tc>
          <w:tcPr>
            <w:tcW w:w="342" w:type="dxa"/>
            <w:tcBorders/>
            <w:shd w:fill="FFFFFF" w:val="clear"/>
            <w:vAlign w:val="bottom"/>
          </w:tcPr>
          <w:p>
            <w:pPr>
              <w:pStyle w:val="TableContents"/>
              <w:bidi w:val="0"/>
              <w:spacing w:before="0" w:after="283"/>
              <w:jc w:val="left"/>
              <w:rPr/>
            </w:pPr>
            <w:r>
              <w:rPr/>
              <w:t> </w:t>
            </w:r>
          </w:p>
        </w:tc>
        <w:tc>
          <w:tcPr>
            <w:tcW w:w="458" w:type="dxa"/>
            <w:tcBorders/>
            <w:shd w:fill="FFFFFF" w:val="clear"/>
            <w:vAlign w:val="bottom"/>
          </w:tcPr>
          <w:p>
            <w:pPr>
              <w:pStyle w:val="TableContents"/>
              <w:bidi w:val="0"/>
              <w:spacing w:before="0" w:after="283"/>
              <w:jc w:val="right"/>
              <w:rPr>
                <w:sz w:val="20"/>
              </w:rPr>
            </w:pPr>
            <w:r>
              <w:rPr>
                <w:sz w:val="20"/>
              </w:rPr>
              <w:t>-</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right"/>
              <w:rPr/>
            </w:pPr>
            <w:r>
              <w:rPr/>
              <w:t> </w:t>
            </w:r>
          </w:p>
        </w:tc>
        <w:tc>
          <w:tcPr>
            <w:tcW w:w="60" w:type="dxa"/>
            <w:tcBorders/>
            <w:shd w:fill="FFFFFF" w:val="clear"/>
            <w:vAlign w:val="bottom"/>
          </w:tcPr>
          <w:p>
            <w:pPr>
              <w:pStyle w:val="TableContents"/>
              <w:bidi w:val="0"/>
              <w:spacing w:before="0" w:after="283"/>
              <w:jc w:val="left"/>
              <w:rPr/>
            </w:pPr>
            <w:r>
              <w:rPr/>
              <w:t> </w:t>
            </w:r>
          </w:p>
        </w:tc>
        <w:tc>
          <w:tcPr>
            <w:tcW w:w="695" w:type="dxa"/>
            <w:tcBorders/>
            <w:shd w:fill="FFFFFF" w:val="clear"/>
            <w:vAlign w:val="bottom"/>
          </w:tcPr>
          <w:p>
            <w:pPr>
              <w:pStyle w:val="TableContents"/>
              <w:bidi w:val="0"/>
              <w:spacing w:before="0" w:after="283"/>
              <w:jc w:val="right"/>
              <w:rPr>
                <w:sz w:val="20"/>
              </w:rPr>
            </w:pPr>
            <w:r>
              <w:rPr>
                <w:sz w:val="20"/>
              </w:rPr>
              <w:t>60,041</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right"/>
              <w:rPr/>
            </w:pPr>
            <w:r>
              <w:rPr/>
              <w:t> </w:t>
            </w:r>
          </w:p>
        </w:tc>
        <w:tc>
          <w:tcPr>
            <w:tcW w:w="342" w:type="dxa"/>
            <w:tcBorders/>
            <w:shd w:fill="FFFFFF" w:val="clear"/>
            <w:vAlign w:val="bottom"/>
          </w:tcPr>
          <w:p>
            <w:pPr>
              <w:pStyle w:val="TableContents"/>
              <w:bidi w:val="0"/>
              <w:spacing w:before="0" w:after="283"/>
              <w:jc w:val="left"/>
              <w:rPr/>
            </w:pPr>
            <w:r>
              <w:rPr/>
              <w:t> </w:t>
            </w:r>
          </w:p>
        </w:tc>
        <w:tc>
          <w:tcPr>
            <w:tcW w:w="458" w:type="dxa"/>
            <w:tcBorders/>
            <w:shd w:fill="FFFFFF" w:val="clear"/>
            <w:vAlign w:val="bottom"/>
          </w:tcPr>
          <w:p>
            <w:pPr>
              <w:pStyle w:val="TableContents"/>
              <w:bidi w:val="0"/>
              <w:spacing w:before="0" w:after="283"/>
              <w:jc w:val="right"/>
              <w:rPr>
                <w:sz w:val="20"/>
              </w:rPr>
            </w:pPr>
            <w:r>
              <w:rPr>
                <w:sz w:val="20"/>
              </w:rPr>
              <w:t>-</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right"/>
              <w:rPr/>
            </w:pPr>
            <w:r>
              <w:rPr/>
              <w:t> </w:t>
            </w:r>
          </w:p>
        </w:tc>
        <w:tc>
          <w:tcPr>
            <w:tcW w:w="81" w:type="dxa"/>
            <w:tcBorders/>
            <w:shd w:fill="FFFFFF" w:val="clear"/>
            <w:vAlign w:val="bottom"/>
          </w:tcPr>
          <w:p>
            <w:pPr>
              <w:pStyle w:val="TableContents"/>
              <w:bidi w:val="0"/>
              <w:spacing w:before="0" w:after="283"/>
              <w:jc w:val="left"/>
              <w:rPr/>
            </w:pPr>
            <w:r>
              <w:rPr/>
              <w:t> </w:t>
            </w:r>
          </w:p>
        </w:tc>
        <w:tc>
          <w:tcPr>
            <w:tcW w:w="1154" w:type="dxa"/>
            <w:tcBorders/>
            <w:shd w:fill="FFFFFF" w:val="clear"/>
            <w:vAlign w:val="bottom"/>
          </w:tcPr>
          <w:p>
            <w:pPr>
              <w:pStyle w:val="TableContents"/>
              <w:bidi w:val="0"/>
              <w:spacing w:before="0" w:after="283"/>
              <w:jc w:val="right"/>
              <w:rPr>
                <w:sz w:val="20"/>
              </w:rPr>
            </w:pPr>
            <w:r>
              <w:rPr>
                <w:sz w:val="20"/>
              </w:rPr>
              <w:t>-</w:t>
            </w:r>
          </w:p>
        </w:tc>
        <w:tc>
          <w:tcPr>
            <w:tcW w:w="8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right"/>
              <w:rPr/>
            </w:pPr>
            <w:r>
              <w:rPr/>
              <w:t> </w:t>
            </w:r>
          </w:p>
        </w:tc>
        <w:tc>
          <w:tcPr>
            <w:tcW w:w="205" w:type="dxa"/>
            <w:tcBorders/>
            <w:shd w:fill="FFFFFF" w:val="clear"/>
            <w:vAlign w:val="bottom"/>
          </w:tcPr>
          <w:p>
            <w:pPr>
              <w:pStyle w:val="TableContents"/>
              <w:bidi w:val="0"/>
              <w:spacing w:before="0" w:after="283"/>
              <w:jc w:val="left"/>
              <w:rPr/>
            </w:pPr>
            <w:r>
              <w:rPr/>
              <w:t> </w:t>
            </w:r>
          </w:p>
        </w:tc>
        <w:tc>
          <w:tcPr>
            <w:tcW w:w="625" w:type="dxa"/>
            <w:tcBorders/>
            <w:shd w:fill="FFFFFF" w:val="clear"/>
            <w:vAlign w:val="bottom"/>
          </w:tcPr>
          <w:p>
            <w:pPr>
              <w:pStyle w:val="TableContents"/>
              <w:bidi w:val="0"/>
              <w:spacing w:before="0" w:after="283"/>
              <w:jc w:val="right"/>
              <w:rPr/>
            </w:pPr>
            <w:r>
              <w:rPr/>
              <w:t> </w:t>
            </w:r>
          </w:p>
        </w:tc>
        <w:tc>
          <w:tcPr>
            <w:tcW w:w="60" w:type="dxa"/>
            <w:tcBorders/>
            <w:shd w:fill="FFFFFF" w:val="clear"/>
            <w:vAlign w:val="bottom"/>
          </w:tcPr>
          <w:p>
            <w:pPr>
              <w:pStyle w:val="TableContents"/>
              <w:bidi w:val="0"/>
              <w:spacing w:before="0" w:after="283"/>
              <w:jc w:val="left"/>
              <w:rPr/>
            </w:pPr>
            <w:r>
              <w:rPr/>
              <w:t> </w:t>
            </w:r>
          </w:p>
        </w:tc>
      </w:tr>
      <w:tr>
        <w:trPr/>
        <w:tc>
          <w:tcPr>
            <w:tcW w:w="731" w:type="dxa"/>
            <w:tcBorders/>
            <w:shd w:fill="CCEEFF" w:val="clear"/>
            <w:vAlign w:val="bottom"/>
          </w:tcPr>
          <w:p>
            <w:pPr>
              <w:pStyle w:val="TableContents"/>
              <w:bidi w:val="0"/>
              <w:spacing w:before="0" w:after="0"/>
              <w:ind w:left="360" w:right="0" w:hanging="180"/>
              <w:jc w:val="left"/>
              <w:rPr>
                <w:sz w:val="20"/>
              </w:rPr>
            </w:pPr>
            <w:r>
              <w:rPr>
                <w:sz w:val="20"/>
              </w:rPr>
              <w:t xml:space="preserve">Number of securities issued or to be issued upon exercise </w:t>
            </w:r>
          </w:p>
        </w:tc>
        <w:tc>
          <w:tcPr>
            <w:tcW w:w="240" w:type="dxa"/>
            <w:tcBorders/>
            <w:shd w:fill="CCEEFF" w:val="clear"/>
            <w:vAlign w:val="bottom"/>
          </w:tcPr>
          <w:p>
            <w:pPr>
              <w:pStyle w:val="TableContents"/>
              <w:bidi w:val="0"/>
              <w:spacing w:before="0" w:after="283"/>
              <w:jc w:val="righ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bottom"/>
          </w:tcPr>
          <w:p>
            <w:pPr>
              <w:pStyle w:val="TableContents"/>
              <w:bidi w:val="0"/>
              <w:spacing w:before="0" w:after="283"/>
              <w:jc w:val="right"/>
              <w:rPr>
                <w:sz w:val="20"/>
              </w:rPr>
            </w:pPr>
            <w:r>
              <w:rPr>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8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8" w:type="dxa"/>
            <w:tcBorders>
              <w:bottom w:val="single" w:sz="12" w:space="0" w:color="000000"/>
            </w:tcBorders>
            <w:shd w:fill="CCEEFF" w:val="clear"/>
            <w:tcMar>
              <w:bottom w:w="28" w:type="dxa"/>
            </w:tcMar>
            <w:vAlign w:val="bottom"/>
          </w:tcPr>
          <w:p>
            <w:pPr>
              <w:pStyle w:val="TableContents"/>
              <w:bidi w:val="0"/>
              <w:spacing w:before="0" w:after="283"/>
              <w:jc w:val="right"/>
              <w:rPr>
                <w:sz w:val="20"/>
              </w:rPr>
            </w:pPr>
            <w:r>
              <w:rPr>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8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22" w:type="dxa"/>
            <w:tcBorders>
              <w:bottom w:val="single" w:sz="12" w:space="0" w:color="000000"/>
            </w:tcBorders>
            <w:shd w:fill="CCEEFF" w:val="clear"/>
            <w:tcMar>
              <w:bottom w:w="28" w:type="dxa"/>
            </w:tcMar>
            <w:vAlign w:val="bottom"/>
          </w:tcPr>
          <w:p>
            <w:pPr>
              <w:pStyle w:val="TableContents"/>
              <w:bidi w:val="0"/>
              <w:spacing w:before="0" w:after="283"/>
              <w:jc w:val="right"/>
              <w:rPr>
                <w:sz w:val="20"/>
              </w:rPr>
            </w:pPr>
            <w:r>
              <w:rPr>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bottom"/>
          </w:tcPr>
          <w:p>
            <w:pPr>
              <w:pStyle w:val="TableContents"/>
              <w:bidi w:val="0"/>
              <w:spacing w:before="0" w:after="283"/>
              <w:jc w:val="right"/>
              <w:rPr>
                <w:sz w:val="20"/>
              </w:rPr>
            </w:pPr>
            <w:r>
              <w:rPr>
                <w:sz w:val="20"/>
              </w:rPr>
              <w:t>(146,520</w:t>
            </w:r>
          </w:p>
        </w:tc>
        <w:tc>
          <w:tcPr>
            <w:tcW w:w="80" w:type="dxa"/>
            <w:tcBorders/>
            <w:shd w:fill="CCEEFF" w:val="clear"/>
            <w:vAlign w:val="bottom"/>
          </w:tcPr>
          <w:p>
            <w:pPr>
              <w:pStyle w:val="TableContents"/>
              <w:bidi w:val="0"/>
              <w:spacing w:before="0" w:after="283"/>
              <w:jc w:val="left"/>
              <w:rPr>
                <w:sz w:val="20"/>
              </w:rPr>
            </w:pPr>
            <w:r>
              <w:rPr>
                <w:sz w:val="20"/>
              </w:rPr>
              <w:t>)</w:t>
            </w:r>
          </w:p>
        </w:tc>
        <w:tc>
          <w:tcPr>
            <w:tcW w:w="2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right"/>
              <w:rPr/>
            </w:pPr>
            <w:r>
              <w:rPr/>
              <w:t> </w:t>
            </w:r>
          </w:p>
        </w:tc>
        <w:tc>
          <w:tcPr>
            <w:tcW w:w="8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12" w:type="dxa"/>
            <w:tcBorders>
              <w:bottom w:val="single" w:sz="12" w:space="0" w:color="000000"/>
            </w:tcBorders>
            <w:shd w:fill="CCEEFF" w:val="clear"/>
            <w:tcMar>
              <w:bottom w:w="28" w:type="dxa"/>
            </w:tcMar>
            <w:vAlign w:val="bottom"/>
          </w:tcPr>
          <w:p>
            <w:pPr>
              <w:pStyle w:val="TableContents"/>
              <w:bidi w:val="0"/>
              <w:spacing w:before="0" w:after="283"/>
              <w:jc w:val="right"/>
              <w:rPr>
                <w:sz w:val="20"/>
              </w:rPr>
            </w:pPr>
            <w:r>
              <w:rPr>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7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27" w:type="dxa"/>
            <w:tcBorders>
              <w:bottom w:val="single" w:sz="12" w:space="0" w:color="000000"/>
            </w:tcBorders>
            <w:shd w:fill="CCEEFF" w:val="clear"/>
            <w:tcMar>
              <w:bottom w:w="28" w:type="dxa"/>
            </w:tcMar>
            <w:vAlign w:val="bottom"/>
          </w:tcPr>
          <w:p>
            <w:pPr>
              <w:pStyle w:val="TableContents"/>
              <w:bidi w:val="0"/>
              <w:spacing w:before="0" w:after="283"/>
              <w:jc w:val="right"/>
              <w:rPr>
                <w:sz w:val="20"/>
              </w:rPr>
            </w:pPr>
            <w:r>
              <w:rPr>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bottom"/>
          </w:tcPr>
          <w:p>
            <w:pPr>
              <w:pStyle w:val="TableContents"/>
              <w:bidi w:val="0"/>
              <w:spacing w:before="0" w:after="283"/>
              <w:jc w:val="right"/>
              <w:rPr>
                <w:sz w:val="20"/>
              </w:rPr>
            </w:pPr>
            <w:r>
              <w:rPr>
                <w:sz w:val="20"/>
              </w:rPr>
              <w:t>-</w:t>
            </w:r>
          </w:p>
        </w:tc>
        <w:tc>
          <w:tcPr>
            <w:tcW w:w="8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right"/>
              <w:rPr/>
            </w:pPr>
            <w:r>
              <w:rPr/>
              <w:t> </w:t>
            </w:r>
          </w:p>
        </w:tc>
        <w:tc>
          <w:tcPr>
            <w:tcW w:w="34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458" w:type="dxa"/>
            <w:tcBorders>
              <w:bottom w:val="single" w:sz="12" w:space="0" w:color="000000"/>
            </w:tcBorders>
            <w:shd w:fill="CCEEFF" w:val="clear"/>
            <w:tcMar>
              <w:bottom w:w="28" w:type="dxa"/>
            </w:tcMar>
            <w:vAlign w:val="bottom"/>
          </w:tcPr>
          <w:p>
            <w:pPr>
              <w:pStyle w:val="TableContents"/>
              <w:bidi w:val="0"/>
              <w:spacing w:before="0" w:after="283"/>
              <w:jc w:val="right"/>
              <w:rPr>
                <w:sz w:val="20"/>
              </w:rPr>
            </w:pPr>
            <w:r>
              <w:rPr>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283"/>
              <w:jc w:val="right"/>
              <w:rPr>
                <w:sz w:val="20"/>
              </w:rPr>
            </w:pPr>
            <w:r>
              <w:rPr>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4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458" w:type="dxa"/>
            <w:tcBorders>
              <w:bottom w:val="single" w:sz="12" w:space="0" w:color="000000"/>
            </w:tcBorders>
            <w:shd w:fill="CCEEFF" w:val="clear"/>
            <w:tcMar>
              <w:bottom w:w="28" w:type="dxa"/>
            </w:tcMar>
            <w:vAlign w:val="bottom"/>
          </w:tcPr>
          <w:p>
            <w:pPr>
              <w:pStyle w:val="TableContents"/>
              <w:bidi w:val="0"/>
              <w:spacing w:before="0" w:after="283"/>
              <w:jc w:val="right"/>
              <w:rPr>
                <w:sz w:val="20"/>
              </w:rPr>
            </w:pPr>
            <w:r>
              <w:rPr>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8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54" w:type="dxa"/>
            <w:tcBorders>
              <w:bottom w:val="single" w:sz="12" w:space="0" w:color="000000"/>
            </w:tcBorders>
            <w:shd w:fill="CCEEFF" w:val="clear"/>
            <w:tcMar>
              <w:bottom w:w="28" w:type="dxa"/>
            </w:tcMar>
            <w:vAlign w:val="bottom"/>
          </w:tcPr>
          <w:p>
            <w:pPr>
              <w:pStyle w:val="TableContents"/>
              <w:bidi w:val="0"/>
              <w:spacing w:before="0" w:after="283"/>
              <w:jc w:val="right"/>
              <w:rPr>
                <w:sz w:val="20"/>
              </w:rPr>
            </w:pPr>
            <w:r>
              <w:rPr>
                <w:sz w:val="20"/>
              </w:rPr>
              <w:t>(146,520</w:t>
            </w:r>
          </w:p>
        </w:tc>
        <w:tc>
          <w:tcPr>
            <w:tcW w:w="80" w:type="dxa"/>
            <w:tcBorders/>
            <w:shd w:fill="CCEEFF" w:val="clear"/>
            <w:vAlign w:val="bottom"/>
          </w:tcPr>
          <w:p>
            <w:pPr>
              <w:pStyle w:val="TableContents"/>
              <w:bidi w:val="0"/>
              <w:spacing w:before="0" w:after="283"/>
              <w:jc w:val="left"/>
              <w:rPr>
                <w:sz w:val="20"/>
              </w:rPr>
            </w:pPr>
            <w:r>
              <w:rPr>
                <w:sz w:val="20"/>
              </w:rPr>
              <w:t>)</w:t>
            </w:r>
          </w:p>
        </w:tc>
        <w:tc>
          <w:tcPr>
            <w:tcW w:w="60" w:type="dxa"/>
            <w:tcBorders/>
            <w:shd w:fill="CCEEFF" w:val="clear"/>
            <w:vAlign w:val="bottom"/>
          </w:tcPr>
          <w:p>
            <w:pPr>
              <w:pStyle w:val="TableContents"/>
              <w:bidi w:val="0"/>
              <w:spacing w:before="0" w:after="283"/>
              <w:jc w:val="right"/>
              <w:rPr/>
            </w:pPr>
            <w:r>
              <w:rPr/>
              <w:t> </w:t>
            </w:r>
          </w:p>
        </w:tc>
        <w:tc>
          <w:tcPr>
            <w:tcW w:w="205" w:type="dxa"/>
            <w:tcBorders/>
            <w:shd w:fill="CCEEFF" w:val="clear"/>
            <w:vAlign w:val="bottom"/>
          </w:tcPr>
          <w:p>
            <w:pPr>
              <w:pStyle w:val="TableContents"/>
              <w:bidi w:val="0"/>
              <w:spacing w:before="0" w:after="283"/>
              <w:jc w:val="left"/>
              <w:rPr>
                <w:sz w:val="20"/>
              </w:rPr>
            </w:pPr>
            <w:r>
              <w:rPr>
                <w:sz w:val="20"/>
              </w:rPr>
              <w:t>$</w:t>
            </w:r>
          </w:p>
        </w:tc>
        <w:tc>
          <w:tcPr>
            <w:tcW w:w="625" w:type="dxa"/>
            <w:tcBorders/>
            <w:shd w:fill="CCEEFF" w:val="clear"/>
            <w:vAlign w:val="bottom"/>
          </w:tcPr>
          <w:p>
            <w:pPr>
              <w:pStyle w:val="TableContents"/>
              <w:bidi w:val="0"/>
              <w:spacing w:before="0" w:after="283"/>
              <w:jc w:val="right"/>
              <w:rPr>
                <w:sz w:val="20"/>
              </w:rPr>
            </w:pPr>
            <w:r>
              <w:rPr>
                <w:sz w:val="20"/>
              </w:rPr>
              <w:t>2.73</w:t>
            </w:r>
          </w:p>
        </w:tc>
        <w:tc>
          <w:tcPr>
            <w:tcW w:w="60" w:type="dxa"/>
            <w:tcBorders/>
            <w:shd w:fill="CCEEFF" w:val="clear"/>
            <w:vAlign w:val="bottom"/>
          </w:tcPr>
          <w:p>
            <w:pPr>
              <w:pStyle w:val="TableContents"/>
              <w:bidi w:val="0"/>
              <w:spacing w:before="0" w:after="283"/>
              <w:jc w:val="left"/>
              <w:rPr/>
            </w:pPr>
            <w:r>
              <w:rPr/>
              <w:t> </w:t>
            </w:r>
          </w:p>
        </w:tc>
      </w:tr>
      <w:tr>
        <w:trPr/>
        <w:tc>
          <w:tcPr>
            <w:tcW w:w="731" w:type="dxa"/>
            <w:tcBorders/>
            <w:shd w:fill="FFFFFF" w:val="clear"/>
            <w:vAlign w:val="bottom"/>
          </w:tcPr>
          <w:p>
            <w:pPr>
              <w:pStyle w:val="TableContents"/>
              <w:bidi w:val="0"/>
              <w:spacing w:before="0" w:after="0"/>
              <w:ind w:left="144" w:right="0" w:hanging="144"/>
              <w:jc w:val="left"/>
              <w:rPr>
                <w:b/>
                <w:color w:val="000000"/>
                <w:sz w:val="20"/>
              </w:rPr>
            </w:pPr>
            <w:r>
              <w:rPr>
                <w:b/>
                <w:color w:val="000000"/>
                <w:sz w:val="20"/>
              </w:rPr>
              <w:t>June 30, 2025</w:t>
            </w:r>
          </w:p>
        </w:tc>
        <w:tc>
          <w:tcPr>
            <w:tcW w:w="240" w:type="dxa"/>
            <w:tcBorders/>
            <w:shd w:fill="FFFFFF" w:val="clear"/>
            <w:vAlign w:val="bottom"/>
          </w:tcPr>
          <w:p>
            <w:pPr>
              <w:pStyle w:val="TableContents"/>
              <w:bidi w:val="0"/>
              <w:spacing w:before="0" w:after="283"/>
              <w:jc w:val="right"/>
              <w:rPr/>
            </w:pPr>
            <w:r>
              <w:rPr/>
              <w:t> </w:t>
            </w:r>
          </w:p>
        </w:tc>
        <w:tc>
          <w:tcPr>
            <w:tcW w:w="60" w:type="dxa"/>
            <w:tcBorders/>
            <w:shd w:fill="FFFFFF" w:val="clear"/>
            <w:vAlign w:val="bottom"/>
          </w:tcPr>
          <w:p>
            <w:pPr>
              <w:pStyle w:val="TableContents"/>
              <w:bidi w:val="0"/>
              <w:spacing w:before="0" w:after="283"/>
              <w:jc w:val="left"/>
              <w:rPr/>
            </w:pPr>
            <w:r>
              <w:rPr/>
              <w:t> </w:t>
            </w:r>
          </w:p>
        </w:tc>
        <w:tc>
          <w:tcPr>
            <w:tcW w:w="755" w:type="dxa"/>
            <w:tcBorders/>
            <w:shd w:fill="FFFFFF" w:val="clear"/>
            <w:vAlign w:val="bottom"/>
          </w:tcPr>
          <w:p>
            <w:pPr>
              <w:pStyle w:val="TableContents"/>
              <w:bidi w:val="0"/>
              <w:spacing w:before="0" w:after="0"/>
              <w:jc w:val="right"/>
              <w:rPr>
                <w:color w:val="000000"/>
                <w:sz w:val="20"/>
              </w:rPr>
            </w:pPr>
            <w:r>
              <w:rPr>
                <w:color w:val="000000"/>
                <w:sz w:val="20"/>
              </w:rPr>
              <w:t>(663,492</w:t>
            </w:r>
          </w:p>
        </w:tc>
        <w:tc>
          <w:tcPr>
            <w:tcW w:w="80" w:type="dxa"/>
            <w:tcBorders/>
            <w:shd w:fill="FFFFFF" w:val="clear"/>
            <w:vAlign w:val="bottom"/>
          </w:tcPr>
          <w:p>
            <w:pPr>
              <w:pStyle w:val="TableContents"/>
              <w:bidi w:val="0"/>
              <w:spacing w:before="0" w:after="0"/>
              <w:jc w:val="left"/>
              <w:rPr>
                <w:color w:val="000000"/>
                <w:sz w:val="20"/>
              </w:rPr>
            </w:pPr>
            <w:r>
              <w:rPr>
                <w:color w:val="000000"/>
                <w:sz w:val="20"/>
              </w:rPr>
              <w:t>)</w:t>
            </w:r>
          </w:p>
        </w:tc>
        <w:tc>
          <w:tcPr>
            <w:tcW w:w="60" w:type="dxa"/>
            <w:tcBorders/>
            <w:shd w:fill="FFFFFF" w:val="clear"/>
            <w:vAlign w:val="bottom"/>
          </w:tcPr>
          <w:p>
            <w:pPr>
              <w:pStyle w:val="TableContents"/>
              <w:bidi w:val="0"/>
              <w:spacing w:before="0" w:after="283"/>
              <w:jc w:val="right"/>
              <w:rPr/>
            </w:pPr>
            <w:r>
              <w:rPr/>
              <w:t> </w:t>
            </w:r>
          </w:p>
        </w:tc>
        <w:tc>
          <w:tcPr>
            <w:tcW w:w="82" w:type="dxa"/>
            <w:tcBorders/>
            <w:shd w:fill="FFFFFF" w:val="clear"/>
            <w:vAlign w:val="bottom"/>
          </w:tcPr>
          <w:p>
            <w:pPr>
              <w:pStyle w:val="TableContents"/>
              <w:bidi w:val="0"/>
              <w:spacing w:before="0" w:after="283"/>
              <w:jc w:val="left"/>
              <w:rPr/>
            </w:pPr>
            <w:r>
              <w:rPr/>
              <w:t> </w:t>
            </w:r>
          </w:p>
        </w:tc>
        <w:tc>
          <w:tcPr>
            <w:tcW w:w="808" w:type="dxa"/>
            <w:tcBorders/>
            <w:shd w:fill="FFFFFF" w:val="clear"/>
            <w:vAlign w:val="bottom"/>
          </w:tcPr>
          <w:p>
            <w:pPr>
              <w:pStyle w:val="TableContents"/>
              <w:bidi w:val="0"/>
              <w:spacing w:before="0" w:after="0"/>
              <w:jc w:val="right"/>
              <w:rPr>
                <w:color w:val="000000"/>
                <w:sz w:val="20"/>
              </w:rPr>
            </w:pPr>
            <w:r>
              <w:rPr>
                <w:color w:val="000000"/>
                <w:sz w:val="20"/>
              </w:rPr>
              <w:t>57,689</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right"/>
              <w:rPr/>
            </w:pPr>
            <w:r>
              <w:rPr/>
              <w:t> </w:t>
            </w:r>
          </w:p>
        </w:tc>
        <w:tc>
          <w:tcPr>
            <w:tcW w:w="83" w:type="dxa"/>
            <w:tcBorders/>
            <w:shd w:fill="FFFFFF" w:val="clear"/>
            <w:vAlign w:val="bottom"/>
          </w:tcPr>
          <w:p>
            <w:pPr>
              <w:pStyle w:val="TableContents"/>
              <w:bidi w:val="0"/>
              <w:spacing w:before="0" w:after="283"/>
              <w:jc w:val="left"/>
              <w:rPr/>
            </w:pPr>
            <w:r>
              <w:rPr/>
              <w:t> </w:t>
            </w:r>
          </w:p>
        </w:tc>
        <w:tc>
          <w:tcPr>
            <w:tcW w:w="822" w:type="dxa"/>
            <w:tcBorders/>
            <w:shd w:fill="FFFFFF" w:val="clear"/>
            <w:vAlign w:val="bottom"/>
          </w:tcPr>
          <w:p>
            <w:pPr>
              <w:pStyle w:val="TableContents"/>
              <w:bidi w:val="0"/>
              <w:spacing w:before="0" w:after="0"/>
              <w:jc w:val="right"/>
              <w:rPr>
                <w:color w:val="000000"/>
                <w:sz w:val="20"/>
              </w:rPr>
            </w:pPr>
            <w:r>
              <w:rPr>
                <w:color w:val="000000"/>
                <w:sz w:val="20"/>
              </w:rPr>
              <w:t>44,795</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right"/>
              <w:rPr/>
            </w:pPr>
            <w:r>
              <w:rPr/>
              <w:t> </w:t>
            </w:r>
          </w:p>
        </w:tc>
        <w:tc>
          <w:tcPr>
            <w:tcW w:w="60" w:type="dxa"/>
            <w:tcBorders/>
            <w:shd w:fill="FFFFFF" w:val="clear"/>
            <w:vAlign w:val="bottom"/>
          </w:tcPr>
          <w:p>
            <w:pPr>
              <w:pStyle w:val="TableContents"/>
              <w:bidi w:val="0"/>
              <w:spacing w:before="0" w:after="283"/>
              <w:jc w:val="left"/>
              <w:rPr/>
            </w:pPr>
            <w:r>
              <w:rPr/>
              <w:t> </w:t>
            </w:r>
          </w:p>
        </w:tc>
        <w:tc>
          <w:tcPr>
            <w:tcW w:w="755" w:type="dxa"/>
            <w:tcBorders/>
            <w:shd w:fill="FFFFFF" w:val="clear"/>
            <w:vAlign w:val="bottom"/>
          </w:tcPr>
          <w:p>
            <w:pPr>
              <w:pStyle w:val="TableContents"/>
              <w:bidi w:val="0"/>
              <w:spacing w:before="0" w:after="0"/>
              <w:jc w:val="right"/>
              <w:rPr>
                <w:color w:val="000000"/>
                <w:sz w:val="20"/>
              </w:rPr>
            </w:pPr>
            <w:r>
              <w:rPr>
                <w:color w:val="000000"/>
                <w:sz w:val="20"/>
              </w:rPr>
              <w:t>(490,233</w:t>
            </w:r>
          </w:p>
        </w:tc>
        <w:tc>
          <w:tcPr>
            <w:tcW w:w="80" w:type="dxa"/>
            <w:tcBorders/>
            <w:shd w:fill="FFFFFF" w:val="clear"/>
            <w:vAlign w:val="bottom"/>
          </w:tcPr>
          <w:p>
            <w:pPr>
              <w:pStyle w:val="TableContents"/>
              <w:bidi w:val="0"/>
              <w:spacing w:before="0" w:after="0"/>
              <w:jc w:val="left"/>
              <w:rPr>
                <w:color w:val="000000"/>
                <w:sz w:val="20"/>
              </w:rPr>
            </w:pPr>
            <w:r>
              <w:rPr>
                <w:color w:val="000000"/>
                <w:sz w:val="20"/>
              </w:rPr>
              <w:t>)</w:t>
            </w:r>
          </w:p>
        </w:tc>
        <w:tc>
          <w:tcPr>
            <w:tcW w:w="200" w:type="dxa"/>
            <w:tcBorders/>
            <w:shd w:fill="FFFFFF" w:val="clear"/>
            <w:vAlign w:val="bottom"/>
          </w:tcPr>
          <w:p>
            <w:pPr>
              <w:pStyle w:val="TableContents"/>
              <w:bidi w:val="0"/>
              <w:spacing w:before="0" w:after="283"/>
              <w:jc w:val="right"/>
              <w:rPr/>
            </w:pPr>
            <w:r>
              <w:rPr/>
              <w:t> </w:t>
            </w:r>
          </w:p>
        </w:tc>
        <w:tc>
          <w:tcPr>
            <w:tcW w:w="60" w:type="dxa"/>
            <w:tcBorders/>
            <w:shd w:fill="FFFFFF" w:val="clear"/>
            <w:vAlign w:val="bottom"/>
          </w:tcPr>
          <w:p>
            <w:pPr>
              <w:pStyle w:val="TableContents"/>
              <w:bidi w:val="0"/>
              <w:spacing w:before="0" w:after="283"/>
              <w:jc w:val="right"/>
              <w:rPr/>
            </w:pPr>
            <w:r>
              <w:rPr/>
              <w:t> </w:t>
            </w:r>
          </w:p>
        </w:tc>
        <w:tc>
          <w:tcPr>
            <w:tcW w:w="88" w:type="dxa"/>
            <w:tcBorders/>
            <w:shd w:fill="FFFFFF" w:val="clear"/>
            <w:vAlign w:val="bottom"/>
          </w:tcPr>
          <w:p>
            <w:pPr>
              <w:pStyle w:val="TableContents"/>
              <w:bidi w:val="0"/>
              <w:spacing w:before="0" w:after="283"/>
              <w:jc w:val="left"/>
              <w:rPr/>
            </w:pPr>
            <w:r>
              <w:rPr/>
              <w:t> </w:t>
            </w:r>
          </w:p>
        </w:tc>
        <w:tc>
          <w:tcPr>
            <w:tcW w:w="712" w:type="dxa"/>
            <w:tcBorders/>
            <w:shd w:fill="FFFFFF" w:val="clear"/>
            <w:vAlign w:val="bottom"/>
          </w:tcPr>
          <w:p>
            <w:pPr>
              <w:pStyle w:val="TableContents"/>
              <w:bidi w:val="0"/>
              <w:spacing w:before="0" w:after="0"/>
              <w:jc w:val="right"/>
              <w:rPr>
                <w:color w:val="000000"/>
                <w:sz w:val="20"/>
              </w:rPr>
            </w:pPr>
            <w:r>
              <w:rPr>
                <w:color w:val="000000"/>
                <w:sz w:val="20"/>
              </w:rPr>
              <w:t>3,155</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right"/>
              <w:rPr/>
            </w:pPr>
            <w:r>
              <w:rPr/>
              <w:t> </w:t>
            </w:r>
          </w:p>
        </w:tc>
        <w:tc>
          <w:tcPr>
            <w:tcW w:w="73" w:type="dxa"/>
            <w:tcBorders/>
            <w:shd w:fill="FFFFFF" w:val="clear"/>
            <w:vAlign w:val="bottom"/>
          </w:tcPr>
          <w:p>
            <w:pPr>
              <w:pStyle w:val="TableContents"/>
              <w:bidi w:val="0"/>
              <w:spacing w:before="0" w:after="283"/>
              <w:jc w:val="left"/>
              <w:rPr/>
            </w:pPr>
            <w:r>
              <w:rPr/>
              <w:t> </w:t>
            </w:r>
          </w:p>
        </w:tc>
        <w:tc>
          <w:tcPr>
            <w:tcW w:w="727" w:type="dxa"/>
            <w:tcBorders/>
            <w:shd w:fill="FFFFFF" w:val="clear"/>
            <w:vAlign w:val="bottom"/>
          </w:tcPr>
          <w:p>
            <w:pPr>
              <w:pStyle w:val="TableContents"/>
              <w:bidi w:val="0"/>
              <w:spacing w:before="0" w:after="283"/>
              <w:jc w:val="right"/>
              <w:rPr>
                <w:sz w:val="20"/>
              </w:rPr>
            </w:pPr>
            <w:r>
              <w:rPr>
                <w:sz w:val="20"/>
              </w:rPr>
              <w:t>24,620</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right"/>
              <w:rPr/>
            </w:pPr>
            <w:r>
              <w:rPr/>
              <w:t> </w:t>
            </w:r>
          </w:p>
        </w:tc>
        <w:tc>
          <w:tcPr>
            <w:tcW w:w="60" w:type="dxa"/>
            <w:tcBorders/>
            <w:shd w:fill="FFFFFF" w:val="clear"/>
            <w:vAlign w:val="bottom"/>
          </w:tcPr>
          <w:p>
            <w:pPr>
              <w:pStyle w:val="TableContents"/>
              <w:bidi w:val="0"/>
              <w:spacing w:before="0" w:after="283"/>
              <w:jc w:val="left"/>
              <w:rPr/>
            </w:pPr>
            <w:r>
              <w:rPr/>
              <w:t> </w:t>
            </w:r>
          </w:p>
        </w:tc>
        <w:tc>
          <w:tcPr>
            <w:tcW w:w="755" w:type="dxa"/>
            <w:tcBorders/>
            <w:shd w:fill="FFFFFF" w:val="clear"/>
            <w:vAlign w:val="bottom"/>
          </w:tcPr>
          <w:p>
            <w:pPr>
              <w:pStyle w:val="TableContents"/>
              <w:bidi w:val="0"/>
              <w:spacing w:before="0" w:after="283"/>
              <w:jc w:val="right"/>
              <w:rPr>
                <w:sz w:val="20"/>
              </w:rPr>
            </w:pPr>
            <w:r>
              <w:rPr>
                <w:sz w:val="20"/>
              </w:rPr>
              <w:t>(181,942</w:t>
            </w:r>
          </w:p>
        </w:tc>
        <w:tc>
          <w:tcPr>
            <w:tcW w:w="80" w:type="dxa"/>
            <w:tcBorders/>
            <w:shd w:fill="FFFFFF" w:val="clear"/>
            <w:vAlign w:val="bottom"/>
          </w:tcPr>
          <w:p>
            <w:pPr>
              <w:pStyle w:val="TableContents"/>
              <w:bidi w:val="0"/>
              <w:spacing w:before="0" w:after="283"/>
              <w:jc w:val="left"/>
              <w:rPr>
                <w:sz w:val="20"/>
              </w:rPr>
            </w:pPr>
            <w:r>
              <w:rPr>
                <w:sz w:val="20"/>
              </w:rPr>
              <w:t>)</w:t>
            </w:r>
          </w:p>
        </w:tc>
        <w:tc>
          <w:tcPr>
            <w:tcW w:w="185" w:type="dxa"/>
            <w:tcBorders/>
            <w:shd w:fill="FFFFFF" w:val="clear"/>
            <w:vAlign w:val="bottom"/>
          </w:tcPr>
          <w:p>
            <w:pPr>
              <w:pStyle w:val="TableContents"/>
              <w:bidi w:val="0"/>
              <w:spacing w:before="0" w:after="283"/>
              <w:jc w:val="right"/>
              <w:rPr/>
            </w:pPr>
            <w:r>
              <w:rPr/>
              <w:t> </w:t>
            </w:r>
          </w:p>
        </w:tc>
        <w:tc>
          <w:tcPr>
            <w:tcW w:w="60" w:type="dxa"/>
            <w:tcBorders/>
            <w:shd w:fill="FFFFFF" w:val="clear"/>
            <w:vAlign w:val="bottom"/>
          </w:tcPr>
          <w:p>
            <w:pPr>
              <w:pStyle w:val="TableContents"/>
              <w:bidi w:val="0"/>
              <w:spacing w:before="0" w:after="283"/>
              <w:jc w:val="right"/>
              <w:rPr/>
            </w:pPr>
            <w:r>
              <w:rPr/>
              <w:t> </w:t>
            </w:r>
          </w:p>
        </w:tc>
        <w:tc>
          <w:tcPr>
            <w:tcW w:w="342" w:type="dxa"/>
            <w:tcBorders/>
            <w:shd w:fill="FFFFFF" w:val="clear"/>
            <w:vAlign w:val="bottom"/>
          </w:tcPr>
          <w:p>
            <w:pPr>
              <w:pStyle w:val="TableContents"/>
              <w:bidi w:val="0"/>
              <w:spacing w:before="0" w:after="283"/>
              <w:jc w:val="left"/>
              <w:rPr/>
            </w:pPr>
            <w:r>
              <w:rPr/>
              <w:t> </w:t>
            </w:r>
          </w:p>
        </w:tc>
        <w:tc>
          <w:tcPr>
            <w:tcW w:w="458" w:type="dxa"/>
            <w:tcBorders/>
            <w:shd w:fill="FFFFFF" w:val="clear"/>
            <w:vAlign w:val="bottom"/>
          </w:tcPr>
          <w:p>
            <w:pPr>
              <w:pStyle w:val="TableContents"/>
              <w:bidi w:val="0"/>
              <w:spacing w:before="0" w:after="283"/>
              <w:jc w:val="right"/>
              <w:rPr>
                <w:sz w:val="20"/>
              </w:rPr>
            </w:pPr>
            <w:r>
              <w:rPr>
                <w:sz w:val="20"/>
              </w:rPr>
              <w:t>-</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right"/>
              <w:rPr/>
            </w:pPr>
            <w:r>
              <w:rPr/>
              <w:t> </w:t>
            </w:r>
          </w:p>
        </w:tc>
        <w:tc>
          <w:tcPr>
            <w:tcW w:w="60" w:type="dxa"/>
            <w:tcBorders/>
            <w:shd w:fill="FFFFFF" w:val="clear"/>
            <w:vAlign w:val="bottom"/>
          </w:tcPr>
          <w:p>
            <w:pPr>
              <w:pStyle w:val="TableContents"/>
              <w:bidi w:val="0"/>
              <w:spacing w:before="0" w:after="283"/>
              <w:jc w:val="left"/>
              <w:rPr/>
            </w:pPr>
            <w:r>
              <w:rPr/>
              <w:t> </w:t>
            </w:r>
          </w:p>
        </w:tc>
        <w:tc>
          <w:tcPr>
            <w:tcW w:w="695" w:type="dxa"/>
            <w:tcBorders/>
            <w:shd w:fill="FFFFFF" w:val="clear"/>
            <w:vAlign w:val="bottom"/>
          </w:tcPr>
          <w:p>
            <w:pPr>
              <w:pStyle w:val="TableContents"/>
              <w:bidi w:val="0"/>
              <w:spacing w:before="0" w:after="283"/>
              <w:jc w:val="right"/>
              <w:rPr>
                <w:sz w:val="20"/>
              </w:rPr>
            </w:pPr>
            <w:r>
              <w:rPr>
                <w:sz w:val="20"/>
              </w:rPr>
              <w:t>60,041</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right"/>
              <w:rPr/>
            </w:pPr>
            <w:r>
              <w:rPr/>
              <w:t> </w:t>
            </w:r>
          </w:p>
        </w:tc>
        <w:tc>
          <w:tcPr>
            <w:tcW w:w="342" w:type="dxa"/>
            <w:tcBorders/>
            <w:shd w:fill="FFFFFF" w:val="clear"/>
            <w:vAlign w:val="bottom"/>
          </w:tcPr>
          <w:p>
            <w:pPr>
              <w:pStyle w:val="TableContents"/>
              <w:bidi w:val="0"/>
              <w:spacing w:before="0" w:after="283"/>
              <w:jc w:val="left"/>
              <w:rPr/>
            </w:pPr>
            <w:r>
              <w:rPr/>
              <w:t> </w:t>
            </w:r>
          </w:p>
        </w:tc>
        <w:tc>
          <w:tcPr>
            <w:tcW w:w="458" w:type="dxa"/>
            <w:tcBorders/>
            <w:shd w:fill="FFFFFF" w:val="clear"/>
            <w:vAlign w:val="bottom"/>
          </w:tcPr>
          <w:p>
            <w:pPr>
              <w:pStyle w:val="TableContents"/>
              <w:bidi w:val="0"/>
              <w:spacing w:before="0" w:after="283"/>
              <w:jc w:val="right"/>
              <w:rPr>
                <w:sz w:val="20"/>
              </w:rPr>
            </w:pPr>
            <w:r>
              <w:rPr>
                <w:sz w:val="20"/>
              </w:rPr>
              <w:t>-</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right"/>
              <w:rPr/>
            </w:pPr>
            <w:r>
              <w:rPr/>
              <w:t> </w:t>
            </w:r>
          </w:p>
        </w:tc>
        <w:tc>
          <w:tcPr>
            <w:tcW w:w="81" w:type="dxa"/>
            <w:tcBorders/>
            <w:shd w:fill="FFFFFF" w:val="clear"/>
            <w:vAlign w:val="bottom"/>
          </w:tcPr>
          <w:p>
            <w:pPr>
              <w:pStyle w:val="TableContents"/>
              <w:bidi w:val="0"/>
              <w:spacing w:before="0" w:after="283"/>
              <w:jc w:val="left"/>
              <w:rPr/>
            </w:pPr>
            <w:r>
              <w:rPr/>
              <w:t> </w:t>
            </w:r>
          </w:p>
        </w:tc>
        <w:tc>
          <w:tcPr>
            <w:tcW w:w="1154" w:type="dxa"/>
            <w:tcBorders/>
            <w:shd w:fill="FFFFFF" w:val="clear"/>
            <w:vAlign w:val="bottom"/>
          </w:tcPr>
          <w:p>
            <w:pPr>
              <w:pStyle w:val="TableContents"/>
              <w:bidi w:val="0"/>
              <w:spacing w:before="0" w:after="0"/>
              <w:jc w:val="right"/>
              <w:rPr>
                <w:color w:val="000000"/>
                <w:sz w:val="20"/>
              </w:rPr>
            </w:pPr>
            <w:r>
              <w:rPr>
                <w:color w:val="000000"/>
                <w:sz w:val="20"/>
              </w:rPr>
              <w:t>2,336,749</w:t>
            </w:r>
          </w:p>
        </w:tc>
        <w:tc>
          <w:tcPr>
            <w:tcW w:w="8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right"/>
              <w:rPr/>
            </w:pPr>
            <w:r>
              <w:rPr/>
              <w:t> </w:t>
            </w:r>
          </w:p>
        </w:tc>
        <w:tc>
          <w:tcPr>
            <w:tcW w:w="205" w:type="dxa"/>
            <w:tcBorders/>
            <w:shd w:fill="FFFFFF" w:val="clear"/>
            <w:vAlign w:val="bottom"/>
          </w:tcPr>
          <w:p>
            <w:pPr>
              <w:pStyle w:val="TableContents"/>
              <w:bidi w:val="0"/>
              <w:spacing w:before="0" w:after="283"/>
              <w:jc w:val="left"/>
              <w:rPr/>
            </w:pPr>
            <w:r>
              <w:rPr/>
              <w:t> </w:t>
            </w:r>
          </w:p>
        </w:tc>
        <w:tc>
          <w:tcPr>
            <w:tcW w:w="625" w:type="dxa"/>
            <w:tcBorders/>
            <w:shd w:fill="FFFFFF" w:val="clear"/>
            <w:vAlign w:val="bottom"/>
          </w:tcPr>
          <w:p>
            <w:pPr>
              <w:pStyle w:val="TableContents"/>
              <w:bidi w:val="0"/>
              <w:spacing w:before="0" w:after="283"/>
              <w:jc w:val="right"/>
              <w:rPr/>
            </w:pPr>
            <w:r>
              <w:rPr/>
              <w:t> </w:t>
            </w:r>
          </w:p>
        </w:tc>
        <w:tc>
          <w:tcPr>
            <w:tcW w:w="60" w:type="dxa"/>
            <w:tcBorders/>
            <w:shd w:fill="FFFFFF" w:val="clear"/>
            <w:vAlign w:val="bottom"/>
          </w:tcPr>
          <w:p>
            <w:pPr>
              <w:pStyle w:val="TableContents"/>
              <w:bidi w:val="0"/>
              <w:spacing w:before="0" w:after="283"/>
              <w:jc w:val="left"/>
              <w:rPr/>
            </w:pPr>
            <w:r>
              <w:rPr/>
              <w:t> </w:t>
            </w:r>
          </w:p>
        </w:tc>
      </w:tr>
      <w:tr>
        <w:trPr/>
        <w:tc>
          <w:tcPr>
            <w:tcW w:w="731" w:type="dxa"/>
            <w:tcBorders/>
            <w:shd w:fill="CCEEFF" w:val="clear"/>
            <w:vAlign w:val="bottom"/>
          </w:tcPr>
          <w:p>
            <w:pPr>
              <w:pStyle w:val="TableContents"/>
              <w:bidi w:val="0"/>
              <w:spacing w:before="0" w:after="283"/>
              <w:jc w:val="left"/>
              <w:rPr/>
            </w:pPr>
            <w:r>
              <w:rPr/>
              <w:t> </w:t>
            </w:r>
          </w:p>
        </w:tc>
        <w:tc>
          <w:tcPr>
            <w:tcW w:w="24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82" w:type="dxa"/>
            <w:tcBorders/>
            <w:shd w:fill="CCEEFF" w:val="clear"/>
            <w:vAlign w:val="bottom"/>
          </w:tcPr>
          <w:p>
            <w:pPr>
              <w:pStyle w:val="TableContents"/>
              <w:bidi w:val="0"/>
              <w:spacing w:before="0" w:after="283"/>
              <w:jc w:val="left"/>
              <w:rPr/>
            </w:pPr>
            <w:r>
              <w:rPr/>
              <w:t> </w:t>
            </w:r>
          </w:p>
        </w:tc>
        <w:tc>
          <w:tcPr>
            <w:tcW w:w="80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83" w:type="dxa"/>
            <w:tcBorders/>
            <w:shd w:fill="CCEEFF" w:val="clear"/>
            <w:vAlign w:val="bottom"/>
          </w:tcPr>
          <w:p>
            <w:pPr>
              <w:pStyle w:val="TableContents"/>
              <w:bidi w:val="0"/>
              <w:spacing w:before="0" w:after="283"/>
              <w:jc w:val="left"/>
              <w:rPr/>
            </w:pPr>
            <w:r>
              <w:rPr/>
              <w:t> </w:t>
            </w:r>
          </w:p>
        </w:tc>
        <w:tc>
          <w:tcPr>
            <w:tcW w:w="82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right"/>
              <w:rPr/>
            </w:pPr>
            <w:r>
              <w:rPr/>
              <w:t> </w:t>
            </w:r>
          </w:p>
        </w:tc>
        <w:tc>
          <w:tcPr>
            <w:tcW w:w="88" w:type="dxa"/>
            <w:tcBorders/>
            <w:shd w:fill="CCEEFF" w:val="clear"/>
            <w:vAlign w:val="bottom"/>
          </w:tcPr>
          <w:p>
            <w:pPr>
              <w:pStyle w:val="TableContents"/>
              <w:bidi w:val="0"/>
              <w:spacing w:before="0" w:after="283"/>
              <w:jc w:val="left"/>
              <w:rPr/>
            </w:pPr>
            <w:r>
              <w:rPr/>
              <w:t> </w:t>
            </w:r>
          </w:p>
        </w:tc>
        <w:tc>
          <w:tcPr>
            <w:tcW w:w="71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73" w:type="dxa"/>
            <w:tcBorders/>
            <w:shd w:fill="CCEEFF" w:val="clear"/>
            <w:vAlign w:val="bottom"/>
          </w:tcPr>
          <w:p>
            <w:pPr>
              <w:pStyle w:val="TableContents"/>
              <w:bidi w:val="0"/>
              <w:spacing w:before="0" w:after="283"/>
              <w:jc w:val="left"/>
              <w:rPr/>
            </w:pPr>
            <w:r>
              <w:rPr/>
              <w:t> </w:t>
            </w:r>
          </w:p>
        </w:tc>
        <w:tc>
          <w:tcPr>
            <w:tcW w:w="72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right"/>
              <w:rPr/>
            </w:pPr>
            <w:r>
              <w:rPr/>
              <w:t> </w:t>
            </w:r>
          </w:p>
        </w:tc>
        <w:tc>
          <w:tcPr>
            <w:tcW w:w="342" w:type="dxa"/>
            <w:tcBorders/>
            <w:shd w:fill="CCEEFF" w:val="clear"/>
            <w:vAlign w:val="bottom"/>
          </w:tcPr>
          <w:p>
            <w:pPr>
              <w:pStyle w:val="TableContents"/>
              <w:bidi w:val="0"/>
              <w:spacing w:before="0" w:after="283"/>
              <w:jc w:val="left"/>
              <w:rPr/>
            </w:pPr>
            <w:r>
              <w:rPr/>
              <w:t> </w:t>
            </w:r>
          </w:p>
        </w:tc>
        <w:tc>
          <w:tcPr>
            <w:tcW w:w="45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42" w:type="dxa"/>
            <w:tcBorders/>
            <w:shd w:fill="CCEEFF" w:val="clear"/>
            <w:vAlign w:val="bottom"/>
          </w:tcPr>
          <w:p>
            <w:pPr>
              <w:pStyle w:val="TableContents"/>
              <w:bidi w:val="0"/>
              <w:spacing w:before="0" w:after="283"/>
              <w:jc w:val="left"/>
              <w:rPr/>
            </w:pPr>
            <w:r>
              <w:rPr/>
              <w:t> </w:t>
            </w:r>
          </w:p>
        </w:tc>
        <w:tc>
          <w:tcPr>
            <w:tcW w:w="45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81" w:type="dxa"/>
            <w:tcBorders/>
            <w:shd w:fill="CCEEFF" w:val="clear"/>
            <w:vAlign w:val="bottom"/>
          </w:tcPr>
          <w:p>
            <w:pPr>
              <w:pStyle w:val="TableContents"/>
              <w:bidi w:val="0"/>
              <w:spacing w:before="0" w:after="283"/>
              <w:jc w:val="left"/>
              <w:rPr/>
            </w:pPr>
            <w:r>
              <w:rPr/>
              <w:t> </w:t>
            </w:r>
          </w:p>
        </w:tc>
        <w:tc>
          <w:tcPr>
            <w:tcW w:w="1154"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5" w:type="dxa"/>
            <w:tcBorders/>
            <w:shd w:fill="CCEEFF" w:val="clear"/>
            <w:vAlign w:val="bottom"/>
          </w:tcPr>
          <w:p>
            <w:pPr>
              <w:pStyle w:val="TableContents"/>
              <w:bidi w:val="0"/>
              <w:spacing w:before="0" w:after="283"/>
              <w:jc w:val="left"/>
              <w:rPr/>
            </w:pPr>
            <w:r>
              <w:rPr/>
              <w:t> </w:t>
            </w:r>
          </w:p>
        </w:tc>
        <w:tc>
          <w:tcPr>
            <w:tcW w:w="62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731" w:type="dxa"/>
            <w:tcBorders/>
            <w:shd w:fill="FFFFFF" w:val="clear"/>
            <w:vAlign w:val="bottom"/>
          </w:tcPr>
          <w:p>
            <w:pPr>
              <w:pStyle w:val="TableContents"/>
              <w:bidi w:val="0"/>
              <w:spacing w:before="0" w:after="0"/>
              <w:ind w:left="144" w:right="0" w:hanging="144"/>
              <w:jc w:val="left"/>
              <w:rPr>
                <w:b/>
                <w:color w:val="000000"/>
                <w:sz w:val="20"/>
              </w:rPr>
            </w:pPr>
            <w:r>
              <w:rPr>
                <w:b/>
                <w:color w:val="000000"/>
                <w:sz w:val="20"/>
              </w:rPr>
              <w:t>December 31, 2025</w:t>
            </w:r>
          </w:p>
        </w:tc>
        <w:tc>
          <w:tcPr>
            <w:tcW w:w="240" w:type="dxa"/>
            <w:tcBorders/>
            <w:shd w:fill="FFFFFF" w:val="clear"/>
            <w:vAlign w:val="bottom"/>
          </w:tcPr>
          <w:p>
            <w:pPr>
              <w:pStyle w:val="TableContents"/>
              <w:bidi w:val="0"/>
              <w:spacing w:before="0" w:after="283"/>
              <w:jc w:val="right"/>
              <w:rPr/>
            </w:pPr>
            <w:r>
              <w:rPr/>
              <w:t> </w:t>
            </w:r>
          </w:p>
        </w:tc>
        <w:tc>
          <w:tcPr>
            <w:tcW w:w="60" w:type="dxa"/>
            <w:tcBorders/>
            <w:shd w:fill="FFFFFF" w:val="clear"/>
            <w:vAlign w:val="bottom"/>
          </w:tcPr>
          <w:p>
            <w:pPr>
              <w:pStyle w:val="TableContents"/>
              <w:bidi w:val="0"/>
              <w:spacing w:before="0" w:after="283"/>
              <w:jc w:val="left"/>
              <w:rPr/>
            </w:pPr>
            <w:r>
              <w:rPr/>
              <w:t> </w:t>
            </w:r>
          </w:p>
        </w:tc>
        <w:tc>
          <w:tcPr>
            <w:tcW w:w="755" w:type="dxa"/>
            <w:tcBorders/>
            <w:shd w:fill="FFFFFF" w:val="clear"/>
            <w:vAlign w:val="bottom"/>
          </w:tcPr>
          <w:p>
            <w:pPr>
              <w:pStyle w:val="TableContents"/>
              <w:bidi w:val="0"/>
              <w:spacing w:before="0" w:after="0"/>
              <w:jc w:val="right"/>
              <w:rPr>
                <w:color w:val="000000"/>
                <w:sz w:val="20"/>
              </w:rPr>
            </w:pPr>
            <w:r>
              <w:rPr>
                <w:color w:val="000000"/>
                <w:sz w:val="20"/>
              </w:rPr>
              <w:t>(663,492</w:t>
            </w:r>
          </w:p>
        </w:tc>
        <w:tc>
          <w:tcPr>
            <w:tcW w:w="80" w:type="dxa"/>
            <w:tcBorders/>
            <w:shd w:fill="FFFFFF" w:val="clear"/>
            <w:vAlign w:val="bottom"/>
          </w:tcPr>
          <w:p>
            <w:pPr>
              <w:pStyle w:val="TableContents"/>
              <w:bidi w:val="0"/>
              <w:spacing w:before="0" w:after="0"/>
              <w:jc w:val="left"/>
              <w:rPr>
                <w:color w:val="000000"/>
                <w:sz w:val="20"/>
              </w:rPr>
            </w:pPr>
            <w:r>
              <w:rPr>
                <w:color w:val="000000"/>
                <w:sz w:val="20"/>
              </w:rPr>
              <w:t>)</w:t>
            </w:r>
          </w:p>
        </w:tc>
        <w:tc>
          <w:tcPr>
            <w:tcW w:w="60" w:type="dxa"/>
            <w:tcBorders/>
            <w:shd w:fill="FFFFFF" w:val="clear"/>
            <w:vAlign w:val="bottom"/>
          </w:tcPr>
          <w:p>
            <w:pPr>
              <w:pStyle w:val="TableContents"/>
              <w:bidi w:val="0"/>
              <w:spacing w:before="0" w:after="283"/>
              <w:jc w:val="right"/>
              <w:rPr/>
            </w:pPr>
            <w:r>
              <w:rPr/>
              <w:t> </w:t>
            </w:r>
          </w:p>
        </w:tc>
        <w:tc>
          <w:tcPr>
            <w:tcW w:w="82" w:type="dxa"/>
            <w:tcBorders/>
            <w:shd w:fill="FFFFFF" w:val="clear"/>
            <w:vAlign w:val="bottom"/>
          </w:tcPr>
          <w:p>
            <w:pPr>
              <w:pStyle w:val="TableContents"/>
              <w:bidi w:val="0"/>
              <w:spacing w:before="0" w:after="283"/>
              <w:jc w:val="left"/>
              <w:rPr/>
            </w:pPr>
            <w:r>
              <w:rPr/>
              <w:t> </w:t>
            </w:r>
          </w:p>
        </w:tc>
        <w:tc>
          <w:tcPr>
            <w:tcW w:w="808" w:type="dxa"/>
            <w:tcBorders/>
            <w:shd w:fill="FFFFFF" w:val="clear"/>
            <w:vAlign w:val="bottom"/>
          </w:tcPr>
          <w:p>
            <w:pPr>
              <w:pStyle w:val="TableContents"/>
              <w:bidi w:val="0"/>
              <w:spacing w:before="0" w:after="0"/>
              <w:jc w:val="right"/>
              <w:rPr>
                <w:color w:val="000000"/>
                <w:sz w:val="20"/>
              </w:rPr>
            </w:pPr>
            <w:r>
              <w:rPr>
                <w:color w:val="000000"/>
                <w:sz w:val="20"/>
              </w:rPr>
              <w:t>57,689</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right"/>
              <w:rPr/>
            </w:pPr>
            <w:r>
              <w:rPr/>
              <w:t> </w:t>
            </w:r>
          </w:p>
        </w:tc>
        <w:tc>
          <w:tcPr>
            <w:tcW w:w="83" w:type="dxa"/>
            <w:tcBorders/>
            <w:shd w:fill="FFFFFF" w:val="clear"/>
            <w:vAlign w:val="bottom"/>
          </w:tcPr>
          <w:p>
            <w:pPr>
              <w:pStyle w:val="TableContents"/>
              <w:bidi w:val="0"/>
              <w:spacing w:before="0" w:after="283"/>
              <w:jc w:val="left"/>
              <w:rPr/>
            </w:pPr>
            <w:r>
              <w:rPr/>
              <w:t> </w:t>
            </w:r>
          </w:p>
        </w:tc>
        <w:tc>
          <w:tcPr>
            <w:tcW w:w="822" w:type="dxa"/>
            <w:tcBorders/>
            <w:shd w:fill="FFFFFF" w:val="clear"/>
            <w:vAlign w:val="bottom"/>
          </w:tcPr>
          <w:p>
            <w:pPr>
              <w:pStyle w:val="TableContents"/>
              <w:bidi w:val="0"/>
              <w:spacing w:before="0" w:after="0"/>
              <w:jc w:val="right"/>
              <w:rPr>
                <w:color w:val="000000"/>
                <w:sz w:val="20"/>
              </w:rPr>
            </w:pPr>
            <w:r>
              <w:rPr>
                <w:color w:val="000000"/>
                <w:sz w:val="20"/>
              </w:rPr>
              <w:t>65,037</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right"/>
              <w:rPr/>
            </w:pPr>
            <w:r>
              <w:rPr/>
              <w:t> </w:t>
            </w:r>
          </w:p>
        </w:tc>
        <w:tc>
          <w:tcPr>
            <w:tcW w:w="60" w:type="dxa"/>
            <w:tcBorders/>
            <w:shd w:fill="FFFFFF" w:val="clear"/>
            <w:vAlign w:val="bottom"/>
          </w:tcPr>
          <w:p>
            <w:pPr>
              <w:pStyle w:val="TableContents"/>
              <w:bidi w:val="0"/>
              <w:spacing w:before="0" w:after="283"/>
              <w:jc w:val="left"/>
              <w:rPr/>
            </w:pPr>
            <w:r>
              <w:rPr/>
              <w:t> </w:t>
            </w:r>
          </w:p>
        </w:tc>
        <w:tc>
          <w:tcPr>
            <w:tcW w:w="755" w:type="dxa"/>
            <w:tcBorders/>
            <w:shd w:fill="FFFFFF" w:val="clear"/>
            <w:vAlign w:val="bottom"/>
          </w:tcPr>
          <w:p>
            <w:pPr>
              <w:pStyle w:val="TableContents"/>
              <w:bidi w:val="0"/>
              <w:spacing w:before="0" w:after="0"/>
              <w:jc w:val="right"/>
              <w:rPr>
                <w:color w:val="000000"/>
                <w:sz w:val="20"/>
              </w:rPr>
            </w:pPr>
            <w:r>
              <w:rPr>
                <w:color w:val="000000"/>
                <w:sz w:val="20"/>
              </w:rPr>
              <w:t>(510,475</w:t>
            </w:r>
          </w:p>
        </w:tc>
        <w:tc>
          <w:tcPr>
            <w:tcW w:w="80" w:type="dxa"/>
            <w:tcBorders/>
            <w:shd w:fill="FFFFFF" w:val="clear"/>
            <w:vAlign w:val="bottom"/>
          </w:tcPr>
          <w:p>
            <w:pPr>
              <w:pStyle w:val="TableContents"/>
              <w:bidi w:val="0"/>
              <w:spacing w:before="0" w:after="0"/>
              <w:jc w:val="left"/>
              <w:rPr>
                <w:color w:val="000000"/>
                <w:sz w:val="20"/>
              </w:rPr>
            </w:pPr>
            <w:r>
              <w:rPr>
                <w:color w:val="000000"/>
                <w:sz w:val="20"/>
              </w:rPr>
              <w:t>)</w:t>
            </w:r>
          </w:p>
        </w:tc>
        <w:tc>
          <w:tcPr>
            <w:tcW w:w="200" w:type="dxa"/>
            <w:tcBorders/>
            <w:shd w:fill="FFFFFF" w:val="clear"/>
            <w:vAlign w:val="bottom"/>
          </w:tcPr>
          <w:p>
            <w:pPr>
              <w:pStyle w:val="TableContents"/>
              <w:bidi w:val="0"/>
              <w:spacing w:before="0" w:after="283"/>
              <w:jc w:val="right"/>
              <w:rPr/>
            </w:pPr>
            <w:r>
              <w:rPr/>
              <w:t> </w:t>
            </w:r>
          </w:p>
        </w:tc>
        <w:tc>
          <w:tcPr>
            <w:tcW w:w="60" w:type="dxa"/>
            <w:tcBorders/>
            <w:shd w:fill="FFFFFF" w:val="clear"/>
            <w:vAlign w:val="bottom"/>
          </w:tcPr>
          <w:p>
            <w:pPr>
              <w:pStyle w:val="TableContents"/>
              <w:bidi w:val="0"/>
              <w:spacing w:before="0" w:after="283"/>
              <w:jc w:val="right"/>
              <w:rPr/>
            </w:pPr>
            <w:r>
              <w:rPr/>
              <w:t> </w:t>
            </w:r>
          </w:p>
        </w:tc>
        <w:tc>
          <w:tcPr>
            <w:tcW w:w="88" w:type="dxa"/>
            <w:tcBorders/>
            <w:shd w:fill="FFFFFF" w:val="clear"/>
            <w:vAlign w:val="bottom"/>
          </w:tcPr>
          <w:p>
            <w:pPr>
              <w:pStyle w:val="TableContents"/>
              <w:bidi w:val="0"/>
              <w:spacing w:before="0" w:after="283"/>
              <w:jc w:val="left"/>
              <w:rPr/>
            </w:pPr>
            <w:r>
              <w:rPr/>
              <w:t> </w:t>
            </w:r>
          </w:p>
        </w:tc>
        <w:tc>
          <w:tcPr>
            <w:tcW w:w="712" w:type="dxa"/>
            <w:tcBorders/>
            <w:shd w:fill="FFFFFF" w:val="clear"/>
            <w:vAlign w:val="bottom"/>
          </w:tcPr>
          <w:p>
            <w:pPr>
              <w:pStyle w:val="TableContents"/>
              <w:bidi w:val="0"/>
              <w:spacing w:before="0" w:after="0"/>
              <w:jc w:val="right"/>
              <w:rPr>
                <w:color w:val="000000"/>
                <w:sz w:val="20"/>
              </w:rPr>
            </w:pPr>
            <w:r>
              <w:rPr>
                <w:color w:val="000000"/>
                <w:sz w:val="20"/>
              </w:rPr>
              <w:t>3,155</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right"/>
              <w:rPr/>
            </w:pPr>
            <w:r>
              <w:rPr/>
              <w:t> </w:t>
            </w:r>
          </w:p>
        </w:tc>
        <w:tc>
          <w:tcPr>
            <w:tcW w:w="73" w:type="dxa"/>
            <w:tcBorders/>
            <w:shd w:fill="FFFFFF" w:val="clear"/>
            <w:vAlign w:val="bottom"/>
          </w:tcPr>
          <w:p>
            <w:pPr>
              <w:pStyle w:val="TableContents"/>
              <w:bidi w:val="0"/>
              <w:spacing w:before="0" w:after="283"/>
              <w:jc w:val="left"/>
              <w:rPr/>
            </w:pPr>
            <w:r>
              <w:rPr/>
              <w:t> </w:t>
            </w:r>
          </w:p>
        </w:tc>
        <w:tc>
          <w:tcPr>
            <w:tcW w:w="727" w:type="dxa"/>
            <w:tcBorders/>
            <w:shd w:fill="FFFFFF" w:val="clear"/>
            <w:vAlign w:val="bottom"/>
          </w:tcPr>
          <w:p>
            <w:pPr>
              <w:pStyle w:val="TableContents"/>
              <w:bidi w:val="0"/>
              <w:spacing w:before="0" w:after="283"/>
              <w:jc w:val="right"/>
              <w:rPr>
                <w:sz w:val="20"/>
              </w:rPr>
            </w:pPr>
            <w:r>
              <w:rPr>
                <w:sz w:val="20"/>
              </w:rPr>
              <w:t>24,620</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right"/>
              <w:rPr/>
            </w:pPr>
            <w:r>
              <w:rPr/>
              <w:t> </w:t>
            </w:r>
          </w:p>
        </w:tc>
        <w:tc>
          <w:tcPr>
            <w:tcW w:w="60" w:type="dxa"/>
            <w:tcBorders/>
            <w:shd w:fill="FFFFFF" w:val="clear"/>
            <w:vAlign w:val="bottom"/>
          </w:tcPr>
          <w:p>
            <w:pPr>
              <w:pStyle w:val="TableContents"/>
              <w:bidi w:val="0"/>
              <w:spacing w:before="0" w:after="283"/>
              <w:jc w:val="left"/>
              <w:rPr/>
            </w:pPr>
            <w:r>
              <w:rPr/>
              <w:t> </w:t>
            </w:r>
          </w:p>
        </w:tc>
        <w:tc>
          <w:tcPr>
            <w:tcW w:w="755" w:type="dxa"/>
            <w:tcBorders/>
            <w:shd w:fill="FFFFFF" w:val="clear"/>
            <w:vAlign w:val="bottom"/>
          </w:tcPr>
          <w:p>
            <w:pPr>
              <w:pStyle w:val="TableContents"/>
              <w:bidi w:val="0"/>
              <w:spacing w:before="0" w:after="283"/>
              <w:jc w:val="right"/>
              <w:rPr>
                <w:sz w:val="20"/>
              </w:rPr>
            </w:pPr>
            <w:r>
              <w:rPr>
                <w:sz w:val="20"/>
              </w:rPr>
              <w:t>(181,942</w:t>
            </w:r>
          </w:p>
        </w:tc>
        <w:tc>
          <w:tcPr>
            <w:tcW w:w="80" w:type="dxa"/>
            <w:tcBorders/>
            <w:shd w:fill="FFFFFF" w:val="clear"/>
            <w:vAlign w:val="bottom"/>
          </w:tcPr>
          <w:p>
            <w:pPr>
              <w:pStyle w:val="TableContents"/>
              <w:bidi w:val="0"/>
              <w:spacing w:before="0" w:after="283"/>
              <w:jc w:val="left"/>
              <w:rPr>
                <w:sz w:val="20"/>
              </w:rPr>
            </w:pPr>
            <w:r>
              <w:rPr>
                <w:sz w:val="20"/>
              </w:rPr>
              <w:t>)</w:t>
            </w:r>
          </w:p>
        </w:tc>
        <w:tc>
          <w:tcPr>
            <w:tcW w:w="185" w:type="dxa"/>
            <w:tcBorders/>
            <w:shd w:fill="FFFFFF" w:val="clear"/>
            <w:vAlign w:val="bottom"/>
          </w:tcPr>
          <w:p>
            <w:pPr>
              <w:pStyle w:val="TableContents"/>
              <w:bidi w:val="0"/>
              <w:spacing w:before="0" w:after="283"/>
              <w:jc w:val="right"/>
              <w:rPr/>
            </w:pPr>
            <w:r>
              <w:rPr/>
              <w:t> </w:t>
            </w:r>
          </w:p>
        </w:tc>
        <w:tc>
          <w:tcPr>
            <w:tcW w:w="60" w:type="dxa"/>
            <w:tcBorders/>
            <w:shd w:fill="FFFFFF" w:val="clear"/>
            <w:vAlign w:val="bottom"/>
          </w:tcPr>
          <w:p>
            <w:pPr>
              <w:pStyle w:val="TableContents"/>
              <w:bidi w:val="0"/>
              <w:spacing w:before="0" w:after="283"/>
              <w:jc w:val="right"/>
              <w:rPr/>
            </w:pPr>
            <w:r>
              <w:rPr/>
              <w:t> </w:t>
            </w:r>
          </w:p>
        </w:tc>
        <w:tc>
          <w:tcPr>
            <w:tcW w:w="342" w:type="dxa"/>
            <w:tcBorders/>
            <w:shd w:fill="FFFFFF" w:val="clear"/>
            <w:vAlign w:val="bottom"/>
          </w:tcPr>
          <w:p>
            <w:pPr>
              <w:pStyle w:val="TableContents"/>
              <w:bidi w:val="0"/>
              <w:spacing w:before="0" w:after="283"/>
              <w:jc w:val="left"/>
              <w:rPr/>
            </w:pPr>
            <w:r>
              <w:rPr/>
              <w:t> </w:t>
            </w:r>
          </w:p>
        </w:tc>
        <w:tc>
          <w:tcPr>
            <w:tcW w:w="458" w:type="dxa"/>
            <w:tcBorders/>
            <w:shd w:fill="FFFFFF" w:val="clear"/>
            <w:vAlign w:val="bottom"/>
          </w:tcPr>
          <w:p>
            <w:pPr>
              <w:pStyle w:val="TableContents"/>
              <w:bidi w:val="0"/>
              <w:spacing w:before="0" w:after="283"/>
              <w:jc w:val="right"/>
              <w:rPr>
                <w:sz w:val="20"/>
              </w:rPr>
            </w:pPr>
            <w:r>
              <w:rPr>
                <w:sz w:val="20"/>
              </w:rPr>
              <w:t>-</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right"/>
              <w:rPr/>
            </w:pPr>
            <w:r>
              <w:rPr/>
              <w:t> </w:t>
            </w:r>
          </w:p>
        </w:tc>
        <w:tc>
          <w:tcPr>
            <w:tcW w:w="60" w:type="dxa"/>
            <w:tcBorders/>
            <w:shd w:fill="FFFFFF" w:val="clear"/>
            <w:vAlign w:val="bottom"/>
          </w:tcPr>
          <w:p>
            <w:pPr>
              <w:pStyle w:val="TableContents"/>
              <w:bidi w:val="0"/>
              <w:spacing w:before="0" w:after="283"/>
              <w:jc w:val="left"/>
              <w:rPr/>
            </w:pPr>
            <w:r>
              <w:rPr/>
              <w:t> </w:t>
            </w:r>
          </w:p>
        </w:tc>
        <w:tc>
          <w:tcPr>
            <w:tcW w:w="695" w:type="dxa"/>
            <w:tcBorders/>
            <w:shd w:fill="FFFFFF" w:val="clear"/>
            <w:vAlign w:val="bottom"/>
          </w:tcPr>
          <w:p>
            <w:pPr>
              <w:pStyle w:val="TableContents"/>
              <w:bidi w:val="0"/>
              <w:spacing w:before="0" w:after="283"/>
              <w:jc w:val="right"/>
              <w:rPr>
                <w:sz w:val="20"/>
              </w:rPr>
            </w:pPr>
            <w:r>
              <w:rPr>
                <w:sz w:val="20"/>
              </w:rPr>
              <w:t>60,041</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right"/>
              <w:rPr/>
            </w:pPr>
            <w:r>
              <w:rPr/>
              <w:t> </w:t>
            </w:r>
          </w:p>
        </w:tc>
        <w:tc>
          <w:tcPr>
            <w:tcW w:w="342" w:type="dxa"/>
            <w:tcBorders/>
            <w:shd w:fill="FFFFFF" w:val="clear"/>
            <w:vAlign w:val="bottom"/>
          </w:tcPr>
          <w:p>
            <w:pPr>
              <w:pStyle w:val="TableContents"/>
              <w:bidi w:val="0"/>
              <w:spacing w:before="0" w:after="283"/>
              <w:jc w:val="left"/>
              <w:rPr/>
            </w:pPr>
            <w:r>
              <w:rPr/>
              <w:t> </w:t>
            </w:r>
          </w:p>
        </w:tc>
        <w:tc>
          <w:tcPr>
            <w:tcW w:w="458" w:type="dxa"/>
            <w:tcBorders/>
            <w:shd w:fill="FFFFFF" w:val="clear"/>
            <w:vAlign w:val="bottom"/>
          </w:tcPr>
          <w:p>
            <w:pPr>
              <w:pStyle w:val="TableContents"/>
              <w:bidi w:val="0"/>
              <w:spacing w:before="0" w:after="283"/>
              <w:jc w:val="right"/>
              <w:rPr>
                <w:sz w:val="20"/>
              </w:rPr>
            </w:pPr>
            <w:r>
              <w:rPr>
                <w:sz w:val="20"/>
              </w:rPr>
              <w:t>-</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right"/>
              <w:rPr/>
            </w:pPr>
            <w:r>
              <w:rPr/>
              <w:t> </w:t>
            </w:r>
          </w:p>
        </w:tc>
        <w:tc>
          <w:tcPr>
            <w:tcW w:w="81" w:type="dxa"/>
            <w:tcBorders/>
            <w:shd w:fill="FFFFFF" w:val="clear"/>
            <w:vAlign w:val="bottom"/>
          </w:tcPr>
          <w:p>
            <w:pPr>
              <w:pStyle w:val="TableContents"/>
              <w:bidi w:val="0"/>
              <w:spacing w:before="0" w:after="283"/>
              <w:jc w:val="left"/>
              <w:rPr/>
            </w:pPr>
            <w:r>
              <w:rPr/>
              <w:t> </w:t>
            </w:r>
          </w:p>
        </w:tc>
        <w:tc>
          <w:tcPr>
            <w:tcW w:w="1154" w:type="dxa"/>
            <w:tcBorders/>
            <w:shd w:fill="FFFFFF" w:val="clear"/>
            <w:vAlign w:val="bottom"/>
          </w:tcPr>
          <w:p>
            <w:pPr>
              <w:pStyle w:val="TableContents"/>
              <w:bidi w:val="0"/>
              <w:spacing w:before="0" w:after="0"/>
              <w:jc w:val="right"/>
              <w:rPr>
                <w:color w:val="000000"/>
                <w:sz w:val="20"/>
              </w:rPr>
            </w:pPr>
            <w:r>
              <w:rPr>
                <w:color w:val="000000"/>
                <w:sz w:val="20"/>
              </w:rPr>
              <w:t>2,336,749</w:t>
            </w:r>
          </w:p>
        </w:tc>
        <w:tc>
          <w:tcPr>
            <w:tcW w:w="8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right"/>
              <w:rPr/>
            </w:pPr>
            <w:r>
              <w:rPr/>
              <w:t> </w:t>
            </w:r>
          </w:p>
        </w:tc>
        <w:tc>
          <w:tcPr>
            <w:tcW w:w="205" w:type="dxa"/>
            <w:tcBorders/>
            <w:shd w:fill="FFFFFF" w:val="clear"/>
            <w:vAlign w:val="bottom"/>
          </w:tcPr>
          <w:p>
            <w:pPr>
              <w:pStyle w:val="TableContents"/>
              <w:bidi w:val="0"/>
              <w:spacing w:before="0" w:after="283"/>
              <w:jc w:val="left"/>
              <w:rPr/>
            </w:pPr>
            <w:r>
              <w:rPr/>
              <w:t> </w:t>
            </w:r>
          </w:p>
        </w:tc>
        <w:tc>
          <w:tcPr>
            <w:tcW w:w="625" w:type="dxa"/>
            <w:tcBorders/>
            <w:shd w:fill="FFFFFF" w:val="clear"/>
            <w:vAlign w:val="bottom"/>
          </w:tcPr>
          <w:p>
            <w:pPr>
              <w:pStyle w:val="TableContents"/>
              <w:bidi w:val="0"/>
              <w:spacing w:before="0" w:after="283"/>
              <w:jc w:val="right"/>
              <w:rPr/>
            </w:pPr>
            <w:r>
              <w:rPr/>
              <w:t> </w:t>
            </w:r>
          </w:p>
        </w:tc>
        <w:tc>
          <w:tcPr>
            <w:tcW w:w="60" w:type="dxa"/>
            <w:tcBorders/>
            <w:shd w:fill="FFFFFF" w:val="clear"/>
            <w:vAlign w:val="bottom"/>
          </w:tcPr>
          <w:p>
            <w:pPr>
              <w:pStyle w:val="TableContents"/>
              <w:bidi w:val="0"/>
              <w:spacing w:before="0" w:after="283"/>
              <w:jc w:val="left"/>
              <w:rPr/>
            </w:pPr>
            <w:r>
              <w:rPr/>
              <w:t> </w:t>
            </w:r>
          </w:p>
        </w:tc>
      </w:tr>
      <w:tr>
        <w:trPr/>
        <w:tc>
          <w:tcPr>
            <w:tcW w:w="731" w:type="dxa"/>
            <w:tcBorders/>
            <w:shd w:fill="CCEEFF" w:val="clear"/>
            <w:vAlign w:val="bottom"/>
          </w:tcPr>
          <w:p>
            <w:pPr>
              <w:pStyle w:val="TableContents"/>
              <w:bidi w:val="0"/>
              <w:spacing w:before="0" w:after="0"/>
              <w:ind w:left="360" w:right="0" w:hanging="180"/>
              <w:jc w:val="left"/>
              <w:rPr>
                <w:color w:val="000000"/>
                <w:sz w:val="20"/>
              </w:rPr>
            </w:pPr>
            <w:r>
              <w:rPr>
                <w:color w:val="000000"/>
                <w:sz w:val="20"/>
              </w:rPr>
              <w:t>Number of securities issued or to be issued upon exercise</w:t>
            </w:r>
          </w:p>
        </w:tc>
        <w:tc>
          <w:tcPr>
            <w:tcW w:w="240" w:type="dxa"/>
            <w:tcBorders/>
            <w:shd w:fill="CCEEFF" w:val="clear"/>
            <w:vAlign w:val="bottom"/>
          </w:tcPr>
          <w:p>
            <w:pPr>
              <w:pStyle w:val="TableContents"/>
              <w:bidi w:val="0"/>
              <w:spacing w:before="0" w:after="283"/>
              <w:jc w:val="righ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bottom"/>
          </w:tcPr>
          <w:p>
            <w:pPr>
              <w:pStyle w:val="TableContents"/>
              <w:bidi w:val="0"/>
              <w:spacing w:before="0" w:after="0"/>
              <w:jc w:val="right"/>
              <w:rPr>
                <w:color w:val="000000"/>
                <w:sz w:val="20"/>
              </w:rPr>
            </w:pPr>
            <w:r>
              <w:rPr>
                <w:color w:val="000000"/>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8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8" w:type="dxa"/>
            <w:tcBorders>
              <w:bottom w:val="single" w:sz="12" w:space="0" w:color="000000"/>
            </w:tcBorders>
            <w:shd w:fill="CCEEFF" w:val="clear"/>
            <w:tcMar>
              <w:bottom w:w="28" w:type="dxa"/>
            </w:tcMar>
            <w:vAlign w:val="bottom"/>
          </w:tcPr>
          <w:p>
            <w:pPr>
              <w:pStyle w:val="TableContents"/>
              <w:bidi w:val="0"/>
              <w:spacing w:before="0" w:after="0"/>
              <w:jc w:val="right"/>
              <w:rPr>
                <w:color w:val="000000"/>
                <w:sz w:val="20"/>
              </w:rPr>
            </w:pPr>
            <w:r>
              <w:rPr>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8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22" w:type="dxa"/>
            <w:tcBorders>
              <w:bottom w:val="single" w:sz="12" w:space="0" w:color="000000"/>
            </w:tcBorders>
            <w:shd w:fill="CCEEFF" w:val="clear"/>
            <w:tcMar>
              <w:bottom w:w="28" w:type="dxa"/>
            </w:tcMar>
            <w:vAlign w:val="bottom"/>
          </w:tcPr>
          <w:p>
            <w:pPr>
              <w:pStyle w:val="TableContents"/>
              <w:bidi w:val="0"/>
              <w:spacing w:before="0" w:after="0"/>
              <w:jc w:val="right"/>
              <w:rPr>
                <w:color w:val="000000"/>
                <w:sz w:val="20"/>
              </w:rPr>
            </w:pPr>
            <w:r>
              <w:rPr>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bottom"/>
          </w:tcPr>
          <w:p>
            <w:pPr>
              <w:pStyle w:val="TableContents"/>
              <w:bidi w:val="0"/>
              <w:spacing w:before="0" w:after="0"/>
              <w:jc w:val="right"/>
              <w:rPr>
                <w:color w:val="000000"/>
                <w:sz w:val="20"/>
              </w:rPr>
            </w:pPr>
            <w:r>
              <w:rPr>
                <w:color w:val="000000"/>
                <w:sz w:val="20"/>
              </w:rPr>
              <w:t>-</w:t>
            </w:r>
          </w:p>
        </w:tc>
        <w:tc>
          <w:tcPr>
            <w:tcW w:w="8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right"/>
              <w:rPr/>
            </w:pPr>
            <w:r>
              <w:rPr/>
              <w:t> </w:t>
            </w:r>
          </w:p>
        </w:tc>
        <w:tc>
          <w:tcPr>
            <w:tcW w:w="8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12" w:type="dxa"/>
            <w:tcBorders>
              <w:bottom w:val="single" w:sz="12" w:space="0" w:color="000000"/>
            </w:tcBorders>
            <w:shd w:fill="CCEEFF" w:val="clear"/>
            <w:tcMar>
              <w:bottom w:w="28" w:type="dxa"/>
            </w:tcMar>
            <w:vAlign w:val="bottom"/>
          </w:tcPr>
          <w:p>
            <w:pPr>
              <w:pStyle w:val="TableContents"/>
              <w:bidi w:val="0"/>
              <w:spacing w:before="0" w:after="0"/>
              <w:jc w:val="right"/>
              <w:rPr>
                <w:color w:val="000000"/>
                <w:sz w:val="20"/>
              </w:rPr>
            </w:pPr>
            <w:r>
              <w:rPr>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7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27" w:type="dxa"/>
            <w:tcBorders>
              <w:bottom w:val="single" w:sz="12" w:space="0" w:color="000000"/>
            </w:tcBorders>
            <w:shd w:fill="CCEEFF" w:val="clear"/>
            <w:tcMar>
              <w:bottom w:w="28" w:type="dxa"/>
            </w:tcMar>
            <w:vAlign w:val="bottom"/>
          </w:tcPr>
          <w:p>
            <w:pPr>
              <w:pStyle w:val="TableContents"/>
              <w:bidi w:val="0"/>
              <w:spacing w:before="0" w:after="283"/>
              <w:jc w:val="right"/>
              <w:rPr>
                <w:sz w:val="20"/>
              </w:rPr>
            </w:pPr>
            <w:r>
              <w:rPr>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bottom"/>
          </w:tcPr>
          <w:p>
            <w:pPr>
              <w:pStyle w:val="TableContents"/>
              <w:bidi w:val="0"/>
              <w:spacing w:before="0" w:after="283"/>
              <w:jc w:val="right"/>
              <w:rPr>
                <w:sz w:val="20"/>
              </w:rPr>
            </w:pPr>
            <w:r>
              <w:rPr>
                <w:sz w:val="20"/>
              </w:rPr>
              <w:t>(24,414</w:t>
            </w:r>
          </w:p>
        </w:tc>
        <w:tc>
          <w:tcPr>
            <w:tcW w:w="80" w:type="dxa"/>
            <w:tcBorders/>
            <w:shd w:fill="CCEEFF" w:val="clear"/>
            <w:vAlign w:val="bottom"/>
          </w:tcPr>
          <w:p>
            <w:pPr>
              <w:pStyle w:val="TableContents"/>
              <w:bidi w:val="0"/>
              <w:spacing w:before="0" w:after="283"/>
              <w:jc w:val="left"/>
              <w:rPr>
                <w:sz w:val="20"/>
              </w:rPr>
            </w:pPr>
            <w:r>
              <w:rPr>
                <w:sz w:val="20"/>
              </w:rPr>
              <w:t>)</w:t>
            </w:r>
          </w:p>
        </w:tc>
        <w:tc>
          <w:tcPr>
            <w:tcW w:w="185" w:type="dxa"/>
            <w:tcBorders/>
            <w:shd w:fill="CCEEFF" w:val="clear"/>
            <w:vAlign w:val="bottom"/>
          </w:tcPr>
          <w:p>
            <w:pPr>
              <w:pStyle w:val="TableContents"/>
              <w:bidi w:val="0"/>
              <w:spacing w:before="0" w:after="283"/>
              <w:jc w:val="center"/>
              <w:rPr>
                <w:sz w:val="20"/>
              </w:rPr>
            </w:pPr>
            <w:r>
              <w:rPr>
                <w:position w:val="7"/>
                <w:sz w:val="16"/>
                <w:sz w:val="20"/>
              </w:rPr>
              <w:t>(C)</w:t>
            </w:r>
            <w:r>
              <w:rPr>
                <w:sz w:val="20"/>
              </w:rPr>
              <w:t xml:space="preserve"> </w:t>
            </w:r>
          </w:p>
        </w:tc>
        <w:tc>
          <w:tcPr>
            <w:tcW w:w="60" w:type="dxa"/>
            <w:tcBorders/>
            <w:shd w:fill="CCEEFF" w:val="clear"/>
            <w:vAlign w:val="bottom"/>
          </w:tcPr>
          <w:p>
            <w:pPr>
              <w:pStyle w:val="TableContents"/>
              <w:bidi w:val="0"/>
              <w:spacing w:before="0" w:after="283"/>
              <w:jc w:val="right"/>
              <w:rPr/>
            </w:pPr>
            <w:r>
              <w:rPr/>
              <w:t> </w:t>
            </w:r>
          </w:p>
        </w:tc>
        <w:tc>
          <w:tcPr>
            <w:tcW w:w="34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458" w:type="dxa"/>
            <w:tcBorders>
              <w:bottom w:val="single" w:sz="12" w:space="0" w:color="000000"/>
            </w:tcBorders>
            <w:shd w:fill="CCEEFF" w:val="clear"/>
            <w:tcMar>
              <w:bottom w:w="28" w:type="dxa"/>
            </w:tcMar>
            <w:vAlign w:val="bottom"/>
          </w:tcPr>
          <w:p>
            <w:pPr>
              <w:pStyle w:val="TableContents"/>
              <w:bidi w:val="0"/>
              <w:spacing w:before="0" w:after="283"/>
              <w:jc w:val="right"/>
              <w:rPr>
                <w:sz w:val="20"/>
              </w:rPr>
            </w:pPr>
            <w:r>
              <w:rPr>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283"/>
              <w:jc w:val="right"/>
              <w:rPr>
                <w:sz w:val="20"/>
              </w:rPr>
            </w:pPr>
            <w:r>
              <w:rPr>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4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458" w:type="dxa"/>
            <w:tcBorders>
              <w:bottom w:val="single" w:sz="12" w:space="0" w:color="000000"/>
            </w:tcBorders>
            <w:shd w:fill="CCEEFF" w:val="clear"/>
            <w:tcMar>
              <w:bottom w:w="28" w:type="dxa"/>
            </w:tcMar>
            <w:vAlign w:val="bottom"/>
          </w:tcPr>
          <w:p>
            <w:pPr>
              <w:pStyle w:val="TableContents"/>
              <w:bidi w:val="0"/>
              <w:spacing w:before="0" w:after="283"/>
              <w:jc w:val="right"/>
              <w:rPr>
                <w:sz w:val="20"/>
              </w:rPr>
            </w:pPr>
            <w:r>
              <w:rPr>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8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54" w:type="dxa"/>
            <w:tcBorders>
              <w:bottom w:val="single" w:sz="12" w:space="0" w:color="000000"/>
            </w:tcBorders>
            <w:shd w:fill="CCEEFF" w:val="clear"/>
            <w:tcMar>
              <w:bottom w:w="28" w:type="dxa"/>
            </w:tcMar>
            <w:vAlign w:val="bottom"/>
          </w:tcPr>
          <w:p>
            <w:pPr>
              <w:pStyle w:val="TableContents"/>
              <w:bidi w:val="0"/>
              <w:spacing w:before="0" w:after="0"/>
              <w:jc w:val="right"/>
              <w:rPr>
                <w:color w:val="000000"/>
                <w:sz w:val="20"/>
              </w:rPr>
            </w:pPr>
            <w:r>
              <w:rPr>
                <w:color w:val="000000"/>
                <w:sz w:val="20"/>
              </w:rPr>
              <w:t>(24,414</w:t>
            </w:r>
          </w:p>
        </w:tc>
        <w:tc>
          <w:tcPr>
            <w:tcW w:w="80" w:type="dxa"/>
            <w:tcBorders/>
            <w:shd w:fill="CCEEFF" w:val="clear"/>
            <w:vAlign w:val="bottom"/>
          </w:tcPr>
          <w:p>
            <w:pPr>
              <w:pStyle w:val="TableContents"/>
              <w:bidi w:val="0"/>
              <w:spacing w:before="0" w:after="0"/>
              <w:jc w:val="left"/>
              <w:rPr>
                <w:color w:val="000000"/>
                <w:sz w:val="20"/>
              </w:rPr>
            </w:pPr>
            <w:r>
              <w:rPr>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205" w:type="dxa"/>
            <w:tcBorders/>
            <w:shd w:fill="CCEEFF" w:val="clear"/>
            <w:vAlign w:val="bottom"/>
          </w:tcPr>
          <w:p>
            <w:pPr>
              <w:pStyle w:val="TableContents"/>
              <w:bidi w:val="0"/>
              <w:spacing w:before="0" w:after="0"/>
              <w:jc w:val="left"/>
              <w:rPr>
                <w:color w:val="000000"/>
                <w:sz w:val="20"/>
              </w:rPr>
            </w:pPr>
            <w:r>
              <w:rPr>
                <w:color w:val="000000"/>
                <w:sz w:val="20"/>
              </w:rPr>
              <w:t>$</w:t>
            </w:r>
          </w:p>
        </w:tc>
        <w:tc>
          <w:tcPr>
            <w:tcW w:w="625" w:type="dxa"/>
            <w:tcBorders/>
            <w:shd w:fill="CCEEFF" w:val="clear"/>
            <w:vAlign w:val="bottom"/>
          </w:tcPr>
          <w:p>
            <w:pPr>
              <w:pStyle w:val="TableContents"/>
              <w:bidi w:val="0"/>
              <w:spacing w:before="0" w:after="0"/>
              <w:jc w:val="right"/>
              <w:rPr>
                <w:color w:val="000000"/>
                <w:sz w:val="20"/>
              </w:rPr>
            </w:pPr>
            <w:r>
              <w:rPr>
                <w:color w:val="000000"/>
                <w:sz w:val="20"/>
              </w:rPr>
              <w:t>2.56</w:t>
            </w:r>
          </w:p>
        </w:tc>
        <w:tc>
          <w:tcPr>
            <w:tcW w:w="60" w:type="dxa"/>
            <w:tcBorders/>
            <w:shd w:fill="CCEEFF" w:val="clear"/>
            <w:vAlign w:val="bottom"/>
          </w:tcPr>
          <w:p>
            <w:pPr>
              <w:pStyle w:val="TableContents"/>
              <w:bidi w:val="0"/>
              <w:spacing w:before="0" w:after="283"/>
              <w:jc w:val="left"/>
              <w:rPr/>
            </w:pPr>
            <w:r>
              <w:rPr/>
              <w:t> </w:t>
            </w:r>
          </w:p>
        </w:tc>
      </w:tr>
      <w:tr>
        <w:trPr/>
        <w:tc>
          <w:tcPr>
            <w:tcW w:w="731" w:type="dxa"/>
            <w:tcBorders/>
            <w:shd w:fill="FFFFFF" w:val="clear"/>
            <w:vAlign w:val="bottom"/>
          </w:tcPr>
          <w:p>
            <w:pPr>
              <w:pStyle w:val="TableContents"/>
              <w:bidi w:val="0"/>
              <w:spacing w:before="0" w:after="0"/>
              <w:ind w:left="144" w:right="0" w:hanging="144"/>
              <w:jc w:val="left"/>
              <w:rPr>
                <w:b/>
                <w:color w:val="000000"/>
                <w:sz w:val="20"/>
              </w:rPr>
            </w:pPr>
            <w:r>
              <w:rPr>
                <w:b/>
                <w:color w:val="000000"/>
                <w:sz w:val="20"/>
              </w:rPr>
              <w:t>March 31, 2026</w:t>
            </w:r>
          </w:p>
        </w:tc>
        <w:tc>
          <w:tcPr>
            <w:tcW w:w="240" w:type="dxa"/>
            <w:tcBorders/>
            <w:shd w:fill="FFFFFF" w:val="clear"/>
            <w:vAlign w:val="bottom"/>
          </w:tcPr>
          <w:p>
            <w:pPr>
              <w:pStyle w:val="TableContents"/>
              <w:bidi w:val="0"/>
              <w:spacing w:before="0" w:after="283"/>
              <w:jc w:val="right"/>
              <w:rPr/>
            </w:pPr>
            <w:r>
              <w:rPr/>
              <w:t> </w:t>
            </w:r>
          </w:p>
        </w:tc>
        <w:tc>
          <w:tcPr>
            <w:tcW w:w="60" w:type="dxa"/>
            <w:tcBorders/>
            <w:shd w:fill="FFFFFF" w:val="clear"/>
            <w:vAlign w:val="bottom"/>
          </w:tcPr>
          <w:p>
            <w:pPr>
              <w:pStyle w:val="TableContents"/>
              <w:bidi w:val="0"/>
              <w:spacing w:before="0" w:after="283"/>
              <w:jc w:val="left"/>
              <w:rPr/>
            </w:pPr>
            <w:r>
              <w:rPr/>
              <w:t> </w:t>
            </w:r>
          </w:p>
        </w:tc>
        <w:tc>
          <w:tcPr>
            <w:tcW w:w="755" w:type="dxa"/>
            <w:tcBorders/>
            <w:shd w:fill="FFFFFF" w:val="clear"/>
            <w:vAlign w:val="bottom"/>
          </w:tcPr>
          <w:p>
            <w:pPr>
              <w:pStyle w:val="TableContents"/>
              <w:bidi w:val="0"/>
              <w:spacing w:before="0" w:after="0"/>
              <w:jc w:val="right"/>
              <w:rPr>
                <w:color w:val="000000"/>
                <w:sz w:val="20"/>
              </w:rPr>
            </w:pPr>
            <w:r>
              <w:rPr>
                <w:color w:val="000000"/>
                <w:sz w:val="20"/>
              </w:rPr>
              <w:t>(663,492</w:t>
            </w:r>
          </w:p>
        </w:tc>
        <w:tc>
          <w:tcPr>
            <w:tcW w:w="80" w:type="dxa"/>
            <w:tcBorders/>
            <w:shd w:fill="FFFFFF" w:val="clear"/>
            <w:vAlign w:val="bottom"/>
          </w:tcPr>
          <w:p>
            <w:pPr>
              <w:pStyle w:val="TableContents"/>
              <w:bidi w:val="0"/>
              <w:spacing w:before="0" w:after="0"/>
              <w:jc w:val="left"/>
              <w:rPr>
                <w:color w:val="000000"/>
                <w:sz w:val="20"/>
              </w:rPr>
            </w:pPr>
            <w:r>
              <w:rPr>
                <w:color w:val="000000"/>
                <w:sz w:val="20"/>
              </w:rPr>
              <w:t>)</w:t>
            </w:r>
          </w:p>
        </w:tc>
        <w:tc>
          <w:tcPr>
            <w:tcW w:w="60" w:type="dxa"/>
            <w:tcBorders/>
            <w:shd w:fill="FFFFFF" w:val="clear"/>
            <w:vAlign w:val="bottom"/>
          </w:tcPr>
          <w:p>
            <w:pPr>
              <w:pStyle w:val="TableContents"/>
              <w:bidi w:val="0"/>
              <w:spacing w:before="0" w:after="283"/>
              <w:jc w:val="right"/>
              <w:rPr/>
            </w:pPr>
            <w:r>
              <w:rPr/>
              <w:t> </w:t>
            </w:r>
          </w:p>
        </w:tc>
        <w:tc>
          <w:tcPr>
            <w:tcW w:w="82" w:type="dxa"/>
            <w:tcBorders/>
            <w:shd w:fill="FFFFFF" w:val="clear"/>
            <w:vAlign w:val="bottom"/>
          </w:tcPr>
          <w:p>
            <w:pPr>
              <w:pStyle w:val="TableContents"/>
              <w:bidi w:val="0"/>
              <w:spacing w:before="0" w:after="283"/>
              <w:jc w:val="left"/>
              <w:rPr/>
            </w:pPr>
            <w:r>
              <w:rPr/>
              <w:t> </w:t>
            </w:r>
          </w:p>
        </w:tc>
        <w:tc>
          <w:tcPr>
            <w:tcW w:w="808" w:type="dxa"/>
            <w:tcBorders/>
            <w:shd w:fill="FFFFFF" w:val="clear"/>
            <w:vAlign w:val="bottom"/>
          </w:tcPr>
          <w:p>
            <w:pPr>
              <w:pStyle w:val="TableContents"/>
              <w:bidi w:val="0"/>
              <w:spacing w:before="0" w:after="0"/>
              <w:jc w:val="right"/>
              <w:rPr>
                <w:color w:val="000000"/>
                <w:sz w:val="20"/>
              </w:rPr>
            </w:pPr>
            <w:r>
              <w:rPr>
                <w:color w:val="000000"/>
                <w:sz w:val="20"/>
              </w:rPr>
              <w:t>57,689</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right"/>
              <w:rPr/>
            </w:pPr>
            <w:r>
              <w:rPr/>
              <w:t> </w:t>
            </w:r>
          </w:p>
        </w:tc>
        <w:tc>
          <w:tcPr>
            <w:tcW w:w="83" w:type="dxa"/>
            <w:tcBorders/>
            <w:shd w:fill="FFFFFF" w:val="clear"/>
            <w:vAlign w:val="bottom"/>
          </w:tcPr>
          <w:p>
            <w:pPr>
              <w:pStyle w:val="TableContents"/>
              <w:bidi w:val="0"/>
              <w:spacing w:before="0" w:after="283"/>
              <w:jc w:val="left"/>
              <w:rPr/>
            </w:pPr>
            <w:r>
              <w:rPr/>
              <w:t> </w:t>
            </w:r>
          </w:p>
        </w:tc>
        <w:tc>
          <w:tcPr>
            <w:tcW w:w="822" w:type="dxa"/>
            <w:tcBorders/>
            <w:shd w:fill="FFFFFF" w:val="clear"/>
            <w:vAlign w:val="bottom"/>
          </w:tcPr>
          <w:p>
            <w:pPr>
              <w:pStyle w:val="TableContents"/>
              <w:bidi w:val="0"/>
              <w:spacing w:before="0" w:after="0"/>
              <w:jc w:val="right"/>
              <w:rPr>
                <w:color w:val="000000"/>
                <w:sz w:val="20"/>
              </w:rPr>
            </w:pPr>
            <w:r>
              <w:rPr>
                <w:color w:val="000000"/>
                <w:sz w:val="20"/>
              </w:rPr>
              <w:t>65,037</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right"/>
              <w:rPr/>
            </w:pPr>
            <w:r>
              <w:rPr/>
              <w:t> </w:t>
            </w:r>
          </w:p>
        </w:tc>
        <w:tc>
          <w:tcPr>
            <w:tcW w:w="60" w:type="dxa"/>
            <w:tcBorders/>
            <w:shd w:fill="FFFFFF" w:val="clear"/>
            <w:vAlign w:val="bottom"/>
          </w:tcPr>
          <w:p>
            <w:pPr>
              <w:pStyle w:val="TableContents"/>
              <w:bidi w:val="0"/>
              <w:spacing w:before="0" w:after="283"/>
              <w:jc w:val="left"/>
              <w:rPr/>
            </w:pPr>
            <w:r>
              <w:rPr/>
              <w:t> </w:t>
            </w:r>
          </w:p>
        </w:tc>
        <w:tc>
          <w:tcPr>
            <w:tcW w:w="755" w:type="dxa"/>
            <w:tcBorders/>
            <w:shd w:fill="FFFFFF" w:val="clear"/>
            <w:vAlign w:val="bottom"/>
          </w:tcPr>
          <w:p>
            <w:pPr>
              <w:pStyle w:val="TableContents"/>
              <w:bidi w:val="0"/>
              <w:spacing w:before="0" w:after="0"/>
              <w:jc w:val="right"/>
              <w:rPr>
                <w:color w:val="000000"/>
                <w:sz w:val="20"/>
              </w:rPr>
            </w:pPr>
            <w:r>
              <w:rPr>
                <w:color w:val="000000"/>
                <w:sz w:val="20"/>
              </w:rPr>
              <w:t>(510,475</w:t>
            </w:r>
          </w:p>
        </w:tc>
        <w:tc>
          <w:tcPr>
            <w:tcW w:w="80" w:type="dxa"/>
            <w:tcBorders/>
            <w:shd w:fill="FFFFFF" w:val="clear"/>
            <w:vAlign w:val="bottom"/>
          </w:tcPr>
          <w:p>
            <w:pPr>
              <w:pStyle w:val="TableContents"/>
              <w:bidi w:val="0"/>
              <w:spacing w:before="0" w:after="0"/>
              <w:jc w:val="left"/>
              <w:rPr>
                <w:color w:val="000000"/>
                <w:sz w:val="20"/>
              </w:rPr>
            </w:pPr>
            <w:r>
              <w:rPr>
                <w:color w:val="000000"/>
                <w:sz w:val="20"/>
              </w:rPr>
              <w:t>)</w:t>
            </w:r>
          </w:p>
        </w:tc>
        <w:tc>
          <w:tcPr>
            <w:tcW w:w="200" w:type="dxa"/>
            <w:tcBorders/>
            <w:shd w:fill="FFFFFF" w:val="clear"/>
            <w:vAlign w:val="bottom"/>
          </w:tcPr>
          <w:p>
            <w:pPr>
              <w:pStyle w:val="TableContents"/>
              <w:bidi w:val="0"/>
              <w:spacing w:before="0" w:after="283"/>
              <w:jc w:val="right"/>
              <w:rPr/>
            </w:pPr>
            <w:r>
              <w:rPr/>
              <w:t> </w:t>
            </w:r>
          </w:p>
        </w:tc>
        <w:tc>
          <w:tcPr>
            <w:tcW w:w="60" w:type="dxa"/>
            <w:tcBorders/>
            <w:shd w:fill="FFFFFF" w:val="clear"/>
            <w:vAlign w:val="bottom"/>
          </w:tcPr>
          <w:p>
            <w:pPr>
              <w:pStyle w:val="TableContents"/>
              <w:bidi w:val="0"/>
              <w:spacing w:before="0" w:after="283"/>
              <w:jc w:val="right"/>
              <w:rPr/>
            </w:pPr>
            <w:r>
              <w:rPr/>
              <w:t> </w:t>
            </w:r>
          </w:p>
        </w:tc>
        <w:tc>
          <w:tcPr>
            <w:tcW w:w="88" w:type="dxa"/>
            <w:tcBorders/>
            <w:shd w:fill="FFFFFF" w:val="clear"/>
            <w:vAlign w:val="bottom"/>
          </w:tcPr>
          <w:p>
            <w:pPr>
              <w:pStyle w:val="TableContents"/>
              <w:bidi w:val="0"/>
              <w:spacing w:before="0" w:after="283"/>
              <w:jc w:val="left"/>
              <w:rPr/>
            </w:pPr>
            <w:r>
              <w:rPr/>
              <w:t> </w:t>
            </w:r>
          </w:p>
        </w:tc>
        <w:tc>
          <w:tcPr>
            <w:tcW w:w="712" w:type="dxa"/>
            <w:tcBorders/>
            <w:shd w:fill="FFFFFF" w:val="clear"/>
            <w:vAlign w:val="bottom"/>
          </w:tcPr>
          <w:p>
            <w:pPr>
              <w:pStyle w:val="TableContents"/>
              <w:bidi w:val="0"/>
              <w:spacing w:before="0" w:after="0"/>
              <w:jc w:val="right"/>
              <w:rPr>
                <w:color w:val="000000"/>
                <w:sz w:val="20"/>
              </w:rPr>
            </w:pPr>
            <w:r>
              <w:rPr>
                <w:color w:val="000000"/>
                <w:sz w:val="20"/>
              </w:rPr>
              <w:t>3,155</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right"/>
              <w:rPr/>
            </w:pPr>
            <w:r>
              <w:rPr/>
              <w:t> </w:t>
            </w:r>
          </w:p>
        </w:tc>
        <w:tc>
          <w:tcPr>
            <w:tcW w:w="73" w:type="dxa"/>
            <w:tcBorders/>
            <w:shd w:fill="FFFFFF" w:val="clear"/>
            <w:vAlign w:val="bottom"/>
          </w:tcPr>
          <w:p>
            <w:pPr>
              <w:pStyle w:val="TableContents"/>
              <w:bidi w:val="0"/>
              <w:spacing w:before="0" w:after="283"/>
              <w:jc w:val="left"/>
              <w:rPr/>
            </w:pPr>
            <w:r>
              <w:rPr/>
              <w:t> </w:t>
            </w:r>
          </w:p>
        </w:tc>
        <w:tc>
          <w:tcPr>
            <w:tcW w:w="727" w:type="dxa"/>
            <w:tcBorders/>
            <w:shd w:fill="FFFFFF" w:val="clear"/>
            <w:vAlign w:val="bottom"/>
          </w:tcPr>
          <w:p>
            <w:pPr>
              <w:pStyle w:val="TableContents"/>
              <w:bidi w:val="0"/>
              <w:spacing w:before="0" w:after="283"/>
              <w:jc w:val="right"/>
              <w:rPr>
                <w:sz w:val="20"/>
              </w:rPr>
            </w:pPr>
            <w:r>
              <w:rPr>
                <w:sz w:val="20"/>
              </w:rPr>
              <w:t>24,620</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right"/>
              <w:rPr/>
            </w:pPr>
            <w:r>
              <w:rPr/>
              <w:t> </w:t>
            </w:r>
          </w:p>
        </w:tc>
        <w:tc>
          <w:tcPr>
            <w:tcW w:w="60" w:type="dxa"/>
            <w:tcBorders/>
            <w:shd w:fill="FFFFFF" w:val="clear"/>
            <w:vAlign w:val="bottom"/>
          </w:tcPr>
          <w:p>
            <w:pPr>
              <w:pStyle w:val="TableContents"/>
              <w:bidi w:val="0"/>
              <w:spacing w:before="0" w:after="283"/>
              <w:jc w:val="left"/>
              <w:rPr/>
            </w:pPr>
            <w:r>
              <w:rPr/>
              <w:t> </w:t>
            </w:r>
          </w:p>
        </w:tc>
        <w:tc>
          <w:tcPr>
            <w:tcW w:w="755" w:type="dxa"/>
            <w:tcBorders/>
            <w:shd w:fill="FFFFFF" w:val="clear"/>
            <w:vAlign w:val="bottom"/>
          </w:tcPr>
          <w:p>
            <w:pPr>
              <w:pStyle w:val="TableContents"/>
              <w:bidi w:val="0"/>
              <w:spacing w:before="0" w:after="283"/>
              <w:jc w:val="right"/>
              <w:rPr>
                <w:sz w:val="20"/>
              </w:rPr>
            </w:pPr>
            <w:r>
              <w:rPr>
                <w:sz w:val="20"/>
              </w:rPr>
              <w:t>(206,356</w:t>
            </w:r>
          </w:p>
        </w:tc>
        <w:tc>
          <w:tcPr>
            <w:tcW w:w="80" w:type="dxa"/>
            <w:tcBorders/>
            <w:shd w:fill="FFFFFF" w:val="clear"/>
            <w:vAlign w:val="bottom"/>
          </w:tcPr>
          <w:p>
            <w:pPr>
              <w:pStyle w:val="TableContents"/>
              <w:bidi w:val="0"/>
              <w:spacing w:before="0" w:after="283"/>
              <w:jc w:val="left"/>
              <w:rPr>
                <w:sz w:val="20"/>
              </w:rPr>
            </w:pPr>
            <w:r>
              <w:rPr>
                <w:sz w:val="20"/>
              </w:rPr>
              <w:t>)</w:t>
            </w:r>
          </w:p>
        </w:tc>
        <w:tc>
          <w:tcPr>
            <w:tcW w:w="185" w:type="dxa"/>
            <w:tcBorders/>
            <w:shd w:fill="FFFFFF" w:val="clear"/>
            <w:vAlign w:val="bottom"/>
          </w:tcPr>
          <w:p>
            <w:pPr>
              <w:pStyle w:val="TableContents"/>
              <w:bidi w:val="0"/>
              <w:spacing w:before="0" w:after="283"/>
              <w:jc w:val="center"/>
              <w:rPr/>
            </w:pPr>
            <w:r>
              <w:rPr/>
              <w:t> </w:t>
            </w:r>
          </w:p>
        </w:tc>
        <w:tc>
          <w:tcPr>
            <w:tcW w:w="60" w:type="dxa"/>
            <w:tcBorders/>
            <w:shd w:fill="FFFFFF" w:val="clear"/>
            <w:vAlign w:val="bottom"/>
          </w:tcPr>
          <w:p>
            <w:pPr>
              <w:pStyle w:val="TableContents"/>
              <w:bidi w:val="0"/>
              <w:spacing w:before="0" w:after="283"/>
              <w:jc w:val="right"/>
              <w:rPr/>
            </w:pPr>
            <w:r>
              <w:rPr/>
              <w:t> </w:t>
            </w:r>
          </w:p>
        </w:tc>
        <w:tc>
          <w:tcPr>
            <w:tcW w:w="342" w:type="dxa"/>
            <w:tcBorders/>
            <w:shd w:fill="FFFFFF" w:val="clear"/>
            <w:vAlign w:val="bottom"/>
          </w:tcPr>
          <w:p>
            <w:pPr>
              <w:pStyle w:val="TableContents"/>
              <w:bidi w:val="0"/>
              <w:spacing w:before="0" w:after="283"/>
              <w:jc w:val="left"/>
              <w:rPr/>
            </w:pPr>
            <w:r>
              <w:rPr/>
              <w:t> </w:t>
            </w:r>
          </w:p>
        </w:tc>
        <w:tc>
          <w:tcPr>
            <w:tcW w:w="458" w:type="dxa"/>
            <w:tcBorders/>
            <w:shd w:fill="FFFFFF" w:val="clear"/>
            <w:vAlign w:val="bottom"/>
          </w:tcPr>
          <w:p>
            <w:pPr>
              <w:pStyle w:val="TableContents"/>
              <w:bidi w:val="0"/>
              <w:spacing w:before="0" w:after="283"/>
              <w:jc w:val="right"/>
              <w:rPr>
                <w:sz w:val="20"/>
              </w:rPr>
            </w:pPr>
            <w:r>
              <w:rPr>
                <w:sz w:val="20"/>
              </w:rPr>
              <w:t>-</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right"/>
              <w:rPr/>
            </w:pPr>
            <w:r>
              <w:rPr/>
              <w:t> </w:t>
            </w:r>
          </w:p>
        </w:tc>
        <w:tc>
          <w:tcPr>
            <w:tcW w:w="60" w:type="dxa"/>
            <w:tcBorders/>
            <w:shd w:fill="FFFFFF" w:val="clear"/>
            <w:vAlign w:val="bottom"/>
          </w:tcPr>
          <w:p>
            <w:pPr>
              <w:pStyle w:val="TableContents"/>
              <w:bidi w:val="0"/>
              <w:spacing w:before="0" w:after="283"/>
              <w:jc w:val="left"/>
              <w:rPr/>
            </w:pPr>
            <w:r>
              <w:rPr/>
              <w:t> </w:t>
            </w:r>
          </w:p>
        </w:tc>
        <w:tc>
          <w:tcPr>
            <w:tcW w:w="695" w:type="dxa"/>
            <w:tcBorders/>
            <w:shd w:fill="FFFFFF" w:val="clear"/>
            <w:vAlign w:val="bottom"/>
          </w:tcPr>
          <w:p>
            <w:pPr>
              <w:pStyle w:val="TableContents"/>
              <w:bidi w:val="0"/>
              <w:spacing w:before="0" w:after="283"/>
              <w:jc w:val="right"/>
              <w:rPr>
                <w:sz w:val="20"/>
              </w:rPr>
            </w:pPr>
            <w:r>
              <w:rPr>
                <w:sz w:val="20"/>
              </w:rPr>
              <w:t>60,041</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right"/>
              <w:rPr/>
            </w:pPr>
            <w:r>
              <w:rPr/>
              <w:t> </w:t>
            </w:r>
          </w:p>
        </w:tc>
        <w:tc>
          <w:tcPr>
            <w:tcW w:w="342" w:type="dxa"/>
            <w:tcBorders/>
            <w:shd w:fill="FFFFFF" w:val="clear"/>
            <w:vAlign w:val="bottom"/>
          </w:tcPr>
          <w:p>
            <w:pPr>
              <w:pStyle w:val="TableContents"/>
              <w:bidi w:val="0"/>
              <w:spacing w:before="0" w:after="283"/>
              <w:jc w:val="left"/>
              <w:rPr/>
            </w:pPr>
            <w:r>
              <w:rPr/>
              <w:t> </w:t>
            </w:r>
          </w:p>
        </w:tc>
        <w:tc>
          <w:tcPr>
            <w:tcW w:w="458" w:type="dxa"/>
            <w:tcBorders/>
            <w:shd w:fill="FFFFFF" w:val="clear"/>
            <w:vAlign w:val="bottom"/>
          </w:tcPr>
          <w:p>
            <w:pPr>
              <w:pStyle w:val="TableContents"/>
              <w:bidi w:val="0"/>
              <w:spacing w:before="0" w:after="283"/>
              <w:jc w:val="right"/>
              <w:rPr>
                <w:sz w:val="20"/>
              </w:rPr>
            </w:pPr>
            <w:r>
              <w:rPr>
                <w:sz w:val="20"/>
              </w:rPr>
              <w:t>-</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right"/>
              <w:rPr/>
            </w:pPr>
            <w:r>
              <w:rPr/>
              <w:t> </w:t>
            </w:r>
          </w:p>
        </w:tc>
        <w:tc>
          <w:tcPr>
            <w:tcW w:w="81" w:type="dxa"/>
            <w:tcBorders/>
            <w:shd w:fill="FFFFFF" w:val="clear"/>
            <w:vAlign w:val="bottom"/>
          </w:tcPr>
          <w:p>
            <w:pPr>
              <w:pStyle w:val="TableContents"/>
              <w:bidi w:val="0"/>
              <w:spacing w:before="0" w:after="283"/>
              <w:jc w:val="left"/>
              <w:rPr/>
            </w:pPr>
            <w:r>
              <w:rPr/>
              <w:t> </w:t>
            </w:r>
          </w:p>
        </w:tc>
        <w:tc>
          <w:tcPr>
            <w:tcW w:w="1154" w:type="dxa"/>
            <w:tcBorders/>
            <w:shd w:fill="FFFFFF" w:val="clear"/>
            <w:vAlign w:val="bottom"/>
          </w:tcPr>
          <w:p>
            <w:pPr>
              <w:pStyle w:val="TableContents"/>
              <w:bidi w:val="0"/>
              <w:spacing w:before="0" w:after="0"/>
              <w:jc w:val="right"/>
              <w:rPr>
                <w:color w:val="000000"/>
                <w:sz w:val="20"/>
              </w:rPr>
            </w:pPr>
            <w:r>
              <w:rPr>
                <w:color w:val="000000"/>
                <w:sz w:val="20"/>
              </w:rPr>
              <w:t>2,312,335</w:t>
            </w:r>
          </w:p>
        </w:tc>
        <w:tc>
          <w:tcPr>
            <w:tcW w:w="8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right"/>
              <w:rPr/>
            </w:pPr>
            <w:r>
              <w:rPr/>
              <w:t> </w:t>
            </w:r>
          </w:p>
        </w:tc>
        <w:tc>
          <w:tcPr>
            <w:tcW w:w="205" w:type="dxa"/>
            <w:tcBorders/>
            <w:shd w:fill="FFFFFF" w:val="clear"/>
            <w:vAlign w:val="bottom"/>
          </w:tcPr>
          <w:p>
            <w:pPr>
              <w:pStyle w:val="TableContents"/>
              <w:bidi w:val="0"/>
              <w:spacing w:before="0" w:after="283"/>
              <w:jc w:val="left"/>
              <w:rPr/>
            </w:pPr>
            <w:r>
              <w:rPr/>
              <w:t> </w:t>
            </w:r>
          </w:p>
        </w:tc>
        <w:tc>
          <w:tcPr>
            <w:tcW w:w="625" w:type="dxa"/>
            <w:tcBorders/>
            <w:shd w:fill="FFFFFF" w:val="clear"/>
            <w:vAlign w:val="bottom"/>
          </w:tcPr>
          <w:p>
            <w:pPr>
              <w:pStyle w:val="TableContents"/>
              <w:bidi w:val="0"/>
              <w:spacing w:before="0" w:after="283"/>
              <w:jc w:val="right"/>
              <w:rPr/>
            </w:pPr>
            <w:r>
              <w:rPr/>
              <w:t> </w:t>
            </w:r>
          </w:p>
        </w:tc>
        <w:tc>
          <w:tcPr>
            <w:tcW w:w="60" w:type="dxa"/>
            <w:tcBorders/>
            <w:shd w:fill="FFFFFF" w:val="clear"/>
            <w:vAlign w:val="bottom"/>
          </w:tcPr>
          <w:p>
            <w:pPr>
              <w:pStyle w:val="TableContents"/>
              <w:bidi w:val="0"/>
              <w:spacing w:before="0" w:after="283"/>
              <w:jc w:val="left"/>
              <w:rPr/>
            </w:pPr>
            <w:r>
              <w:rPr/>
              <w:t> </w:t>
            </w:r>
          </w:p>
        </w:tc>
      </w:tr>
      <w:tr>
        <w:trPr/>
        <w:tc>
          <w:tcPr>
            <w:tcW w:w="731" w:type="dxa"/>
            <w:tcBorders/>
            <w:shd w:fill="CCEEFF" w:val="clear"/>
            <w:vAlign w:val="bottom"/>
          </w:tcPr>
          <w:p>
            <w:pPr>
              <w:pStyle w:val="TableContents"/>
              <w:bidi w:val="0"/>
              <w:spacing w:before="0" w:after="0"/>
              <w:ind w:left="360" w:right="0" w:hanging="180"/>
              <w:jc w:val="left"/>
              <w:rPr>
                <w:color w:val="000000"/>
                <w:sz w:val="20"/>
              </w:rPr>
            </w:pPr>
            <w:r>
              <w:rPr>
                <w:color w:val="000000"/>
                <w:sz w:val="20"/>
              </w:rPr>
              <w:t>Number of securities issued or to be issued upon exercise</w:t>
            </w:r>
          </w:p>
        </w:tc>
        <w:tc>
          <w:tcPr>
            <w:tcW w:w="24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sz w:val="20"/>
              </w:rPr>
            </w:pPr>
            <w:r>
              <w:rPr>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82" w:type="dxa"/>
            <w:tcBorders/>
            <w:shd w:fill="CCEEFF" w:val="clear"/>
            <w:vAlign w:val="bottom"/>
          </w:tcPr>
          <w:p>
            <w:pPr>
              <w:pStyle w:val="TableContents"/>
              <w:bidi w:val="0"/>
              <w:spacing w:before="0" w:after="283"/>
              <w:jc w:val="left"/>
              <w:rPr/>
            </w:pPr>
            <w:r>
              <w:rPr/>
              <w:t> </w:t>
            </w:r>
          </w:p>
        </w:tc>
        <w:tc>
          <w:tcPr>
            <w:tcW w:w="808" w:type="dxa"/>
            <w:tcBorders/>
            <w:shd w:fill="CCEEFF" w:val="clear"/>
            <w:vAlign w:val="bottom"/>
          </w:tcPr>
          <w:p>
            <w:pPr>
              <w:pStyle w:val="TableContents"/>
              <w:bidi w:val="0"/>
              <w:spacing w:before="0" w:after="283"/>
              <w:jc w:val="right"/>
              <w:rPr>
                <w:sz w:val="20"/>
              </w:rPr>
            </w:pPr>
            <w:r>
              <w:rPr>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83" w:type="dxa"/>
            <w:tcBorders/>
            <w:shd w:fill="CCEEFF" w:val="clear"/>
            <w:vAlign w:val="bottom"/>
          </w:tcPr>
          <w:p>
            <w:pPr>
              <w:pStyle w:val="TableContents"/>
              <w:bidi w:val="0"/>
              <w:spacing w:before="0" w:after="283"/>
              <w:jc w:val="left"/>
              <w:rPr/>
            </w:pPr>
            <w:r>
              <w:rPr/>
              <w:t> </w:t>
            </w:r>
          </w:p>
        </w:tc>
        <w:tc>
          <w:tcPr>
            <w:tcW w:w="822" w:type="dxa"/>
            <w:tcBorders/>
            <w:shd w:fill="CCEEFF" w:val="clear"/>
            <w:vAlign w:val="bottom"/>
          </w:tcPr>
          <w:p>
            <w:pPr>
              <w:pStyle w:val="TableContents"/>
              <w:bidi w:val="0"/>
              <w:spacing w:before="0" w:after="283"/>
              <w:jc w:val="right"/>
              <w:rPr>
                <w:sz w:val="20"/>
              </w:rPr>
            </w:pPr>
            <w:r>
              <w:rPr>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sz w:val="20"/>
              </w:rPr>
            </w:pPr>
            <w:r>
              <w:rPr>
                <w:sz w:val="20"/>
              </w:rPr>
              <w:t>(60,041</w:t>
            </w:r>
          </w:p>
        </w:tc>
        <w:tc>
          <w:tcPr>
            <w:tcW w:w="80" w:type="dxa"/>
            <w:tcBorders/>
            <w:shd w:fill="CCEEFF" w:val="clear"/>
            <w:vAlign w:val="bottom"/>
          </w:tcPr>
          <w:p>
            <w:pPr>
              <w:pStyle w:val="TableContents"/>
              <w:bidi w:val="0"/>
              <w:spacing w:before="0" w:after="283"/>
              <w:jc w:val="left"/>
              <w:rPr>
                <w:sz w:val="20"/>
              </w:rPr>
            </w:pPr>
            <w:r>
              <w:rPr>
                <w:sz w:val="20"/>
              </w:rPr>
              <w:t>)</w:t>
            </w:r>
          </w:p>
        </w:tc>
        <w:tc>
          <w:tcPr>
            <w:tcW w:w="2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right"/>
              <w:rPr/>
            </w:pPr>
            <w:r>
              <w:rPr/>
              <w:t> </w:t>
            </w:r>
          </w:p>
        </w:tc>
        <w:tc>
          <w:tcPr>
            <w:tcW w:w="88" w:type="dxa"/>
            <w:tcBorders/>
            <w:shd w:fill="CCEEFF" w:val="clear"/>
            <w:vAlign w:val="bottom"/>
          </w:tcPr>
          <w:p>
            <w:pPr>
              <w:pStyle w:val="TableContents"/>
              <w:bidi w:val="0"/>
              <w:spacing w:before="0" w:after="283"/>
              <w:jc w:val="left"/>
              <w:rPr/>
            </w:pPr>
            <w:r>
              <w:rPr/>
              <w:t> </w:t>
            </w:r>
          </w:p>
        </w:tc>
        <w:tc>
          <w:tcPr>
            <w:tcW w:w="712" w:type="dxa"/>
            <w:tcBorders/>
            <w:shd w:fill="CCEEFF" w:val="clear"/>
            <w:vAlign w:val="bottom"/>
          </w:tcPr>
          <w:p>
            <w:pPr>
              <w:pStyle w:val="TableContents"/>
              <w:bidi w:val="0"/>
              <w:spacing w:before="0" w:after="283"/>
              <w:jc w:val="right"/>
              <w:rPr>
                <w:sz w:val="20"/>
              </w:rPr>
            </w:pPr>
            <w:r>
              <w:rPr>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73" w:type="dxa"/>
            <w:tcBorders/>
            <w:shd w:fill="CCEEFF" w:val="clear"/>
            <w:vAlign w:val="bottom"/>
          </w:tcPr>
          <w:p>
            <w:pPr>
              <w:pStyle w:val="TableContents"/>
              <w:bidi w:val="0"/>
              <w:spacing w:before="0" w:after="283"/>
              <w:jc w:val="left"/>
              <w:rPr/>
            </w:pPr>
            <w:r>
              <w:rPr/>
              <w:t> </w:t>
            </w:r>
          </w:p>
        </w:tc>
        <w:tc>
          <w:tcPr>
            <w:tcW w:w="727" w:type="dxa"/>
            <w:tcBorders/>
            <w:shd w:fill="CCEEFF" w:val="clear"/>
            <w:vAlign w:val="bottom"/>
          </w:tcPr>
          <w:p>
            <w:pPr>
              <w:pStyle w:val="TableContents"/>
              <w:bidi w:val="0"/>
              <w:spacing w:before="0" w:after="283"/>
              <w:jc w:val="right"/>
              <w:rPr>
                <w:sz w:val="20"/>
              </w:rPr>
            </w:pPr>
            <w:r>
              <w:rPr>
                <w:sz w:val="20"/>
              </w:rPr>
              <w:t>20,253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sz w:val="20"/>
              </w:rPr>
            </w:pPr>
            <w:r>
              <w:rPr>
                <w:sz w:val="20"/>
              </w:rPr>
              <w:t>-</w:t>
            </w:r>
          </w:p>
        </w:tc>
        <w:tc>
          <w:tcPr>
            <w:tcW w:w="8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center"/>
              <w:rPr/>
            </w:pPr>
            <w:r>
              <w:rPr/>
              <w:t> </w:t>
            </w:r>
          </w:p>
        </w:tc>
        <w:tc>
          <w:tcPr>
            <w:tcW w:w="60" w:type="dxa"/>
            <w:tcBorders/>
            <w:shd w:fill="CCEEFF" w:val="clear"/>
            <w:vAlign w:val="bottom"/>
          </w:tcPr>
          <w:p>
            <w:pPr>
              <w:pStyle w:val="TableContents"/>
              <w:bidi w:val="0"/>
              <w:spacing w:before="0" w:after="283"/>
              <w:jc w:val="right"/>
              <w:rPr/>
            </w:pPr>
            <w:r>
              <w:rPr/>
              <w:t> </w:t>
            </w:r>
          </w:p>
        </w:tc>
        <w:tc>
          <w:tcPr>
            <w:tcW w:w="342" w:type="dxa"/>
            <w:tcBorders/>
            <w:shd w:fill="CCEEFF" w:val="clear"/>
            <w:vAlign w:val="bottom"/>
          </w:tcPr>
          <w:p>
            <w:pPr>
              <w:pStyle w:val="TableContents"/>
              <w:bidi w:val="0"/>
              <w:spacing w:before="0" w:after="283"/>
              <w:jc w:val="left"/>
              <w:rPr/>
            </w:pPr>
            <w:r>
              <w:rPr/>
              <w:t> </w:t>
            </w:r>
          </w:p>
        </w:tc>
        <w:tc>
          <w:tcPr>
            <w:tcW w:w="458" w:type="dxa"/>
            <w:tcBorders/>
            <w:shd w:fill="CCEEFF" w:val="clear"/>
            <w:vAlign w:val="bottom"/>
          </w:tcPr>
          <w:p>
            <w:pPr>
              <w:pStyle w:val="TableContents"/>
              <w:bidi w:val="0"/>
              <w:spacing w:before="0" w:after="283"/>
              <w:jc w:val="right"/>
              <w:rPr>
                <w:sz w:val="20"/>
              </w:rPr>
            </w:pPr>
            <w:r>
              <w:rPr>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sz w:val="20"/>
              </w:rPr>
            </w:pPr>
            <w:r>
              <w:rPr>
                <w:sz w:val="20"/>
              </w:rPr>
              <w:t>60,041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42" w:type="dxa"/>
            <w:tcBorders/>
            <w:shd w:fill="CCEEFF" w:val="clear"/>
            <w:vAlign w:val="bottom"/>
          </w:tcPr>
          <w:p>
            <w:pPr>
              <w:pStyle w:val="TableContents"/>
              <w:bidi w:val="0"/>
              <w:spacing w:before="0" w:after="283"/>
              <w:jc w:val="left"/>
              <w:rPr/>
            </w:pPr>
            <w:r>
              <w:rPr/>
              <w:t> </w:t>
            </w:r>
          </w:p>
        </w:tc>
        <w:tc>
          <w:tcPr>
            <w:tcW w:w="458" w:type="dxa"/>
            <w:tcBorders/>
            <w:shd w:fill="CCEEFF" w:val="clear"/>
            <w:vAlign w:val="bottom"/>
          </w:tcPr>
          <w:p>
            <w:pPr>
              <w:pStyle w:val="TableContents"/>
              <w:bidi w:val="0"/>
              <w:spacing w:before="0" w:after="283"/>
              <w:jc w:val="right"/>
              <w:rPr>
                <w:sz w:val="20"/>
              </w:rPr>
            </w:pPr>
            <w:r>
              <w:rPr>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81" w:type="dxa"/>
            <w:tcBorders/>
            <w:shd w:fill="CCEEFF" w:val="clear"/>
            <w:vAlign w:val="bottom"/>
          </w:tcPr>
          <w:p>
            <w:pPr>
              <w:pStyle w:val="TableContents"/>
              <w:bidi w:val="0"/>
              <w:spacing w:before="0" w:after="283"/>
              <w:jc w:val="left"/>
              <w:rPr/>
            </w:pPr>
            <w:r>
              <w:rPr/>
              <w:t> </w:t>
            </w:r>
          </w:p>
        </w:tc>
        <w:tc>
          <w:tcPr>
            <w:tcW w:w="1154" w:type="dxa"/>
            <w:tcBorders/>
            <w:shd w:fill="CCEEFF" w:val="clear"/>
            <w:vAlign w:val="bottom"/>
          </w:tcPr>
          <w:p>
            <w:pPr>
              <w:pStyle w:val="TableContents"/>
              <w:bidi w:val="0"/>
              <w:spacing w:before="0" w:after="283"/>
              <w:jc w:val="right"/>
              <w:rPr>
                <w:sz w:val="20"/>
              </w:rPr>
            </w:pPr>
            <w:r>
              <w:rPr>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5" w:type="dxa"/>
            <w:tcBorders/>
            <w:shd w:fill="CCEEFF" w:val="clear"/>
            <w:vAlign w:val="bottom"/>
          </w:tcPr>
          <w:p>
            <w:pPr>
              <w:pStyle w:val="TableContents"/>
              <w:bidi w:val="0"/>
              <w:spacing w:before="0" w:after="283"/>
              <w:jc w:val="left"/>
              <w:rPr/>
            </w:pPr>
            <w:r>
              <w:rPr/>
              <w:t> </w:t>
            </w:r>
          </w:p>
        </w:tc>
        <w:tc>
          <w:tcPr>
            <w:tcW w:w="62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731" w:type="dxa"/>
            <w:tcBorders/>
            <w:shd w:fill="FFFFFF" w:val="clear"/>
            <w:vAlign w:val="bottom"/>
          </w:tcPr>
          <w:p>
            <w:pPr>
              <w:pStyle w:val="TableContents"/>
              <w:bidi w:val="0"/>
              <w:spacing w:before="0" w:after="0"/>
              <w:ind w:left="360" w:right="0" w:hanging="180"/>
              <w:jc w:val="left"/>
              <w:rPr>
                <w:color w:val="000000"/>
                <w:sz w:val="20"/>
              </w:rPr>
            </w:pPr>
            <w:r>
              <w:rPr>
                <w:color w:val="000000"/>
                <w:sz w:val="20"/>
              </w:rPr>
              <w:t>Number of securities issued or to be issued upon exercise</w:t>
            </w:r>
          </w:p>
        </w:tc>
        <w:tc>
          <w:tcPr>
            <w:tcW w:w="240" w:type="dxa"/>
            <w:tcBorders/>
            <w:shd w:fill="FFFFFF" w:val="clear"/>
            <w:vAlign w:val="bottom"/>
          </w:tcPr>
          <w:p>
            <w:pPr>
              <w:pStyle w:val="TableContents"/>
              <w:bidi w:val="0"/>
              <w:spacing w:before="0" w:after="283"/>
              <w:jc w:val="right"/>
              <w:rPr/>
            </w:pPr>
            <w:r>
              <w:rPr/>
              <w:t> </w:t>
            </w:r>
          </w:p>
        </w:tc>
        <w:tc>
          <w:tcPr>
            <w:tcW w:w="60" w:type="dxa"/>
            <w:tcBorders/>
            <w:shd w:fill="FFFFFF" w:val="clear"/>
            <w:vAlign w:val="bottom"/>
          </w:tcPr>
          <w:p>
            <w:pPr>
              <w:pStyle w:val="TableContents"/>
              <w:bidi w:val="0"/>
              <w:spacing w:before="0" w:after="283"/>
              <w:jc w:val="left"/>
              <w:rPr/>
            </w:pPr>
            <w:r>
              <w:rPr/>
              <w:t> </w:t>
            </w:r>
          </w:p>
        </w:tc>
        <w:tc>
          <w:tcPr>
            <w:tcW w:w="755" w:type="dxa"/>
            <w:tcBorders/>
            <w:shd w:fill="FFFFFF" w:val="clear"/>
            <w:vAlign w:val="bottom"/>
          </w:tcPr>
          <w:p>
            <w:pPr>
              <w:pStyle w:val="TableContents"/>
              <w:bidi w:val="0"/>
              <w:spacing w:before="0" w:after="0"/>
              <w:jc w:val="right"/>
              <w:rPr>
                <w:color w:val="000000"/>
                <w:sz w:val="20"/>
              </w:rPr>
            </w:pPr>
            <w:r>
              <w:rPr>
                <w:color w:val="000000"/>
                <w:sz w:val="20"/>
              </w:rPr>
              <w:t>-</w:t>
            </w:r>
          </w:p>
        </w:tc>
        <w:tc>
          <w:tcPr>
            <w:tcW w:w="8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right"/>
              <w:rPr/>
            </w:pPr>
            <w:r>
              <w:rPr/>
              <w:t> </w:t>
            </w:r>
          </w:p>
        </w:tc>
        <w:tc>
          <w:tcPr>
            <w:tcW w:w="82" w:type="dxa"/>
            <w:tcBorders/>
            <w:shd w:fill="FFFFFF" w:val="clear"/>
            <w:vAlign w:val="bottom"/>
          </w:tcPr>
          <w:p>
            <w:pPr>
              <w:pStyle w:val="TableContents"/>
              <w:bidi w:val="0"/>
              <w:spacing w:before="0" w:after="283"/>
              <w:jc w:val="left"/>
              <w:rPr/>
            </w:pPr>
            <w:r>
              <w:rPr/>
              <w:t> </w:t>
            </w:r>
          </w:p>
        </w:tc>
        <w:tc>
          <w:tcPr>
            <w:tcW w:w="808" w:type="dxa"/>
            <w:tcBorders/>
            <w:shd w:fill="FFFFFF" w:val="clear"/>
            <w:vAlign w:val="bottom"/>
          </w:tcPr>
          <w:p>
            <w:pPr>
              <w:pStyle w:val="TableContents"/>
              <w:bidi w:val="0"/>
              <w:spacing w:before="0" w:after="0"/>
              <w:jc w:val="right"/>
              <w:rPr>
                <w:color w:val="000000"/>
                <w:sz w:val="20"/>
              </w:rPr>
            </w:pPr>
            <w:r>
              <w:rPr>
                <w:color w:val="000000"/>
                <w:sz w:val="20"/>
              </w:rPr>
              <w:t>-</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right"/>
              <w:rPr/>
            </w:pPr>
            <w:r>
              <w:rPr/>
              <w:t> </w:t>
            </w:r>
          </w:p>
        </w:tc>
        <w:tc>
          <w:tcPr>
            <w:tcW w:w="83" w:type="dxa"/>
            <w:tcBorders/>
            <w:shd w:fill="FFFFFF" w:val="clear"/>
            <w:vAlign w:val="bottom"/>
          </w:tcPr>
          <w:p>
            <w:pPr>
              <w:pStyle w:val="TableContents"/>
              <w:bidi w:val="0"/>
              <w:spacing w:before="0" w:after="283"/>
              <w:jc w:val="left"/>
              <w:rPr/>
            </w:pPr>
            <w:r>
              <w:rPr/>
              <w:t> </w:t>
            </w:r>
          </w:p>
        </w:tc>
        <w:tc>
          <w:tcPr>
            <w:tcW w:w="822" w:type="dxa"/>
            <w:tcBorders/>
            <w:shd w:fill="FFFFFF" w:val="clear"/>
            <w:vAlign w:val="bottom"/>
          </w:tcPr>
          <w:p>
            <w:pPr>
              <w:pStyle w:val="TableContents"/>
              <w:bidi w:val="0"/>
              <w:spacing w:before="0" w:after="0"/>
              <w:jc w:val="right"/>
              <w:rPr>
                <w:color w:val="000000"/>
                <w:sz w:val="20"/>
              </w:rPr>
            </w:pPr>
            <w:r>
              <w:rPr>
                <w:color w:val="000000"/>
                <w:sz w:val="20"/>
              </w:rPr>
              <w:t>-</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right"/>
              <w:rPr/>
            </w:pPr>
            <w:r>
              <w:rPr/>
              <w:t> </w:t>
            </w:r>
          </w:p>
        </w:tc>
        <w:tc>
          <w:tcPr>
            <w:tcW w:w="60" w:type="dxa"/>
            <w:tcBorders/>
            <w:shd w:fill="FFFFFF" w:val="clear"/>
            <w:vAlign w:val="bottom"/>
          </w:tcPr>
          <w:p>
            <w:pPr>
              <w:pStyle w:val="TableContents"/>
              <w:bidi w:val="0"/>
              <w:spacing w:before="0" w:after="283"/>
              <w:jc w:val="left"/>
              <w:rPr/>
            </w:pPr>
            <w:r>
              <w:rPr/>
              <w:t> </w:t>
            </w:r>
          </w:p>
        </w:tc>
        <w:tc>
          <w:tcPr>
            <w:tcW w:w="755" w:type="dxa"/>
            <w:tcBorders/>
            <w:shd w:fill="FFFFFF" w:val="clear"/>
            <w:vAlign w:val="bottom"/>
          </w:tcPr>
          <w:p>
            <w:pPr>
              <w:pStyle w:val="TableContents"/>
              <w:bidi w:val="0"/>
              <w:spacing w:before="0" w:after="0"/>
              <w:jc w:val="right"/>
              <w:rPr>
                <w:color w:val="000000"/>
                <w:sz w:val="20"/>
              </w:rPr>
            </w:pPr>
            <w:r>
              <w:rPr>
                <w:color w:val="000000"/>
                <w:sz w:val="20"/>
              </w:rPr>
              <w:t>-</w:t>
            </w:r>
          </w:p>
        </w:tc>
        <w:tc>
          <w:tcPr>
            <w:tcW w:w="80" w:type="dxa"/>
            <w:tcBorders/>
            <w:shd w:fill="FFFFFF" w:val="clear"/>
            <w:vAlign w:val="bottom"/>
          </w:tcPr>
          <w:p>
            <w:pPr>
              <w:pStyle w:val="TableContents"/>
              <w:bidi w:val="0"/>
              <w:spacing w:before="0" w:after="283"/>
              <w:jc w:val="left"/>
              <w:rPr/>
            </w:pPr>
            <w:r>
              <w:rPr/>
              <w:t> </w:t>
            </w:r>
          </w:p>
        </w:tc>
        <w:tc>
          <w:tcPr>
            <w:tcW w:w="200" w:type="dxa"/>
            <w:tcBorders/>
            <w:shd w:fill="FFFFFF" w:val="clear"/>
            <w:vAlign w:val="bottom"/>
          </w:tcPr>
          <w:p>
            <w:pPr>
              <w:pStyle w:val="TableContents"/>
              <w:bidi w:val="0"/>
              <w:spacing w:before="0" w:after="283"/>
              <w:jc w:val="right"/>
              <w:rPr/>
            </w:pPr>
            <w:r>
              <w:rPr/>
              <w:t> </w:t>
            </w:r>
          </w:p>
        </w:tc>
        <w:tc>
          <w:tcPr>
            <w:tcW w:w="60" w:type="dxa"/>
            <w:tcBorders/>
            <w:shd w:fill="FFFFFF" w:val="clear"/>
            <w:vAlign w:val="bottom"/>
          </w:tcPr>
          <w:p>
            <w:pPr>
              <w:pStyle w:val="TableContents"/>
              <w:bidi w:val="0"/>
              <w:spacing w:before="0" w:after="283"/>
              <w:jc w:val="right"/>
              <w:rPr/>
            </w:pPr>
            <w:r>
              <w:rPr/>
              <w:t> </w:t>
            </w:r>
          </w:p>
        </w:tc>
        <w:tc>
          <w:tcPr>
            <w:tcW w:w="88" w:type="dxa"/>
            <w:tcBorders/>
            <w:shd w:fill="FFFFFF" w:val="clear"/>
            <w:vAlign w:val="bottom"/>
          </w:tcPr>
          <w:p>
            <w:pPr>
              <w:pStyle w:val="TableContents"/>
              <w:bidi w:val="0"/>
              <w:spacing w:before="0" w:after="283"/>
              <w:jc w:val="left"/>
              <w:rPr/>
            </w:pPr>
            <w:r>
              <w:rPr/>
              <w:t> </w:t>
            </w:r>
          </w:p>
        </w:tc>
        <w:tc>
          <w:tcPr>
            <w:tcW w:w="712" w:type="dxa"/>
            <w:tcBorders/>
            <w:shd w:fill="FFFFFF" w:val="clear"/>
            <w:vAlign w:val="bottom"/>
          </w:tcPr>
          <w:p>
            <w:pPr>
              <w:pStyle w:val="TableContents"/>
              <w:bidi w:val="0"/>
              <w:spacing w:before="0" w:after="0"/>
              <w:jc w:val="right"/>
              <w:rPr>
                <w:color w:val="000000"/>
                <w:sz w:val="20"/>
              </w:rPr>
            </w:pPr>
            <w:r>
              <w:rPr>
                <w:color w:val="000000"/>
                <w:sz w:val="20"/>
              </w:rPr>
              <w:t>-</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right"/>
              <w:rPr/>
            </w:pPr>
            <w:r>
              <w:rPr/>
              <w:t> </w:t>
            </w:r>
          </w:p>
        </w:tc>
        <w:tc>
          <w:tcPr>
            <w:tcW w:w="73" w:type="dxa"/>
            <w:tcBorders/>
            <w:shd w:fill="FFFFFF" w:val="clear"/>
            <w:vAlign w:val="bottom"/>
          </w:tcPr>
          <w:p>
            <w:pPr>
              <w:pStyle w:val="TableContents"/>
              <w:bidi w:val="0"/>
              <w:spacing w:before="0" w:after="283"/>
              <w:jc w:val="left"/>
              <w:rPr/>
            </w:pPr>
            <w:r>
              <w:rPr/>
              <w:t> </w:t>
            </w:r>
          </w:p>
        </w:tc>
        <w:tc>
          <w:tcPr>
            <w:tcW w:w="727" w:type="dxa"/>
            <w:tcBorders/>
            <w:shd w:fill="FFFFFF" w:val="clear"/>
            <w:vAlign w:val="bottom"/>
          </w:tcPr>
          <w:p>
            <w:pPr>
              <w:pStyle w:val="TableContents"/>
              <w:bidi w:val="0"/>
              <w:spacing w:before="0" w:after="283"/>
              <w:jc w:val="right"/>
              <w:rPr>
                <w:sz w:val="20"/>
              </w:rPr>
            </w:pPr>
            <w:r>
              <w:rPr>
                <w:sz w:val="20"/>
              </w:rPr>
              <w:t>-</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right"/>
              <w:rPr/>
            </w:pPr>
            <w:r>
              <w:rPr/>
              <w:t> </w:t>
            </w:r>
          </w:p>
        </w:tc>
        <w:tc>
          <w:tcPr>
            <w:tcW w:w="60" w:type="dxa"/>
            <w:tcBorders/>
            <w:shd w:fill="FFFFFF" w:val="clear"/>
            <w:vAlign w:val="bottom"/>
          </w:tcPr>
          <w:p>
            <w:pPr>
              <w:pStyle w:val="TableContents"/>
              <w:bidi w:val="0"/>
              <w:spacing w:before="0" w:after="283"/>
              <w:jc w:val="left"/>
              <w:rPr/>
            </w:pPr>
            <w:r>
              <w:rPr/>
              <w:t> </w:t>
            </w:r>
          </w:p>
        </w:tc>
        <w:tc>
          <w:tcPr>
            <w:tcW w:w="755" w:type="dxa"/>
            <w:tcBorders/>
            <w:shd w:fill="FFFFFF" w:val="clear"/>
            <w:vAlign w:val="bottom"/>
          </w:tcPr>
          <w:p>
            <w:pPr>
              <w:pStyle w:val="TableContents"/>
              <w:bidi w:val="0"/>
              <w:spacing w:before="0" w:after="283"/>
              <w:jc w:val="right"/>
              <w:rPr>
                <w:sz w:val="20"/>
              </w:rPr>
            </w:pPr>
            <w:r>
              <w:rPr>
                <w:sz w:val="20"/>
              </w:rPr>
              <w:t>(350,380</w:t>
            </w:r>
          </w:p>
        </w:tc>
        <w:tc>
          <w:tcPr>
            <w:tcW w:w="80" w:type="dxa"/>
            <w:tcBorders/>
            <w:shd w:fill="FFFFFF" w:val="clear"/>
            <w:vAlign w:val="bottom"/>
          </w:tcPr>
          <w:p>
            <w:pPr>
              <w:pStyle w:val="TableContents"/>
              <w:bidi w:val="0"/>
              <w:spacing w:before="0" w:after="283"/>
              <w:jc w:val="left"/>
              <w:rPr>
                <w:sz w:val="20"/>
              </w:rPr>
            </w:pPr>
            <w:r>
              <w:rPr>
                <w:sz w:val="20"/>
              </w:rPr>
              <w:t>)</w:t>
            </w:r>
          </w:p>
        </w:tc>
        <w:tc>
          <w:tcPr>
            <w:tcW w:w="185" w:type="dxa"/>
            <w:tcBorders/>
            <w:shd w:fill="FFFFFF" w:val="clear"/>
            <w:vAlign w:val="bottom"/>
          </w:tcPr>
          <w:p>
            <w:pPr>
              <w:pStyle w:val="TableContents"/>
              <w:bidi w:val="0"/>
              <w:spacing w:before="0" w:after="283"/>
              <w:jc w:val="center"/>
              <w:rPr>
                <w:sz w:val="20"/>
              </w:rPr>
            </w:pPr>
            <w:r>
              <w:rPr>
                <w:position w:val="7"/>
                <w:sz w:val="16"/>
                <w:sz w:val="20"/>
              </w:rPr>
              <w:t>(E)</w:t>
            </w:r>
            <w:r>
              <w:rPr>
                <w:sz w:val="20"/>
              </w:rPr>
              <w:t xml:space="preserve"> </w:t>
            </w:r>
          </w:p>
        </w:tc>
        <w:tc>
          <w:tcPr>
            <w:tcW w:w="60" w:type="dxa"/>
            <w:tcBorders/>
            <w:shd w:fill="FFFFFF" w:val="clear"/>
            <w:vAlign w:val="bottom"/>
          </w:tcPr>
          <w:p>
            <w:pPr>
              <w:pStyle w:val="TableContents"/>
              <w:bidi w:val="0"/>
              <w:spacing w:before="0" w:after="283"/>
              <w:jc w:val="right"/>
              <w:rPr/>
            </w:pPr>
            <w:r>
              <w:rPr/>
              <w:t> </w:t>
            </w:r>
          </w:p>
        </w:tc>
        <w:tc>
          <w:tcPr>
            <w:tcW w:w="342" w:type="dxa"/>
            <w:tcBorders/>
            <w:shd w:fill="FFFFFF" w:val="clear"/>
            <w:vAlign w:val="bottom"/>
          </w:tcPr>
          <w:p>
            <w:pPr>
              <w:pStyle w:val="TableContents"/>
              <w:bidi w:val="0"/>
              <w:spacing w:before="0" w:after="283"/>
              <w:jc w:val="left"/>
              <w:rPr/>
            </w:pPr>
            <w:r>
              <w:rPr/>
              <w:t> </w:t>
            </w:r>
          </w:p>
        </w:tc>
        <w:tc>
          <w:tcPr>
            <w:tcW w:w="458" w:type="dxa"/>
            <w:tcBorders/>
            <w:shd w:fill="FFFFFF" w:val="clear"/>
            <w:vAlign w:val="bottom"/>
          </w:tcPr>
          <w:p>
            <w:pPr>
              <w:pStyle w:val="TableContents"/>
              <w:bidi w:val="0"/>
              <w:spacing w:before="0" w:after="283"/>
              <w:jc w:val="right"/>
              <w:rPr>
                <w:sz w:val="20"/>
              </w:rPr>
            </w:pPr>
            <w:r>
              <w:rPr>
                <w:sz w:val="20"/>
              </w:rPr>
              <w:t>-</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right"/>
              <w:rPr/>
            </w:pPr>
            <w:r>
              <w:rPr/>
              <w:t> </w:t>
            </w:r>
          </w:p>
        </w:tc>
        <w:tc>
          <w:tcPr>
            <w:tcW w:w="60" w:type="dxa"/>
            <w:tcBorders/>
            <w:shd w:fill="FFFFFF" w:val="clear"/>
            <w:vAlign w:val="bottom"/>
          </w:tcPr>
          <w:p>
            <w:pPr>
              <w:pStyle w:val="TableContents"/>
              <w:bidi w:val="0"/>
              <w:spacing w:before="0" w:after="283"/>
              <w:jc w:val="left"/>
              <w:rPr/>
            </w:pPr>
            <w:r>
              <w:rPr/>
              <w:t> </w:t>
            </w:r>
          </w:p>
        </w:tc>
        <w:tc>
          <w:tcPr>
            <w:tcW w:w="695" w:type="dxa"/>
            <w:tcBorders/>
            <w:shd w:fill="FFFFFF" w:val="clear"/>
            <w:vAlign w:val="bottom"/>
          </w:tcPr>
          <w:p>
            <w:pPr>
              <w:pStyle w:val="TableContents"/>
              <w:bidi w:val="0"/>
              <w:spacing w:before="0" w:after="283"/>
              <w:jc w:val="right"/>
              <w:rPr>
                <w:sz w:val="20"/>
              </w:rPr>
            </w:pPr>
            <w:r>
              <w:rPr>
                <w:sz w:val="20"/>
              </w:rPr>
              <w:t>-</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right"/>
              <w:rPr/>
            </w:pPr>
            <w:r>
              <w:rPr/>
              <w:t> </w:t>
            </w:r>
          </w:p>
        </w:tc>
        <w:tc>
          <w:tcPr>
            <w:tcW w:w="342" w:type="dxa"/>
            <w:tcBorders/>
            <w:shd w:fill="FFFFFF" w:val="clear"/>
            <w:vAlign w:val="bottom"/>
          </w:tcPr>
          <w:p>
            <w:pPr>
              <w:pStyle w:val="TableContents"/>
              <w:bidi w:val="0"/>
              <w:spacing w:before="0" w:after="283"/>
              <w:jc w:val="left"/>
              <w:rPr/>
            </w:pPr>
            <w:r>
              <w:rPr/>
              <w:t> </w:t>
            </w:r>
          </w:p>
        </w:tc>
        <w:tc>
          <w:tcPr>
            <w:tcW w:w="458" w:type="dxa"/>
            <w:tcBorders/>
            <w:shd w:fill="FFFFFF" w:val="clear"/>
            <w:vAlign w:val="bottom"/>
          </w:tcPr>
          <w:p>
            <w:pPr>
              <w:pStyle w:val="TableContents"/>
              <w:bidi w:val="0"/>
              <w:spacing w:before="0" w:after="283"/>
              <w:jc w:val="right"/>
              <w:rPr>
                <w:sz w:val="20"/>
              </w:rPr>
            </w:pPr>
            <w:r>
              <w:rPr>
                <w:sz w:val="20"/>
              </w:rPr>
              <w:t>-</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right"/>
              <w:rPr/>
            </w:pPr>
            <w:r>
              <w:rPr/>
              <w:t> </w:t>
            </w:r>
          </w:p>
        </w:tc>
        <w:tc>
          <w:tcPr>
            <w:tcW w:w="81" w:type="dxa"/>
            <w:tcBorders/>
            <w:shd w:fill="FFFFFF" w:val="clear"/>
            <w:vAlign w:val="bottom"/>
          </w:tcPr>
          <w:p>
            <w:pPr>
              <w:pStyle w:val="TableContents"/>
              <w:bidi w:val="0"/>
              <w:spacing w:before="0" w:after="283"/>
              <w:jc w:val="left"/>
              <w:rPr/>
            </w:pPr>
            <w:r>
              <w:rPr/>
              <w:t> </w:t>
            </w:r>
          </w:p>
        </w:tc>
        <w:tc>
          <w:tcPr>
            <w:tcW w:w="1154" w:type="dxa"/>
            <w:tcBorders/>
            <w:shd w:fill="FFFFFF" w:val="clear"/>
            <w:vAlign w:val="bottom"/>
          </w:tcPr>
          <w:p>
            <w:pPr>
              <w:pStyle w:val="TableContents"/>
              <w:bidi w:val="0"/>
              <w:spacing w:before="0" w:after="0"/>
              <w:jc w:val="right"/>
              <w:rPr>
                <w:color w:val="000000"/>
                <w:sz w:val="20"/>
              </w:rPr>
            </w:pPr>
            <w:r>
              <w:rPr>
                <w:color w:val="000000"/>
                <w:sz w:val="20"/>
              </w:rPr>
              <w:t>(350,380</w:t>
            </w:r>
          </w:p>
        </w:tc>
        <w:tc>
          <w:tcPr>
            <w:tcW w:w="80" w:type="dxa"/>
            <w:tcBorders/>
            <w:shd w:fill="FFFFFF" w:val="clear"/>
            <w:vAlign w:val="bottom"/>
          </w:tcPr>
          <w:p>
            <w:pPr>
              <w:pStyle w:val="TableContents"/>
              <w:bidi w:val="0"/>
              <w:spacing w:before="0" w:after="0"/>
              <w:jc w:val="left"/>
              <w:rPr>
                <w:color w:val="000000"/>
                <w:sz w:val="20"/>
              </w:rPr>
            </w:pPr>
            <w:r>
              <w:rPr>
                <w:color w:val="000000"/>
                <w:sz w:val="20"/>
              </w:rPr>
              <w:t>)</w:t>
            </w:r>
          </w:p>
        </w:tc>
        <w:tc>
          <w:tcPr>
            <w:tcW w:w="60" w:type="dxa"/>
            <w:tcBorders/>
            <w:shd w:fill="FFFFFF" w:val="clear"/>
            <w:vAlign w:val="bottom"/>
          </w:tcPr>
          <w:p>
            <w:pPr>
              <w:pStyle w:val="TableContents"/>
              <w:bidi w:val="0"/>
              <w:spacing w:before="0" w:after="283"/>
              <w:jc w:val="right"/>
              <w:rPr/>
            </w:pPr>
            <w:r>
              <w:rPr/>
              <w:t> </w:t>
            </w:r>
          </w:p>
        </w:tc>
        <w:tc>
          <w:tcPr>
            <w:tcW w:w="205" w:type="dxa"/>
            <w:tcBorders/>
            <w:shd w:fill="FFFFFF" w:val="clear"/>
            <w:vAlign w:val="bottom"/>
          </w:tcPr>
          <w:p>
            <w:pPr>
              <w:pStyle w:val="TableContents"/>
              <w:bidi w:val="0"/>
              <w:spacing w:before="0" w:after="0"/>
              <w:jc w:val="left"/>
              <w:rPr>
                <w:color w:val="000000"/>
                <w:sz w:val="20"/>
              </w:rPr>
            </w:pPr>
            <w:r>
              <w:rPr>
                <w:color w:val="000000"/>
                <w:sz w:val="20"/>
              </w:rPr>
              <w:t>$</w:t>
            </w:r>
          </w:p>
        </w:tc>
        <w:tc>
          <w:tcPr>
            <w:tcW w:w="625" w:type="dxa"/>
            <w:tcBorders/>
            <w:shd w:fill="FFFFFF" w:val="clear"/>
            <w:vAlign w:val="bottom"/>
          </w:tcPr>
          <w:p>
            <w:pPr>
              <w:pStyle w:val="TableContents"/>
              <w:bidi w:val="0"/>
              <w:spacing w:before="0" w:after="0"/>
              <w:jc w:val="right"/>
              <w:rPr>
                <w:color w:val="000000"/>
                <w:sz w:val="20"/>
              </w:rPr>
            </w:pPr>
            <w:r>
              <w:rPr>
                <w:color w:val="000000"/>
                <w:sz w:val="20"/>
              </w:rPr>
              <w:t>2.64</w:t>
            </w:r>
          </w:p>
        </w:tc>
        <w:tc>
          <w:tcPr>
            <w:tcW w:w="60" w:type="dxa"/>
            <w:tcBorders/>
            <w:shd w:fill="FFFFFF" w:val="clear"/>
            <w:vAlign w:val="bottom"/>
          </w:tcPr>
          <w:p>
            <w:pPr>
              <w:pStyle w:val="TableContents"/>
              <w:bidi w:val="0"/>
              <w:spacing w:before="0" w:after="283"/>
              <w:jc w:val="left"/>
              <w:rPr/>
            </w:pPr>
            <w:r>
              <w:rPr/>
              <w:t> </w:t>
            </w:r>
          </w:p>
        </w:tc>
      </w:tr>
      <w:tr>
        <w:trPr/>
        <w:tc>
          <w:tcPr>
            <w:tcW w:w="731" w:type="dxa"/>
            <w:tcBorders/>
            <w:shd w:fill="CCEEFF" w:val="clear"/>
            <w:vAlign w:val="bottom"/>
          </w:tcPr>
          <w:p>
            <w:pPr>
              <w:pStyle w:val="TableContents"/>
              <w:bidi w:val="0"/>
              <w:spacing w:before="0" w:after="0"/>
              <w:ind w:left="360" w:right="0" w:hanging="180"/>
              <w:jc w:val="left"/>
              <w:rPr>
                <w:color w:val="000000"/>
                <w:sz w:val="20"/>
              </w:rPr>
            </w:pPr>
            <w:r>
              <w:rPr>
                <w:color w:val="000000"/>
                <w:sz w:val="20"/>
              </w:rPr>
              <w:t>Number of securities issued or to be issued upon exercise</w:t>
            </w:r>
          </w:p>
        </w:tc>
        <w:tc>
          <w:tcPr>
            <w:tcW w:w="24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color w:val="000000"/>
                <w:sz w:val="20"/>
              </w:rPr>
            </w:pPr>
            <w:r>
              <w:rPr>
                <w:color w:val="000000"/>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82" w:type="dxa"/>
            <w:tcBorders/>
            <w:shd w:fill="CCEEFF" w:val="clear"/>
            <w:vAlign w:val="bottom"/>
          </w:tcPr>
          <w:p>
            <w:pPr>
              <w:pStyle w:val="TableContents"/>
              <w:bidi w:val="0"/>
              <w:spacing w:before="0" w:after="283"/>
              <w:jc w:val="left"/>
              <w:rPr/>
            </w:pPr>
            <w:r>
              <w:rPr/>
              <w:t> </w:t>
            </w:r>
          </w:p>
        </w:tc>
        <w:tc>
          <w:tcPr>
            <w:tcW w:w="808" w:type="dxa"/>
            <w:tcBorders/>
            <w:shd w:fill="CCEEFF" w:val="clear"/>
            <w:vAlign w:val="bottom"/>
          </w:tcPr>
          <w:p>
            <w:pPr>
              <w:pStyle w:val="TableContents"/>
              <w:bidi w:val="0"/>
              <w:spacing w:before="0" w:after="0"/>
              <w:jc w:val="right"/>
              <w:rPr>
                <w:color w:val="000000"/>
                <w:sz w:val="20"/>
              </w:rPr>
            </w:pPr>
            <w:r>
              <w:rPr>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83" w:type="dxa"/>
            <w:tcBorders/>
            <w:shd w:fill="CCEEFF" w:val="clear"/>
            <w:vAlign w:val="bottom"/>
          </w:tcPr>
          <w:p>
            <w:pPr>
              <w:pStyle w:val="TableContents"/>
              <w:bidi w:val="0"/>
              <w:spacing w:before="0" w:after="283"/>
              <w:jc w:val="left"/>
              <w:rPr/>
            </w:pPr>
            <w:r>
              <w:rPr/>
              <w:t> </w:t>
            </w:r>
          </w:p>
        </w:tc>
        <w:tc>
          <w:tcPr>
            <w:tcW w:w="822" w:type="dxa"/>
            <w:tcBorders/>
            <w:shd w:fill="CCEEFF" w:val="clear"/>
            <w:vAlign w:val="bottom"/>
          </w:tcPr>
          <w:p>
            <w:pPr>
              <w:pStyle w:val="TableContents"/>
              <w:bidi w:val="0"/>
              <w:spacing w:before="0" w:after="0"/>
              <w:jc w:val="right"/>
              <w:rPr>
                <w:color w:val="000000"/>
                <w:sz w:val="20"/>
              </w:rPr>
            </w:pPr>
            <w:r>
              <w:rPr>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color w:val="000000"/>
                <w:sz w:val="20"/>
              </w:rPr>
            </w:pPr>
            <w:r>
              <w:rPr>
                <w:color w:val="000000"/>
                <w:sz w:val="20"/>
              </w:rPr>
              <w:t>-</w:t>
            </w:r>
          </w:p>
        </w:tc>
        <w:tc>
          <w:tcPr>
            <w:tcW w:w="8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right"/>
              <w:rPr/>
            </w:pPr>
            <w:r>
              <w:rPr/>
              <w:t> </w:t>
            </w:r>
          </w:p>
        </w:tc>
        <w:tc>
          <w:tcPr>
            <w:tcW w:w="88" w:type="dxa"/>
            <w:tcBorders/>
            <w:shd w:fill="CCEEFF" w:val="clear"/>
            <w:vAlign w:val="bottom"/>
          </w:tcPr>
          <w:p>
            <w:pPr>
              <w:pStyle w:val="TableContents"/>
              <w:bidi w:val="0"/>
              <w:spacing w:before="0" w:after="283"/>
              <w:jc w:val="left"/>
              <w:rPr/>
            </w:pPr>
            <w:r>
              <w:rPr/>
              <w:t> </w:t>
            </w:r>
          </w:p>
        </w:tc>
        <w:tc>
          <w:tcPr>
            <w:tcW w:w="712" w:type="dxa"/>
            <w:tcBorders/>
            <w:shd w:fill="CCEEFF" w:val="clear"/>
            <w:vAlign w:val="bottom"/>
          </w:tcPr>
          <w:p>
            <w:pPr>
              <w:pStyle w:val="TableContents"/>
              <w:bidi w:val="0"/>
              <w:spacing w:before="0" w:after="0"/>
              <w:jc w:val="right"/>
              <w:rPr>
                <w:color w:val="000000"/>
                <w:sz w:val="20"/>
              </w:rPr>
            </w:pPr>
            <w:r>
              <w:rPr>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73" w:type="dxa"/>
            <w:tcBorders/>
            <w:shd w:fill="CCEEFF" w:val="clear"/>
            <w:vAlign w:val="bottom"/>
          </w:tcPr>
          <w:p>
            <w:pPr>
              <w:pStyle w:val="TableContents"/>
              <w:bidi w:val="0"/>
              <w:spacing w:before="0" w:after="283"/>
              <w:jc w:val="left"/>
              <w:rPr/>
            </w:pPr>
            <w:r>
              <w:rPr/>
              <w:t> </w:t>
            </w:r>
          </w:p>
        </w:tc>
        <w:tc>
          <w:tcPr>
            <w:tcW w:w="727" w:type="dxa"/>
            <w:tcBorders/>
            <w:shd w:fill="CCEEFF" w:val="clear"/>
            <w:vAlign w:val="bottom"/>
          </w:tcPr>
          <w:p>
            <w:pPr>
              <w:pStyle w:val="TableContents"/>
              <w:bidi w:val="0"/>
              <w:spacing w:before="0" w:after="283"/>
              <w:jc w:val="right"/>
              <w:rPr>
                <w:sz w:val="20"/>
              </w:rPr>
            </w:pPr>
            <w:r>
              <w:rPr>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sz w:val="20"/>
              </w:rPr>
            </w:pPr>
            <w:r>
              <w:rPr>
                <w:sz w:val="20"/>
              </w:rPr>
              <w:t>(358,527</w:t>
            </w:r>
          </w:p>
        </w:tc>
        <w:tc>
          <w:tcPr>
            <w:tcW w:w="80" w:type="dxa"/>
            <w:tcBorders/>
            <w:shd w:fill="CCEEFF" w:val="clear"/>
            <w:vAlign w:val="bottom"/>
          </w:tcPr>
          <w:p>
            <w:pPr>
              <w:pStyle w:val="TableContents"/>
              <w:bidi w:val="0"/>
              <w:spacing w:before="0" w:after="283"/>
              <w:jc w:val="left"/>
              <w:rPr>
                <w:sz w:val="20"/>
              </w:rPr>
            </w:pPr>
            <w:r>
              <w:rPr>
                <w:sz w:val="20"/>
              </w:rPr>
              <w:t>)</w:t>
            </w:r>
          </w:p>
        </w:tc>
        <w:tc>
          <w:tcPr>
            <w:tcW w:w="185" w:type="dxa"/>
            <w:tcBorders/>
            <w:shd w:fill="CCEEFF" w:val="clear"/>
            <w:vAlign w:val="bottom"/>
          </w:tcPr>
          <w:p>
            <w:pPr>
              <w:pStyle w:val="TableContents"/>
              <w:bidi w:val="0"/>
              <w:spacing w:before="0" w:after="283"/>
              <w:jc w:val="center"/>
              <w:rPr>
                <w:position w:val="7"/>
                <w:sz w:val="16"/>
                <w:sz w:val="20"/>
              </w:rPr>
            </w:pPr>
            <w:r>
              <w:rPr>
                <w:position w:val="7"/>
                <w:sz w:val="16"/>
                <w:sz w:val="20"/>
              </w:rPr>
              <w:t xml:space="preserve">(F) </w:t>
            </w:r>
          </w:p>
        </w:tc>
        <w:tc>
          <w:tcPr>
            <w:tcW w:w="60" w:type="dxa"/>
            <w:tcBorders/>
            <w:shd w:fill="CCEEFF" w:val="clear"/>
            <w:vAlign w:val="bottom"/>
          </w:tcPr>
          <w:p>
            <w:pPr>
              <w:pStyle w:val="TableContents"/>
              <w:bidi w:val="0"/>
              <w:spacing w:before="0" w:after="283"/>
              <w:jc w:val="right"/>
              <w:rPr/>
            </w:pPr>
            <w:r>
              <w:rPr/>
              <w:t> </w:t>
            </w:r>
          </w:p>
        </w:tc>
        <w:tc>
          <w:tcPr>
            <w:tcW w:w="342" w:type="dxa"/>
            <w:tcBorders/>
            <w:shd w:fill="CCEEFF" w:val="clear"/>
            <w:vAlign w:val="bottom"/>
          </w:tcPr>
          <w:p>
            <w:pPr>
              <w:pStyle w:val="TableContents"/>
              <w:bidi w:val="0"/>
              <w:spacing w:before="0" w:after="283"/>
              <w:jc w:val="left"/>
              <w:rPr/>
            </w:pPr>
            <w:r>
              <w:rPr/>
              <w:t> </w:t>
            </w:r>
          </w:p>
        </w:tc>
        <w:tc>
          <w:tcPr>
            <w:tcW w:w="458" w:type="dxa"/>
            <w:tcBorders/>
            <w:shd w:fill="CCEEFF" w:val="clear"/>
            <w:vAlign w:val="bottom"/>
          </w:tcPr>
          <w:p>
            <w:pPr>
              <w:pStyle w:val="TableContents"/>
              <w:bidi w:val="0"/>
              <w:spacing w:before="0" w:after="283"/>
              <w:jc w:val="right"/>
              <w:rPr>
                <w:sz w:val="20"/>
              </w:rPr>
            </w:pPr>
            <w:r>
              <w:rPr>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sz w:val="20"/>
              </w:rPr>
            </w:pPr>
            <w:r>
              <w:rPr>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42" w:type="dxa"/>
            <w:tcBorders/>
            <w:shd w:fill="CCEEFF" w:val="clear"/>
            <w:vAlign w:val="bottom"/>
          </w:tcPr>
          <w:p>
            <w:pPr>
              <w:pStyle w:val="TableContents"/>
              <w:bidi w:val="0"/>
              <w:spacing w:before="0" w:after="283"/>
              <w:jc w:val="left"/>
              <w:rPr/>
            </w:pPr>
            <w:r>
              <w:rPr/>
              <w:t> </w:t>
            </w:r>
          </w:p>
        </w:tc>
        <w:tc>
          <w:tcPr>
            <w:tcW w:w="458" w:type="dxa"/>
            <w:tcBorders/>
            <w:shd w:fill="CCEEFF" w:val="clear"/>
            <w:vAlign w:val="bottom"/>
          </w:tcPr>
          <w:p>
            <w:pPr>
              <w:pStyle w:val="TableContents"/>
              <w:bidi w:val="0"/>
              <w:spacing w:before="0" w:after="283"/>
              <w:jc w:val="right"/>
              <w:rPr>
                <w:sz w:val="20"/>
              </w:rPr>
            </w:pPr>
            <w:r>
              <w:rPr>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81" w:type="dxa"/>
            <w:tcBorders/>
            <w:shd w:fill="CCEEFF" w:val="clear"/>
            <w:vAlign w:val="bottom"/>
          </w:tcPr>
          <w:p>
            <w:pPr>
              <w:pStyle w:val="TableContents"/>
              <w:bidi w:val="0"/>
              <w:spacing w:before="0" w:after="283"/>
              <w:jc w:val="left"/>
              <w:rPr/>
            </w:pPr>
            <w:r>
              <w:rPr/>
              <w:t> </w:t>
            </w:r>
          </w:p>
        </w:tc>
        <w:tc>
          <w:tcPr>
            <w:tcW w:w="1154" w:type="dxa"/>
            <w:tcBorders/>
            <w:shd w:fill="CCEEFF" w:val="clear"/>
            <w:vAlign w:val="bottom"/>
          </w:tcPr>
          <w:p>
            <w:pPr>
              <w:pStyle w:val="TableContents"/>
              <w:bidi w:val="0"/>
              <w:spacing w:before="0" w:after="0"/>
              <w:jc w:val="right"/>
              <w:rPr>
                <w:color w:val="000000"/>
                <w:sz w:val="20"/>
              </w:rPr>
            </w:pPr>
            <w:r>
              <w:rPr>
                <w:color w:val="000000"/>
                <w:sz w:val="20"/>
              </w:rPr>
              <w:t>(358,527</w:t>
            </w:r>
          </w:p>
        </w:tc>
        <w:tc>
          <w:tcPr>
            <w:tcW w:w="80" w:type="dxa"/>
            <w:tcBorders/>
            <w:shd w:fill="CCEEFF" w:val="clear"/>
            <w:vAlign w:val="bottom"/>
          </w:tcPr>
          <w:p>
            <w:pPr>
              <w:pStyle w:val="TableContents"/>
              <w:bidi w:val="0"/>
              <w:spacing w:before="0" w:after="0"/>
              <w:jc w:val="left"/>
              <w:rPr>
                <w:color w:val="000000"/>
                <w:sz w:val="20"/>
              </w:rPr>
            </w:pPr>
            <w:r>
              <w:rPr>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205" w:type="dxa"/>
            <w:tcBorders/>
            <w:shd w:fill="CCEEFF" w:val="clear"/>
            <w:vAlign w:val="bottom"/>
          </w:tcPr>
          <w:p>
            <w:pPr>
              <w:pStyle w:val="TableContents"/>
              <w:bidi w:val="0"/>
              <w:spacing w:before="0" w:after="283"/>
              <w:jc w:val="left"/>
              <w:rPr>
                <w:sz w:val="20"/>
              </w:rPr>
            </w:pPr>
            <w:r>
              <w:rPr>
                <w:sz w:val="20"/>
              </w:rPr>
              <w:t>$</w:t>
            </w:r>
          </w:p>
        </w:tc>
        <w:tc>
          <w:tcPr>
            <w:tcW w:w="625" w:type="dxa"/>
            <w:tcBorders/>
            <w:shd w:fill="CCEEFF" w:val="clear"/>
            <w:vAlign w:val="bottom"/>
          </w:tcPr>
          <w:p>
            <w:pPr>
              <w:pStyle w:val="TableContents"/>
              <w:bidi w:val="0"/>
              <w:spacing w:before="0" w:after="283"/>
              <w:jc w:val="right"/>
              <w:rPr>
                <w:sz w:val="20"/>
              </w:rPr>
            </w:pPr>
            <w:r>
              <w:rPr>
                <w:sz w:val="20"/>
              </w:rPr>
              <w:t>2.58</w:t>
            </w:r>
          </w:p>
        </w:tc>
        <w:tc>
          <w:tcPr>
            <w:tcW w:w="60" w:type="dxa"/>
            <w:tcBorders/>
            <w:shd w:fill="CCEEFF" w:val="clear"/>
            <w:vAlign w:val="bottom"/>
          </w:tcPr>
          <w:p>
            <w:pPr>
              <w:pStyle w:val="TableContents"/>
              <w:bidi w:val="0"/>
              <w:spacing w:before="0" w:after="283"/>
              <w:jc w:val="left"/>
              <w:rPr/>
            </w:pPr>
            <w:r>
              <w:rPr/>
              <w:t> </w:t>
            </w:r>
          </w:p>
        </w:tc>
      </w:tr>
      <w:tr>
        <w:trPr/>
        <w:tc>
          <w:tcPr>
            <w:tcW w:w="731" w:type="dxa"/>
            <w:tcBorders/>
            <w:shd w:fill="FFFFFF" w:val="clear"/>
            <w:vAlign w:val="bottom"/>
          </w:tcPr>
          <w:p>
            <w:pPr>
              <w:pStyle w:val="TableContents"/>
              <w:bidi w:val="0"/>
              <w:spacing w:before="0" w:after="0"/>
              <w:ind w:left="360" w:right="0" w:hanging="180"/>
              <w:jc w:val="left"/>
              <w:rPr>
                <w:sz w:val="20"/>
              </w:rPr>
            </w:pPr>
            <w:r>
              <w:rPr>
                <w:sz w:val="20"/>
              </w:rPr>
              <w:t xml:space="preserve">Number of securities issued or to be issued upon exercise </w:t>
            </w:r>
          </w:p>
        </w:tc>
        <w:tc>
          <w:tcPr>
            <w:tcW w:w="240" w:type="dxa"/>
            <w:tcBorders/>
            <w:shd w:fill="FFFFFF" w:val="clear"/>
            <w:vAlign w:val="bottom"/>
          </w:tcPr>
          <w:p>
            <w:pPr>
              <w:pStyle w:val="TableContents"/>
              <w:bidi w:val="0"/>
              <w:spacing w:before="0" w:after="283"/>
              <w:jc w:val="right"/>
              <w:rPr/>
            </w:pPr>
            <w:r>
              <w:rPr/>
              <w:t> </w:t>
            </w:r>
          </w:p>
        </w:tc>
        <w:tc>
          <w:tcPr>
            <w:tcW w:w="60" w:type="dxa"/>
            <w:tcBorders>
              <w:bottom w:val="single" w:sz="12" w:space="0" w:color="000000"/>
            </w:tcBorders>
            <w:shd w:fill="FFFFFF" w:val="clear"/>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bottom"/>
          </w:tcPr>
          <w:p>
            <w:pPr>
              <w:pStyle w:val="TableContents"/>
              <w:bidi w:val="0"/>
              <w:spacing w:before="0" w:after="283"/>
              <w:jc w:val="right"/>
              <w:rPr>
                <w:sz w:val="20"/>
              </w:rPr>
            </w:pPr>
            <w:r>
              <w:rPr>
                <w:sz w:val="20"/>
              </w:rPr>
              <w:t>-</w:t>
            </w:r>
          </w:p>
        </w:tc>
        <w:tc>
          <w:tcPr>
            <w:tcW w:w="8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right"/>
              <w:rPr/>
            </w:pPr>
            <w:r>
              <w:rPr/>
              <w:t> </w:t>
            </w:r>
          </w:p>
        </w:tc>
        <w:tc>
          <w:tcPr>
            <w:tcW w:w="82" w:type="dxa"/>
            <w:tcBorders>
              <w:bottom w:val="single" w:sz="12" w:space="0" w:color="000000"/>
            </w:tcBorders>
            <w:shd w:fill="FFFFFF" w:val="clear"/>
            <w:tcMar>
              <w:bottom w:w="28" w:type="dxa"/>
            </w:tcMar>
            <w:vAlign w:val="bottom"/>
          </w:tcPr>
          <w:p>
            <w:pPr>
              <w:pStyle w:val="TableContents"/>
              <w:bidi w:val="0"/>
              <w:spacing w:before="0" w:after="283"/>
              <w:jc w:val="left"/>
              <w:rPr/>
            </w:pPr>
            <w:r>
              <w:rPr/>
              <w:t> </w:t>
            </w:r>
          </w:p>
        </w:tc>
        <w:tc>
          <w:tcPr>
            <w:tcW w:w="808" w:type="dxa"/>
            <w:tcBorders>
              <w:bottom w:val="single" w:sz="12" w:space="0" w:color="000000"/>
            </w:tcBorders>
            <w:shd w:fill="FFFFFF" w:val="clear"/>
            <w:tcMar>
              <w:bottom w:w="28" w:type="dxa"/>
            </w:tcMar>
            <w:vAlign w:val="bottom"/>
          </w:tcPr>
          <w:p>
            <w:pPr>
              <w:pStyle w:val="TableContents"/>
              <w:bidi w:val="0"/>
              <w:spacing w:before="0" w:after="283"/>
              <w:jc w:val="right"/>
              <w:rPr>
                <w:sz w:val="20"/>
              </w:rPr>
            </w:pPr>
            <w:r>
              <w:rPr>
                <w:sz w:val="20"/>
              </w:rPr>
              <w:t>-</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right"/>
              <w:rPr/>
            </w:pPr>
            <w:r>
              <w:rPr/>
              <w:t> </w:t>
            </w:r>
          </w:p>
        </w:tc>
        <w:tc>
          <w:tcPr>
            <w:tcW w:w="83" w:type="dxa"/>
            <w:tcBorders>
              <w:bottom w:val="single" w:sz="12" w:space="0" w:color="000000"/>
            </w:tcBorders>
            <w:shd w:fill="FFFFFF" w:val="clear"/>
            <w:tcMar>
              <w:bottom w:w="28" w:type="dxa"/>
            </w:tcMar>
            <w:vAlign w:val="bottom"/>
          </w:tcPr>
          <w:p>
            <w:pPr>
              <w:pStyle w:val="TableContents"/>
              <w:bidi w:val="0"/>
              <w:spacing w:before="0" w:after="283"/>
              <w:jc w:val="left"/>
              <w:rPr/>
            </w:pPr>
            <w:r>
              <w:rPr/>
              <w:t> </w:t>
            </w:r>
          </w:p>
        </w:tc>
        <w:tc>
          <w:tcPr>
            <w:tcW w:w="822" w:type="dxa"/>
            <w:tcBorders>
              <w:bottom w:val="single" w:sz="12" w:space="0" w:color="000000"/>
            </w:tcBorders>
            <w:shd w:fill="FFFFFF" w:val="clear"/>
            <w:tcMar>
              <w:bottom w:w="28" w:type="dxa"/>
            </w:tcMar>
            <w:vAlign w:val="bottom"/>
          </w:tcPr>
          <w:p>
            <w:pPr>
              <w:pStyle w:val="TableContents"/>
              <w:bidi w:val="0"/>
              <w:spacing w:before="0" w:after="283"/>
              <w:jc w:val="right"/>
              <w:rPr>
                <w:sz w:val="20"/>
              </w:rPr>
            </w:pPr>
            <w:r>
              <w:rPr>
                <w:sz w:val="20"/>
              </w:rPr>
              <w:t>-</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right"/>
              <w:rPr/>
            </w:pPr>
            <w:r>
              <w:rPr/>
              <w:t> </w:t>
            </w:r>
          </w:p>
        </w:tc>
        <w:tc>
          <w:tcPr>
            <w:tcW w:w="60" w:type="dxa"/>
            <w:tcBorders>
              <w:bottom w:val="single" w:sz="12" w:space="0" w:color="000000"/>
            </w:tcBorders>
            <w:shd w:fill="FFFFFF" w:val="clear"/>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bottom"/>
          </w:tcPr>
          <w:p>
            <w:pPr>
              <w:pStyle w:val="TableContents"/>
              <w:bidi w:val="0"/>
              <w:spacing w:before="0" w:after="283"/>
              <w:jc w:val="right"/>
              <w:rPr>
                <w:sz w:val="20"/>
              </w:rPr>
            </w:pPr>
            <w:r>
              <w:rPr>
                <w:sz w:val="20"/>
              </w:rPr>
              <w:t>(168,068</w:t>
            </w:r>
          </w:p>
        </w:tc>
        <w:tc>
          <w:tcPr>
            <w:tcW w:w="80" w:type="dxa"/>
            <w:tcBorders/>
            <w:shd w:fill="FFFFFF" w:val="clear"/>
            <w:vAlign w:val="bottom"/>
          </w:tcPr>
          <w:p>
            <w:pPr>
              <w:pStyle w:val="TableContents"/>
              <w:bidi w:val="0"/>
              <w:spacing w:before="0" w:after="283"/>
              <w:jc w:val="left"/>
              <w:rPr>
                <w:sz w:val="20"/>
              </w:rPr>
            </w:pPr>
            <w:r>
              <w:rPr>
                <w:sz w:val="20"/>
              </w:rPr>
              <w:t>)</w:t>
            </w:r>
          </w:p>
        </w:tc>
        <w:tc>
          <w:tcPr>
            <w:tcW w:w="200" w:type="dxa"/>
            <w:tcBorders/>
            <w:shd w:fill="FFFFFF" w:val="clear"/>
            <w:vAlign w:val="bottom"/>
          </w:tcPr>
          <w:p>
            <w:pPr>
              <w:pStyle w:val="TableContents"/>
              <w:bidi w:val="0"/>
              <w:spacing w:before="0" w:after="283"/>
              <w:jc w:val="center"/>
              <w:rPr>
                <w:sz w:val="20"/>
              </w:rPr>
            </w:pPr>
            <w:r>
              <w:rPr>
                <w:position w:val="7"/>
                <w:sz w:val="16"/>
                <w:sz w:val="20"/>
              </w:rPr>
              <w:t>(D)</w:t>
            </w:r>
            <w:r>
              <w:rPr>
                <w:sz w:val="20"/>
              </w:rPr>
              <w:t xml:space="preserve"> </w:t>
            </w:r>
          </w:p>
        </w:tc>
        <w:tc>
          <w:tcPr>
            <w:tcW w:w="60" w:type="dxa"/>
            <w:tcBorders/>
            <w:shd w:fill="FFFFFF" w:val="clear"/>
            <w:vAlign w:val="bottom"/>
          </w:tcPr>
          <w:p>
            <w:pPr>
              <w:pStyle w:val="TableContents"/>
              <w:bidi w:val="0"/>
              <w:spacing w:before="0" w:after="283"/>
              <w:jc w:val="right"/>
              <w:rPr/>
            </w:pPr>
            <w:r>
              <w:rPr/>
              <w:t> </w:t>
            </w:r>
          </w:p>
        </w:tc>
        <w:tc>
          <w:tcPr>
            <w:tcW w:w="88" w:type="dxa"/>
            <w:tcBorders>
              <w:bottom w:val="single" w:sz="12" w:space="0" w:color="000000"/>
            </w:tcBorders>
            <w:shd w:fill="FFFFFF" w:val="clear"/>
            <w:tcMar>
              <w:bottom w:w="28" w:type="dxa"/>
            </w:tcMar>
            <w:vAlign w:val="bottom"/>
          </w:tcPr>
          <w:p>
            <w:pPr>
              <w:pStyle w:val="TableContents"/>
              <w:bidi w:val="0"/>
              <w:spacing w:before="0" w:after="283"/>
              <w:jc w:val="left"/>
              <w:rPr/>
            </w:pPr>
            <w:r>
              <w:rPr/>
              <w:t> </w:t>
            </w:r>
          </w:p>
        </w:tc>
        <w:tc>
          <w:tcPr>
            <w:tcW w:w="712" w:type="dxa"/>
            <w:tcBorders>
              <w:bottom w:val="single" w:sz="12" w:space="0" w:color="000000"/>
            </w:tcBorders>
            <w:shd w:fill="FFFFFF" w:val="clear"/>
            <w:tcMar>
              <w:bottom w:w="28" w:type="dxa"/>
            </w:tcMar>
            <w:vAlign w:val="bottom"/>
          </w:tcPr>
          <w:p>
            <w:pPr>
              <w:pStyle w:val="TableContents"/>
              <w:bidi w:val="0"/>
              <w:spacing w:before="0" w:after="283"/>
              <w:jc w:val="right"/>
              <w:rPr>
                <w:sz w:val="20"/>
              </w:rPr>
            </w:pPr>
            <w:r>
              <w:rPr>
                <w:sz w:val="20"/>
              </w:rPr>
              <w:t>-</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right"/>
              <w:rPr/>
            </w:pPr>
            <w:r>
              <w:rPr/>
              <w:t> </w:t>
            </w:r>
          </w:p>
        </w:tc>
        <w:tc>
          <w:tcPr>
            <w:tcW w:w="73" w:type="dxa"/>
            <w:tcBorders>
              <w:bottom w:val="single" w:sz="12" w:space="0" w:color="000000"/>
            </w:tcBorders>
            <w:shd w:fill="FFFFFF" w:val="clear"/>
            <w:tcMar>
              <w:bottom w:w="28" w:type="dxa"/>
            </w:tcMar>
            <w:vAlign w:val="bottom"/>
          </w:tcPr>
          <w:p>
            <w:pPr>
              <w:pStyle w:val="TableContents"/>
              <w:bidi w:val="0"/>
              <w:spacing w:before="0" w:after="283"/>
              <w:jc w:val="left"/>
              <w:rPr/>
            </w:pPr>
            <w:r>
              <w:rPr/>
              <w:t> </w:t>
            </w:r>
          </w:p>
        </w:tc>
        <w:tc>
          <w:tcPr>
            <w:tcW w:w="727" w:type="dxa"/>
            <w:tcBorders>
              <w:bottom w:val="single" w:sz="12" w:space="0" w:color="000000"/>
            </w:tcBorders>
            <w:shd w:fill="FFFFFF" w:val="clear"/>
            <w:tcMar>
              <w:bottom w:w="28" w:type="dxa"/>
            </w:tcMar>
            <w:vAlign w:val="bottom"/>
          </w:tcPr>
          <w:p>
            <w:pPr>
              <w:pStyle w:val="TableContents"/>
              <w:bidi w:val="0"/>
              <w:spacing w:before="0" w:after="283"/>
              <w:jc w:val="right"/>
              <w:rPr>
                <w:sz w:val="20"/>
              </w:rPr>
            </w:pPr>
            <w:r>
              <w:rPr>
                <w:sz w:val="20"/>
              </w:rPr>
              <w:t>-</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right"/>
              <w:rPr/>
            </w:pPr>
            <w:r>
              <w:rPr/>
              <w:t> </w:t>
            </w:r>
          </w:p>
        </w:tc>
        <w:tc>
          <w:tcPr>
            <w:tcW w:w="60" w:type="dxa"/>
            <w:tcBorders>
              <w:bottom w:val="single" w:sz="12" w:space="0" w:color="000000"/>
            </w:tcBorders>
            <w:shd w:fill="FFFFFF" w:val="clear"/>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bottom"/>
          </w:tcPr>
          <w:p>
            <w:pPr>
              <w:pStyle w:val="TableContents"/>
              <w:bidi w:val="0"/>
              <w:spacing w:before="0" w:after="283"/>
              <w:jc w:val="right"/>
              <w:rPr>
                <w:sz w:val="20"/>
              </w:rPr>
            </w:pPr>
            <w:r>
              <w:rPr>
                <w:sz w:val="20"/>
              </w:rPr>
              <w:t>-</w:t>
            </w:r>
          </w:p>
        </w:tc>
        <w:tc>
          <w:tcPr>
            <w:tcW w:w="80" w:type="dxa"/>
            <w:tcBorders/>
            <w:shd w:fill="FFFFFF" w:val="clear"/>
            <w:vAlign w:val="bottom"/>
          </w:tcPr>
          <w:p>
            <w:pPr>
              <w:pStyle w:val="TableContents"/>
              <w:bidi w:val="0"/>
              <w:spacing w:before="0" w:after="283"/>
              <w:jc w:val="left"/>
              <w:rPr/>
            </w:pPr>
            <w:r>
              <w:rPr/>
              <w:t> </w:t>
            </w:r>
          </w:p>
        </w:tc>
        <w:tc>
          <w:tcPr>
            <w:tcW w:w="185" w:type="dxa"/>
            <w:tcBorders/>
            <w:shd w:fill="FFFFFF" w:val="clear"/>
            <w:vAlign w:val="bottom"/>
          </w:tcPr>
          <w:p>
            <w:pPr>
              <w:pStyle w:val="TableContents"/>
              <w:bidi w:val="0"/>
              <w:spacing w:before="0" w:after="283"/>
              <w:jc w:val="right"/>
              <w:rPr/>
            </w:pPr>
            <w:r>
              <w:rPr/>
              <w:t> </w:t>
            </w:r>
          </w:p>
        </w:tc>
        <w:tc>
          <w:tcPr>
            <w:tcW w:w="60" w:type="dxa"/>
            <w:tcBorders/>
            <w:shd w:fill="FFFFFF" w:val="clear"/>
            <w:vAlign w:val="bottom"/>
          </w:tcPr>
          <w:p>
            <w:pPr>
              <w:pStyle w:val="TableContents"/>
              <w:bidi w:val="0"/>
              <w:spacing w:before="0" w:after="283"/>
              <w:jc w:val="right"/>
              <w:rPr/>
            </w:pPr>
            <w:r>
              <w:rPr/>
              <w:t> </w:t>
            </w:r>
          </w:p>
        </w:tc>
        <w:tc>
          <w:tcPr>
            <w:tcW w:w="342" w:type="dxa"/>
            <w:tcBorders>
              <w:bottom w:val="single" w:sz="12" w:space="0" w:color="000000"/>
            </w:tcBorders>
            <w:shd w:fill="FFFFFF" w:val="clear"/>
            <w:tcMar>
              <w:bottom w:w="28" w:type="dxa"/>
            </w:tcMar>
            <w:vAlign w:val="bottom"/>
          </w:tcPr>
          <w:p>
            <w:pPr>
              <w:pStyle w:val="TableContents"/>
              <w:bidi w:val="0"/>
              <w:spacing w:before="0" w:after="283"/>
              <w:jc w:val="left"/>
              <w:rPr/>
            </w:pPr>
            <w:r>
              <w:rPr/>
              <w:t> </w:t>
            </w:r>
          </w:p>
        </w:tc>
        <w:tc>
          <w:tcPr>
            <w:tcW w:w="458" w:type="dxa"/>
            <w:tcBorders>
              <w:bottom w:val="single" w:sz="12" w:space="0" w:color="000000"/>
            </w:tcBorders>
            <w:shd w:fill="FFFFFF" w:val="clear"/>
            <w:tcMar>
              <w:bottom w:w="28" w:type="dxa"/>
            </w:tcMar>
            <w:vAlign w:val="bottom"/>
          </w:tcPr>
          <w:p>
            <w:pPr>
              <w:pStyle w:val="TableContents"/>
              <w:bidi w:val="0"/>
              <w:spacing w:before="0" w:after="283"/>
              <w:jc w:val="right"/>
              <w:rPr>
                <w:sz w:val="20"/>
              </w:rPr>
            </w:pPr>
            <w:r>
              <w:rPr>
                <w:sz w:val="20"/>
              </w:rPr>
              <w:t>-</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right"/>
              <w:rPr/>
            </w:pPr>
            <w:r>
              <w:rPr/>
              <w:t> </w:t>
            </w:r>
          </w:p>
        </w:tc>
        <w:tc>
          <w:tcPr>
            <w:tcW w:w="60" w:type="dxa"/>
            <w:tcBorders>
              <w:bottom w:val="single" w:sz="12" w:space="0" w:color="000000"/>
            </w:tcBorders>
            <w:shd w:fill="FFFF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FFFFFF" w:val="clear"/>
            <w:tcMar>
              <w:bottom w:w="28" w:type="dxa"/>
            </w:tcMar>
            <w:vAlign w:val="bottom"/>
          </w:tcPr>
          <w:p>
            <w:pPr>
              <w:pStyle w:val="TableContents"/>
              <w:bidi w:val="0"/>
              <w:spacing w:before="0" w:after="283"/>
              <w:jc w:val="right"/>
              <w:rPr>
                <w:sz w:val="20"/>
              </w:rPr>
            </w:pPr>
            <w:r>
              <w:rPr>
                <w:sz w:val="20"/>
              </w:rPr>
              <w:t>-</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right"/>
              <w:rPr/>
            </w:pPr>
            <w:r>
              <w:rPr/>
              <w:t> </w:t>
            </w:r>
          </w:p>
        </w:tc>
        <w:tc>
          <w:tcPr>
            <w:tcW w:w="342" w:type="dxa"/>
            <w:tcBorders>
              <w:bottom w:val="single" w:sz="12" w:space="0" w:color="000000"/>
            </w:tcBorders>
            <w:shd w:fill="FFFFFF" w:val="clear"/>
            <w:tcMar>
              <w:bottom w:w="28" w:type="dxa"/>
            </w:tcMar>
            <w:vAlign w:val="bottom"/>
          </w:tcPr>
          <w:p>
            <w:pPr>
              <w:pStyle w:val="TableContents"/>
              <w:bidi w:val="0"/>
              <w:spacing w:before="0" w:after="283"/>
              <w:jc w:val="left"/>
              <w:rPr/>
            </w:pPr>
            <w:r>
              <w:rPr/>
              <w:t> </w:t>
            </w:r>
          </w:p>
        </w:tc>
        <w:tc>
          <w:tcPr>
            <w:tcW w:w="458" w:type="dxa"/>
            <w:tcBorders>
              <w:bottom w:val="single" w:sz="12" w:space="0" w:color="000000"/>
            </w:tcBorders>
            <w:shd w:fill="FFFFFF" w:val="clear"/>
            <w:tcMar>
              <w:bottom w:w="28" w:type="dxa"/>
            </w:tcMar>
            <w:vAlign w:val="bottom"/>
          </w:tcPr>
          <w:p>
            <w:pPr>
              <w:pStyle w:val="TableContents"/>
              <w:bidi w:val="0"/>
              <w:spacing w:before="0" w:after="283"/>
              <w:jc w:val="right"/>
              <w:rPr>
                <w:sz w:val="20"/>
              </w:rPr>
            </w:pPr>
            <w:r>
              <w:rPr>
                <w:sz w:val="20"/>
              </w:rPr>
              <w:t>-</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right"/>
              <w:rPr/>
            </w:pPr>
            <w:r>
              <w:rPr/>
              <w:t> </w:t>
            </w:r>
          </w:p>
        </w:tc>
        <w:tc>
          <w:tcPr>
            <w:tcW w:w="81" w:type="dxa"/>
            <w:tcBorders>
              <w:bottom w:val="single" w:sz="12" w:space="0" w:color="000000"/>
            </w:tcBorders>
            <w:shd w:fill="FFFFFF" w:val="clear"/>
            <w:tcMar>
              <w:bottom w:w="28" w:type="dxa"/>
            </w:tcMar>
            <w:vAlign w:val="bottom"/>
          </w:tcPr>
          <w:p>
            <w:pPr>
              <w:pStyle w:val="TableContents"/>
              <w:bidi w:val="0"/>
              <w:spacing w:before="0" w:after="283"/>
              <w:jc w:val="left"/>
              <w:rPr/>
            </w:pPr>
            <w:r>
              <w:rPr/>
              <w:t> </w:t>
            </w:r>
          </w:p>
        </w:tc>
        <w:tc>
          <w:tcPr>
            <w:tcW w:w="1154" w:type="dxa"/>
            <w:tcBorders>
              <w:bottom w:val="single" w:sz="12" w:space="0" w:color="000000"/>
            </w:tcBorders>
            <w:shd w:fill="FFFFFF" w:val="clear"/>
            <w:tcMar>
              <w:bottom w:w="28" w:type="dxa"/>
            </w:tcMar>
            <w:vAlign w:val="bottom"/>
          </w:tcPr>
          <w:p>
            <w:pPr>
              <w:pStyle w:val="TableContents"/>
              <w:bidi w:val="0"/>
              <w:spacing w:before="0" w:after="283"/>
              <w:jc w:val="right"/>
              <w:rPr>
                <w:sz w:val="20"/>
              </w:rPr>
            </w:pPr>
            <w:r>
              <w:rPr>
                <w:sz w:val="20"/>
              </w:rPr>
              <w:t>(168,068</w:t>
            </w:r>
          </w:p>
        </w:tc>
        <w:tc>
          <w:tcPr>
            <w:tcW w:w="80" w:type="dxa"/>
            <w:tcBorders/>
            <w:shd w:fill="FFFFFF" w:val="clear"/>
            <w:vAlign w:val="bottom"/>
          </w:tcPr>
          <w:p>
            <w:pPr>
              <w:pStyle w:val="TableContents"/>
              <w:bidi w:val="0"/>
              <w:spacing w:before="0" w:after="283"/>
              <w:jc w:val="left"/>
              <w:rPr>
                <w:sz w:val="20"/>
              </w:rPr>
            </w:pPr>
            <w:r>
              <w:rPr>
                <w:sz w:val="20"/>
              </w:rPr>
              <w:t>)</w:t>
            </w:r>
          </w:p>
        </w:tc>
        <w:tc>
          <w:tcPr>
            <w:tcW w:w="60" w:type="dxa"/>
            <w:tcBorders/>
            <w:shd w:fill="FFFFFF" w:val="clear"/>
            <w:vAlign w:val="bottom"/>
          </w:tcPr>
          <w:p>
            <w:pPr>
              <w:pStyle w:val="TableContents"/>
              <w:bidi w:val="0"/>
              <w:spacing w:before="0" w:after="283"/>
              <w:jc w:val="right"/>
              <w:rPr/>
            </w:pPr>
            <w:r>
              <w:rPr/>
              <w:t> </w:t>
            </w:r>
          </w:p>
        </w:tc>
        <w:tc>
          <w:tcPr>
            <w:tcW w:w="205" w:type="dxa"/>
            <w:tcBorders/>
            <w:shd w:fill="FFFFFF" w:val="clear"/>
            <w:vAlign w:val="bottom"/>
          </w:tcPr>
          <w:p>
            <w:pPr>
              <w:pStyle w:val="TableContents"/>
              <w:bidi w:val="0"/>
              <w:spacing w:before="0" w:after="283"/>
              <w:jc w:val="left"/>
              <w:rPr>
                <w:sz w:val="20"/>
              </w:rPr>
            </w:pPr>
            <w:r>
              <w:rPr>
                <w:sz w:val="20"/>
              </w:rPr>
              <w:t>$</w:t>
            </w:r>
          </w:p>
        </w:tc>
        <w:tc>
          <w:tcPr>
            <w:tcW w:w="625" w:type="dxa"/>
            <w:tcBorders/>
            <w:shd w:fill="FFFFFF" w:val="clear"/>
            <w:vAlign w:val="bottom"/>
          </w:tcPr>
          <w:p>
            <w:pPr>
              <w:pStyle w:val="TableContents"/>
              <w:bidi w:val="0"/>
              <w:spacing w:before="0" w:after="283"/>
              <w:jc w:val="right"/>
              <w:rPr>
                <w:sz w:val="20"/>
              </w:rPr>
            </w:pPr>
            <w:r>
              <w:rPr>
                <w:sz w:val="20"/>
              </w:rPr>
              <w:t>2.38</w:t>
            </w:r>
          </w:p>
        </w:tc>
        <w:tc>
          <w:tcPr>
            <w:tcW w:w="60" w:type="dxa"/>
            <w:tcBorders/>
            <w:shd w:fill="FFFFFF" w:val="clear"/>
            <w:vAlign w:val="bottom"/>
          </w:tcPr>
          <w:p>
            <w:pPr>
              <w:pStyle w:val="TableContents"/>
              <w:bidi w:val="0"/>
              <w:spacing w:before="0" w:after="283"/>
              <w:jc w:val="left"/>
              <w:rPr/>
            </w:pPr>
            <w:r>
              <w:rPr/>
              <w:t> </w:t>
            </w:r>
          </w:p>
        </w:tc>
      </w:tr>
      <w:tr>
        <w:trPr/>
        <w:tc>
          <w:tcPr>
            <w:tcW w:w="731" w:type="dxa"/>
            <w:tcBorders/>
            <w:shd w:fill="CCEEFF" w:val="clear"/>
            <w:vAlign w:val="bottom"/>
          </w:tcPr>
          <w:p>
            <w:pPr>
              <w:pStyle w:val="TableContents"/>
              <w:bidi w:val="0"/>
              <w:spacing w:before="0" w:after="0"/>
              <w:ind w:left="144" w:right="0" w:hanging="144"/>
              <w:jc w:val="left"/>
              <w:rPr>
                <w:b/>
                <w:color w:val="000000"/>
                <w:sz w:val="20"/>
              </w:rPr>
            </w:pPr>
            <w:r>
              <w:rPr>
                <w:b/>
                <w:color w:val="000000"/>
                <w:sz w:val="20"/>
              </w:rPr>
              <w:t>June 30, 2026</w:t>
            </w:r>
          </w:p>
        </w:tc>
        <w:tc>
          <w:tcPr>
            <w:tcW w:w="24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color w:val="000000"/>
                <w:sz w:val="20"/>
              </w:rPr>
            </w:pPr>
            <w:r>
              <w:rPr>
                <w:color w:val="000000"/>
                <w:sz w:val="20"/>
              </w:rPr>
              <w:t>(663,492</w:t>
            </w:r>
          </w:p>
        </w:tc>
        <w:tc>
          <w:tcPr>
            <w:tcW w:w="80" w:type="dxa"/>
            <w:tcBorders/>
            <w:shd w:fill="CCEEFF" w:val="clear"/>
            <w:vAlign w:val="bottom"/>
          </w:tcPr>
          <w:p>
            <w:pPr>
              <w:pStyle w:val="TableContents"/>
              <w:bidi w:val="0"/>
              <w:spacing w:before="0" w:after="0"/>
              <w:jc w:val="left"/>
              <w:rPr>
                <w:color w:val="000000"/>
                <w:sz w:val="20"/>
              </w:rPr>
            </w:pPr>
            <w:r>
              <w:rPr>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82" w:type="dxa"/>
            <w:tcBorders/>
            <w:shd w:fill="CCEEFF" w:val="clear"/>
            <w:vAlign w:val="bottom"/>
          </w:tcPr>
          <w:p>
            <w:pPr>
              <w:pStyle w:val="TableContents"/>
              <w:bidi w:val="0"/>
              <w:spacing w:before="0" w:after="283"/>
              <w:jc w:val="left"/>
              <w:rPr/>
            </w:pPr>
            <w:r>
              <w:rPr/>
              <w:t> </w:t>
            </w:r>
          </w:p>
        </w:tc>
        <w:tc>
          <w:tcPr>
            <w:tcW w:w="808" w:type="dxa"/>
            <w:tcBorders/>
            <w:shd w:fill="CCEEFF" w:val="clear"/>
            <w:vAlign w:val="bottom"/>
          </w:tcPr>
          <w:p>
            <w:pPr>
              <w:pStyle w:val="TableContents"/>
              <w:bidi w:val="0"/>
              <w:spacing w:before="0" w:after="0"/>
              <w:jc w:val="right"/>
              <w:rPr>
                <w:color w:val="000000"/>
                <w:sz w:val="20"/>
              </w:rPr>
            </w:pPr>
            <w:r>
              <w:rPr>
                <w:color w:val="000000"/>
                <w:sz w:val="20"/>
              </w:rPr>
              <w:t>57,689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83" w:type="dxa"/>
            <w:tcBorders/>
            <w:shd w:fill="CCEEFF" w:val="clear"/>
            <w:vAlign w:val="bottom"/>
          </w:tcPr>
          <w:p>
            <w:pPr>
              <w:pStyle w:val="TableContents"/>
              <w:bidi w:val="0"/>
              <w:spacing w:before="0" w:after="283"/>
              <w:jc w:val="left"/>
              <w:rPr/>
            </w:pPr>
            <w:r>
              <w:rPr/>
              <w:t> </w:t>
            </w:r>
          </w:p>
        </w:tc>
        <w:tc>
          <w:tcPr>
            <w:tcW w:w="822" w:type="dxa"/>
            <w:tcBorders/>
            <w:shd w:fill="CCEEFF" w:val="clear"/>
            <w:vAlign w:val="bottom"/>
          </w:tcPr>
          <w:p>
            <w:pPr>
              <w:pStyle w:val="TableContents"/>
              <w:bidi w:val="0"/>
              <w:spacing w:before="0" w:after="0"/>
              <w:jc w:val="right"/>
              <w:rPr>
                <w:color w:val="000000"/>
                <w:sz w:val="20"/>
              </w:rPr>
            </w:pPr>
            <w:r>
              <w:rPr>
                <w:color w:val="000000"/>
                <w:sz w:val="20"/>
              </w:rPr>
              <w:t>65,037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color w:val="000000"/>
                <w:sz w:val="20"/>
              </w:rPr>
            </w:pPr>
            <w:r>
              <w:rPr>
                <w:color w:val="000000"/>
                <w:sz w:val="20"/>
              </w:rPr>
              <w:t>(738,584</w:t>
            </w:r>
          </w:p>
        </w:tc>
        <w:tc>
          <w:tcPr>
            <w:tcW w:w="80" w:type="dxa"/>
            <w:tcBorders/>
            <w:shd w:fill="CCEEFF" w:val="clear"/>
            <w:vAlign w:val="bottom"/>
          </w:tcPr>
          <w:p>
            <w:pPr>
              <w:pStyle w:val="TableContents"/>
              <w:bidi w:val="0"/>
              <w:spacing w:before="0" w:after="0"/>
              <w:jc w:val="left"/>
              <w:rPr>
                <w:color w:val="000000"/>
                <w:sz w:val="20"/>
              </w:rPr>
            </w:pPr>
            <w:r>
              <w:rPr>
                <w:color w:val="000000"/>
                <w:sz w:val="20"/>
              </w:rPr>
              <w:t>)</w:t>
            </w:r>
          </w:p>
        </w:tc>
        <w:tc>
          <w:tcPr>
            <w:tcW w:w="2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right"/>
              <w:rPr/>
            </w:pPr>
            <w:r>
              <w:rPr/>
              <w:t> </w:t>
            </w:r>
          </w:p>
        </w:tc>
        <w:tc>
          <w:tcPr>
            <w:tcW w:w="88" w:type="dxa"/>
            <w:tcBorders/>
            <w:shd w:fill="CCEEFF" w:val="clear"/>
            <w:vAlign w:val="bottom"/>
          </w:tcPr>
          <w:p>
            <w:pPr>
              <w:pStyle w:val="TableContents"/>
              <w:bidi w:val="0"/>
              <w:spacing w:before="0" w:after="283"/>
              <w:jc w:val="left"/>
              <w:rPr/>
            </w:pPr>
            <w:r>
              <w:rPr/>
              <w:t> </w:t>
            </w:r>
          </w:p>
        </w:tc>
        <w:tc>
          <w:tcPr>
            <w:tcW w:w="712" w:type="dxa"/>
            <w:tcBorders/>
            <w:shd w:fill="CCEEFF" w:val="clear"/>
            <w:vAlign w:val="bottom"/>
          </w:tcPr>
          <w:p>
            <w:pPr>
              <w:pStyle w:val="TableContents"/>
              <w:bidi w:val="0"/>
              <w:spacing w:before="0" w:after="0"/>
              <w:jc w:val="right"/>
              <w:rPr>
                <w:color w:val="000000"/>
                <w:sz w:val="20"/>
              </w:rPr>
            </w:pPr>
            <w:r>
              <w:rPr>
                <w:color w:val="000000"/>
                <w:sz w:val="20"/>
              </w:rPr>
              <w:t>3,155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73" w:type="dxa"/>
            <w:tcBorders/>
            <w:shd w:fill="CCEEFF" w:val="clear"/>
            <w:vAlign w:val="bottom"/>
          </w:tcPr>
          <w:p>
            <w:pPr>
              <w:pStyle w:val="TableContents"/>
              <w:bidi w:val="0"/>
              <w:spacing w:before="0" w:after="283"/>
              <w:jc w:val="left"/>
              <w:rPr/>
            </w:pPr>
            <w:r>
              <w:rPr/>
              <w:t> </w:t>
            </w:r>
          </w:p>
        </w:tc>
        <w:tc>
          <w:tcPr>
            <w:tcW w:w="727" w:type="dxa"/>
            <w:tcBorders/>
            <w:shd w:fill="CCEEFF" w:val="clear"/>
            <w:vAlign w:val="bottom"/>
          </w:tcPr>
          <w:p>
            <w:pPr>
              <w:pStyle w:val="TableContents"/>
              <w:bidi w:val="0"/>
              <w:spacing w:before="0" w:after="283"/>
              <w:jc w:val="right"/>
              <w:rPr>
                <w:sz w:val="20"/>
              </w:rPr>
            </w:pPr>
            <w:r>
              <w:rPr>
                <w:sz w:val="20"/>
              </w:rPr>
              <w:t>44,873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sz w:val="20"/>
              </w:rPr>
            </w:pPr>
            <w:r>
              <w:rPr>
                <w:sz w:val="20"/>
              </w:rPr>
              <w:t>(915,263</w:t>
            </w:r>
          </w:p>
        </w:tc>
        <w:tc>
          <w:tcPr>
            <w:tcW w:w="80" w:type="dxa"/>
            <w:tcBorders/>
            <w:shd w:fill="CCEEFF" w:val="clear"/>
            <w:vAlign w:val="bottom"/>
          </w:tcPr>
          <w:p>
            <w:pPr>
              <w:pStyle w:val="TableContents"/>
              <w:bidi w:val="0"/>
              <w:spacing w:before="0" w:after="283"/>
              <w:jc w:val="left"/>
              <w:rPr>
                <w:sz w:val="20"/>
              </w:rPr>
            </w:pPr>
            <w:r>
              <w:rPr>
                <w:sz w:val="20"/>
              </w:rPr>
              <w:t>)</w:t>
            </w:r>
          </w:p>
        </w:tc>
        <w:tc>
          <w:tcPr>
            <w:tcW w:w="18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right"/>
              <w:rPr/>
            </w:pPr>
            <w:r>
              <w:rPr/>
              <w:t> </w:t>
            </w:r>
          </w:p>
        </w:tc>
        <w:tc>
          <w:tcPr>
            <w:tcW w:w="342" w:type="dxa"/>
            <w:tcBorders/>
            <w:shd w:fill="CCEEFF" w:val="clear"/>
            <w:vAlign w:val="bottom"/>
          </w:tcPr>
          <w:p>
            <w:pPr>
              <w:pStyle w:val="TableContents"/>
              <w:bidi w:val="0"/>
              <w:spacing w:before="0" w:after="283"/>
              <w:jc w:val="left"/>
              <w:rPr/>
            </w:pPr>
            <w:r>
              <w:rPr/>
              <w:t> </w:t>
            </w:r>
          </w:p>
        </w:tc>
        <w:tc>
          <w:tcPr>
            <w:tcW w:w="458" w:type="dxa"/>
            <w:tcBorders/>
            <w:shd w:fill="CCEEFF" w:val="clear"/>
            <w:vAlign w:val="bottom"/>
          </w:tcPr>
          <w:p>
            <w:pPr>
              <w:pStyle w:val="TableContents"/>
              <w:bidi w:val="0"/>
              <w:spacing w:before="0" w:after="283"/>
              <w:jc w:val="right"/>
              <w:rPr>
                <w:sz w:val="20"/>
              </w:rPr>
            </w:pPr>
            <w:r>
              <w:rPr>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sz w:val="20"/>
              </w:rPr>
            </w:pPr>
            <w:r>
              <w:rPr>
                <w:sz w:val="20"/>
              </w:rPr>
              <w:t>120,082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42" w:type="dxa"/>
            <w:tcBorders/>
            <w:shd w:fill="CCEEFF" w:val="clear"/>
            <w:vAlign w:val="bottom"/>
          </w:tcPr>
          <w:p>
            <w:pPr>
              <w:pStyle w:val="TableContents"/>
              <w:bidi w:val="0"/>
              <w:spacing w:before="0" w:after="283"/>
              <w:jc w:val="left"/>
              <w:rPr/>
            </w:pPr>
            <w:r>
              <w:rPr/>
              <w:t> </w:t>
            </w:r>
          </w:p>
        </w:tc>
        <w:tc>
          <w:tcPr>
            <w:tcW w:w="458" w:type="dxa"/>
            <w:tcBorders/>
            <w:shd w:fill="CCEEFF" w:val="clear"/>
            <w:vAlign w:val="bottom"/>
          </w:tcPr>
          <w:p>
            <w:pPr>
              <w:pStyle w:val="TableContents"/>
              <w:bidi w:val="0"/>
              <w:spacing w:before="0" w:after="283"/>
              <w:jc w:val="right"/>
              <w:rPr>
                <w:sz w:val="20"/>
              </w:rPr>
            </w:pPr>
            <w:r>
              <w:rPr>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81" w:type="dxa"/>
            <w:tcBorders/>
            <w:shd w:fill="CCEEFF" w:val="clear"/>
            <w:vAlign w:val="bottom"/>
          </w:tcPr>
          <w:p>
            <w:pPr>
              <w:pStyle w:val="TableContents"/>
              <w:bidi w:val="0"/>
              <w:spacing w:before="0" w:after="283"/>
              <w:jc w:val="left"/>
              <w:rPr/>
            </w:pPr>
            <w:r>
              <w:rPr/>
              <w:t> </w:t>
            </w:r>
          </w:p>
        </w:tc>
        <w:tc>
          <w:tcPr>
            <w:tcW w:w="1154" w:type="dxa"/>
            <w:tcBorders/>
            <w:shd w:fill="CCEEFF" w:val="clear"/>
            <w:vAlign w:val="bottom"/>
          </w:tcPr>
          <w:p>
            <w:pPr>
              <w:pStyle w:val="TableContents"/>
              <w:bidi w:val="0"/>
              <w:spacing w:before="0" w:after="0"/>
              <w:jc w:val="right"/>
              <w:rPr>
                <w:color w:val="000000"/>
                <w:sz w:val="20"/>
              </w:rPr>
            </w:pPr>
            <w:r>
              <w:rPr>
                <w:color w:val="000000"/>
                <w:sz w:val="20"/>
              </w:rPr>
              <w:t>1,435,360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5" w:type="dxa"/>
            <w:tcBorders/>
            <w:shd w:fill="CCEEFF" w:val="clear"/>
            <w:vAlign w:val="bottom"/>
          </w:tcPr>
          <w:p>
            <w:pPr>
              <w:pStyle w:val="TableContents"/>
              <w:bidi w:val="0"/>
              <w:spacing w:before="0" w:after="283"/>
              <w:jc w:val="left"/>
              <w:rPr/>
            </w:pPr>
            <w:r>
              <w:rPr/>
              <w:t> </w:t>
            </w:r>
          </w:p>
        </w:tc>
        <w:tc>
          <w:tcPr>
            <w:tcW w:w="62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229"/>
        <w:gridCol w:w="9938"/>
      </w:tblGrid>
      <w:tr>
        <w:trPr/>
        <w:tc>
          <w:tcPr>
            <w:tcW w:w="38" w:type="dxa"/>
            <w:tcBorders/>
            <w:vAlign w:val="center"/>
          </w:tcPr>
          <w:p>
            <w:pPr>
              <w:pStyle w:val="TableContents"/>
              <w:bidi w:val="0"/>
              <w:spacing w:before="0" w:after="283"/>
              <w:jc w:val="left"/>
              <w:rPr/>
            </w:pPr>
            <w:r>
              <w:rPr/>
            </w:r>
          </w:p>
        </w:tc>
        <w:tc>
          <w:tcPr>
            <w:tcW w:w="229"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(A)</w:t>
            </w:r>
          </w:p>
        </w:tc>
        <w:tc>
          <w:tcPr>
            <w:tcW w:w="9938"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If any award or grant under the 2023 Plan (including LTIP-OP Units) expires, is forfeited or is terminated without having been exercised or is paid in cash without a requirement for the delivery of common stock, then any common stock covered by such lapsed, cancelled, expired, unexercised or cash-settled portion of such award or grant and any forfeited, lapsed, cancelled or expired LTIP-OP Units will be available for the grant or settlement of other awards under the 2023 Plan.</w:t>
            </w:r>
          </w:p>
        </w:tc>
      </w:tr>
    </w:tbl>
    <w:tbl>
      <w:tblPr>
        <w:tblW w:w="10205" w:type="dxa"/>
        <w:jc w:val="left"/>
        <w:tblInd w:w="0" w:type="dxa"/>
        <w:tblLayout w:type="fixed"/>
        <w:tblCellMar>
          <w:top w:w="0" w:type="dxa"/>
          <w:left w:w="0" w:type="dxa"/>
          <w:bottom w:w="0" w:type="dxa"/>
          <w:right w:w="0" w:type="dxa"/>
        </w:tblCellMar>
      </w:tblPr>
      <w:tblGrid>
        <w:gridCol w:w="38"/>
        <w:gridCol w:w="237"/>
        <w:gridCol w:w="9930"/>
      </w:tblGrid>
      <w:tr>
        <w:trPr/>
        <w:tc>
          <w:tcPr>
            <w:tcW w:w="38" w:type="dxa"/>
            <w:tcBorders/>
            <w:vAlign w:val="center"/>
          </w:tcPr>
          <w:p>
            <w:pPr>
              <w:pStyle w:val="TableContents"/>
              <w:bidi w:val="0"/>
              <w:spacing w:before="0" w:after="283"/>
              <w:jc w:val="left"/>
              <w:rPr/>
            </w:pPr>
            <w:r>
              <w:rPr/>
            </w:r>
          </w:p>
        </w:tc>
        <w:tc>
          <w:tcPr>
            <w:tcW w:w="237"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(B)</w:t>
            </w:r>
          </w:p>
        </w:tc>
        <w:tc>
          <w:tcPr>
            <w:tcW w:w="993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Any shares of common stock tendered or withheld to satisfy the grant or exercise price or tax withholding obligation pursuant to any award reduces the number of shares of common stock available under the 2023 Plan and those shares will not be available for future grants or awards under the 2023 Plan.</w:t>
            </w:r>
          </w:p>
        </w:tc>
      </w:tr>
    </w:tbl>
    <w:tbl>
      <w:tblPr>
        <w:tblW w:w="6183" w:type="dxa"/>
        <w:jc w:val="left"/>
        <w:tblInd w:w="0" w:type="dxa"/>
        <w:tblLayout w:type="fixed"/>
        <w:tblCellMar>
          <w:top w:w="0" w:type="dxa"/>
          <w:left w:w="0" w:type="dxa"/>
          <w:bottom w:w="0" w:type="dxa"/>
          <w:right w:w="0" w:type="dxa"/>
        </w:tblCellMar>
      </w:tblPr>
      <w:tblGrid>
        <w:gridCol w:w="38"/>
        <w:gridCol w:w="275"/>
        <w:gridCol w:w="5870"/>
      </w:tblGrid>
      <w:tr>
        <w:trPr/>
        <w:tc>
          <w:tcPr>
            <w:tcW w:w="38" w:type="dxa"/>
            <w:tcBorders/>
            <w:vAlign w:val="center"/>
          </w:tcPr>
          <w:p>
            <w:pPr>
              <w:pStyle w:val="TableContents"/>
              <w:bidi w:val="0"/>
              <w:spacing w:before="0" w:after="283"/>
              <w:jc w:val="left"/>
              <w:rPr/>
            </w:pPr>
            <w:r>
              <w:rPr/>
            </w:r>
          </w:p>
        </w:tc>
        <w:tc>
          <w:tcPr>
            <w:tcW w:w="27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(C)</w:t>
            </w:r>
          </w:p>
        </w:tc>
        <w:tc>
          <w:tcPr>
            <w:tcW w:w="587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Subject to forfeiture in certain circumstances prior to February 10, 2027.</w:t>
            </w:r>
          </w:p>
        </w:tc>
      </w:tr>
    </w:tbl>
    <w:tbl>
      <w:tblPr>
        <w:tblW w:w="6738" w:type="dxa"/>
        <w:jc w:val="left"/>
        <w:tblInd w:w="0" w:type="dxa"/>
        <w:tblLayout w:type="fixed"/>
        <w:tblCellMar>
          <w:top w:w="0" w:type="dxa"/>
          <w:left w:w="0" w:type="dxa"/>
          <w:bottom w:w="0" w:type="dxa"/>
          <w:right w:w="0" w:type="dxa"/>
        </w:tblCellMar>
      </w:tblPr>
      <w:tblGrid>
        <w:gridCol w:w="38"/>
        <w:gridCol w:w="275"/>
        <w:gridCol w:w="6425"/>
      </w:tblGrid>
      <w:tr>
        <w:trPr/>
        <w:tc>
          <w:tcPr>
            <w:tcW w:w="38" w:type="dxa"/>
            <w:tcBorders/>
            <w:vAlign w:val="center"/>
          </w:tcPr>
          <w:p>
            <w:pPr>
              <w:pStyle w:val="TableContents"/>
              <w:bidi w:val="0"/>
              <w:spacing w:before="0" w:after="283"/>
              <w:jc w:val="left"/>
              <w:rPr/>
            </w:pPr>
            <w:r>
              <w:rPr/>
            </w:r>
          </w:p>
        </w:tc>
        <w:tc>
          <w:tcPr>
            <w:tcW w:w="27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(D)</w:t>
            </w:r>
          </w:p>
        </w:tc>
        <w:tc>
          <w:tcPr>
            <w:tcW w:w="6425" w:type="dxa"/>
            <w:tcBorders/>
            <w:vAlign w:val="center"/>
          </w:tcPr>
          <w:p>
            <w:pPr>
              <w:pStyle w:val="TableContents"/>
              <w:bidi w:val="0"/>
              <w:spacing w:before="0" w:after="283"/>
              <w:jc w:val="both"/>
              <w:rPr/>
            </w:pPr>
            <w:r>
              <w:rPr/>
              <w:t>Subject to forfeiture in certain circumstances prior to June 15, 2027.</w:t>
            </w:r>
          </w:p>
        </w:tc>
      </w:tr>
    </w:tbl>
    <w:tbl>
      <w:tblPr>
        <w:tblW w:w="6783" w:type="dxa"/>
        <w:jc w:val="left"/>
        <w:tblInd w:w="0" w:type="dxa"/>
        <w:tblLayout w:type="fixed"/>
        <w:tblCellMar>
          <w:top w:w="0" w:type="dxa"/>
          <w:left w:w="0" w:type="dxa"/>
          <w:bottom w:w="0" w:type="dxa"/>
          <w:right w:w="0" w:type="dxa"/>
        </w:tblCellMar>
      </w:tblPr>
      <w:tblGrid>
        <w:gridCol w:w="38"/>
        <w:gridCol w:w="260"/>
        <w:gridCol w:w="6485"/>
      </w:tblGrid>
      <w:tr>
        <w:trPr/>
        <w:tc>
          <w:tcPr>
            <w:tcW w:w="38" w:type="dxa"/>
            <w:tcBorders/>
            <w:vAlign w:val="center"/>
          </w:tcPr>
          <w:p>
            <w:pPr>
              <w:pStyle w:val="TableContents"/>
              <w:bidi w:val="0"/>
              <w:spacing w:before="0" w:after="283"/>
              <w:jc w:val="left"/>
              <w:rPr/>
            </w:pPr>
            <w:r>
              <w:rPr/>
            </w:r>
          </w:p>
        </w:tc>
        <w:tc>
          <w:tcPr>
            <w:tcW w:w="26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(E)</w:t>
            </w:r>
          </w:p>
        </w:tc>
        <w:tc>
          <w:tcPr>
            <w:tcW w:w="6485" w:type="dxa"/>
            <w:tcBorders/>
            <w:vAlign w:val="center"/>
          </w:tcPr>
          <w:p>
            <w:pPr>
              <w:pStyle w:val="TableContents"/>
              <w:bidi w:val="0"/>
              <w:spacing w:before="0" w:after="283"/>
              <w:jc w:val="both"/>
              <w:rPr/>
            </w:pPr>
            <w:r>
              <w:rPr/>
              <w:t>Subject to forfeiture in certain circumstances prior to April 21, 2029.</w:t>
            </w:r>
          </w:p>
        </w:tc>
      </w:tr>
    </w:tbl>
    <w:tbl>
      <w:tblPr>
        <w:tblW w:w="10205" w:type="dxa"/>
        <w:jc w:val="left"/>
        <w:tblInd w:w="0" w:type="dxa"/>
        <w:tblLayout w:type="fixed"/>
        <w:tblCellMar>
          <w:top w:w="0" w:type="dxa"/>
          <w:left w:w="0" w:type="dxa"/>
          <w:bottom w:w="0" w:type="dxa"/>
          <w:right w:w="0" w:type="dxa"/>
        </w:tblCellMar>
      </w:tblPr>
      <w:tblGrid>
        <w:gridCol w:w="38"/>
        <w:gridCol w:w="231"/>
        <w:gridCol w:w="9936"/>
      </w:tblGrid>
      <w:tr>
        <w:trPr/>
        <w:tc>
          <w:tcPr>
            <w:tcW w:w="38" w:type="dxa"/>
            <w:tcBorders/>
            <w:vAlign w:val="center"/>
          </w:tcPr>
          <w:p>
            <w:pPr>
              <w:pStyle w:val="TableContents"/>
              <w:bidi w:val="0"/>
              <w:spacing w:before="0" w:after="283"/>
              <w:jc w:val="left"/>
              <w:rPr/>
            </w:pPr>
            <w:r>
              <w:rPr/>
            </w:r>
          </w:p>
        </w:tc>
        <w:tc>
          <w:tcPr>
            <w:tcW w:w="231"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(F)</w:t>
            </w:r>
          </w:p>
        </w:tc>
        <w:tc>
          <w:tcPr>
            <w:tcW w:w="9936" w:type="dxa"/>
            <w:tcBorders/>
            <w:vAlign w:val="center"/>
          </w:tcPr>
          <w:p>
            <w:pPr>
              <w:pStyle w:val="TableContents"/>
              <w:bidi w:val="0"/>
              <w:spacing w:before="0" w:after="283"/>
              <w:jc w:val="both"/>
              <w:rPr/>
            </w:pPr>
            <w:r>
              <w:rPr/>
              <w:t>Subject to satisfaction of defined market-based criteria and subject to forfeiture in certain circumstances prior to December 31, 2028.</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 xml:space="preserve">The Company recognized share-based compensation expense of approximately $347,000 and $179,000 </w:t>
      </w:r>
      <w:r>
        <w:rPr>
          <w:rFonts w:ascii="Times New Roman" w:hAnsi="Times New Roman"/>
          <w:b w:val="false"/>
          <w:i w:val="false"/>
          <w:caps w:val="false"/>
          <w:smallCaps w:val="false"/>
          <w:color w:val="000000"/>
          <w:spacing w:val="0"/>
          <w:sz w:val="20"/>
          <w:shd w:fill="FFFFFF" w:val="clear"/>
        </w:rPr>
        <w:t>during the three-month periods ended June 30, 2026 and June 30, 2025, respectively and $543,000 and $357,000 during the six-month periods ended June 30, 2026 and June 30, 2025, respectively. There was approximately</w:t>
      </w:r>
      <w:r>
        <w:rPr>
          <w:rFonts w:ascii="Times New Roman" w:hAnsi="Times New Roman"/>
          <w:color w:val="000000"/>
          <w:sz w:val="20"/>
          <w:shd w:fill="FFFFFF" w:val="clear"/>
        </w:rPr>
        <w:t xml:space="preserve"> $2.5 million of total unrecognized share-based compensation expense </w:t>
      </w:r>
      <w:r>
        <w:rPr>
          <w:rFonts w:ascii="Times New Roman" w:hAnsi="Times New Roman"/>
          <w:b w:val="false"/>
          <w:i w:val="false"/>
          <w:caps w:val="false"/>
          <w:smallCaps w:val="false"/>
          <w:color w:val="000000"/>
          <w:spacing w:val="0"/>
          <w:sz w:val="20"/>
          <w:shd w:fill="FFFFFF" w:val="clear"/>
        </w:rPr>
        <w:t>as of June 30, 2026,</w:t>
      </w:r>
      <w:r>
        <w:rPr>
          <w:rFonts w:ascii="Times New Roman" w:hAnsi="Times New Roman"/>
          <w:color w:val="000000"/>
          <w:sz w:val="20"/>
          <w:shd w:fill="FFFFFF" w:val="clear"/>
        </w:rPr>
        <w:t xml:space="preserve"> which was related to unvested LTIP-OP Units, directors compensation paid in stock subject to forfeiture and unvested RSUs. This unrecognized share-based compensation expense is expected to be recognized ratably over the remaining vesting period of up to three years. The aggregate expense related to the LTIP-OP Unit grants and the RSUs is presented within “Compensation and benefits” in the Company’s consolidated statements of income (loss). </w:t>
      </w:r>
    </w:p>
    <w:p>
      <w:pPr>
        <w:pStyle w:val="TextBody"/>
        <w:bidi w:val="0"/>
        <w:spacing w:before="0" w:after="0"/>
        <w:jc w:val="both"/>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28</w:t>
      </w:r>
    </w:p>
    <w:p>
      <w:pPr>
        <w:pStyle w:val="HorizontalLine"/>
        <w:bidi w:val="0"/>
        <w:spacing w:before="200" w:after="200"/>
        <w:jc w:val="both"/>
        <w:rPr/>
      </w:pPr>
      <w:r>
        <w:rPr/>
      </w:r>
    </w:p>
    <w:p>
      <w:pPr>
        <w:pStyle w:val="TextBody"/>
        <w:bidi w:val="0"/>
        <w:spacing w:before="200" w:after="200"/>
        <w:jc w:val="both"/>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Non-Controlling Interests in Operating Partnership</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Non-controlling interests in the Operating Partnership in the accompanying consolidated financial statements relate to LTIP-OP Units and OP Units issued upon conversion of LTIP-OP Units, in either case, held by parties other than the Company.</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 xml:space="preserve">As of </w:t>
      </w:r>
      <w:r>
        <w:rPr>
          <w:rFonts w:ascii="Times New Roman" w:hAnsi="Times New Roman"/>
          <w:b w:val="false"/>
          <w:i w:val="false"/>
          <w:caps w:val="false"/>
          <w:smallCaps w:val="false"/>
          <w:color w:val="000000"/>
          <w:spacing w:val="0"/>
          <w:sz w:val="20"/>
          <w:shd w:fill="FFFFFF" w:val="clear"/>
        </w:rPr>
        <w:t>June 30, 2026,</w:t>
      </w:r>
      <w:r>
        <w:rPr>
          <w:rFonts w:ascii="Times New Roman" w:hAnsi="Times New Roman"/>
          <w:color w:val="000000"/>
          <w:sz w:val="20"/>
          <w:shd w:fill="FFFFFF" w:val="clear"/>
        </w:rPr>
        <w:t xml:space="preserve"> the non-controlling interest holders in the Operating Partnership owned 531,712 LTIP-OP Units, or approximately 1.45% of the units of the Operating Partnership. Pursuant to ASC 810, </w:t>
      </w:r>
      <w:r>
        <w:rPr>
          <w:rFonts w:ascii="Times New Roman" w:hAnsi="Times New Roman"/>
          <w:i/>
          <w:color w:val="000000"/>
          <w:sz w:val="20"/>
          <w:shd w:fill="FFFFFF" w:val="clear"/>
        </w:rPr>
        <w:t>Consolidation</w:t>
      </w:r>
      <w:r>
        <w:rPr>
          <w:rFonts w:ascii="Times New Roman" w:hAnsi="Times New Roman"/>
          <w:color w:val="000000"/>
          <w:sz w:val="20"/>
          <w:shd w:fill="FFFFFF" w:val="clear"/>
        </w:rPr>
        <w:t>, changes in a parent’s ownership interest (and transactions with non-controlling interest unit holders in the Operating Partnership) while the parent retains its controlling interest in its subsidiary should be accounted for as equity transactions. The carrying amount of the non-controlling interest will be adjusted to reflect the change in its ownership interest in the subsidiary, with the offset to equity attributable to the Company.</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Earnings per Common Share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 xml:space="preserve">The Company is required to present both basic and diluted earnings per common share (“EPS”). Basic EPS is calculated by dividing net income applicable to common stockholders by the weighted average number of shares of common stock outstanding during each period. Diluted EPS is calculated by dividing net income applicable to common stockholders by the weighted average number of shares of common stock outstanding plus the additional dilutive effect of common stock equivalents during each period. In accordance with ASC 260, </w:t>
      </w:r>
      <w:r>
        <w:rPr>
          <w:rFonts w:ascii="Times New Roman" w:hAnsi="Times New Roman"/>
          <w:i/>
          <w:color w:val="000000"/>
          <w:sz w:val="20"/>
          <w:shd w:fill="FFFFFF" w:val="clear"/>
        </w:rPr>
        <w:t>Earnings Per Share</w:t>
      </w:r>
      <w:r>
        <w:rPr>
          <w:rFonts w:ascii="Times New Roman" w:hAnsi="Times New Roman"/>
          <w:color w:val="000000"/>
          <w:sz w:val="20"/>
          <w:shd w:fill="FFFFFF" w:val="clear"/>
        </w:rPr>
        <w:t>, if there is a loss from continuing operations, the common stock equivalents are deemed anti-dilutive and earnings (loss) per share is calculated excluding the potential common shares.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sz w:val="20"/>
        </w:rPr>
      </w:pPr>
      <w:r>
        <w:rPr>
          <w:rFonts w:ascii="Times New Roman" w:hAnsi="Times New Roman"/>
          <w:sz w:val="20"/>
        </w:rPr>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The following table presents basic and diluted earnings per share of common stock for the periods indicated (dollars in thousands, except per share data):</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Earnings per Common Share Information</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4625"/>
        <w:gridCol w:w="60"/>
        <w:gridCol w:w="140"/>
        <w:gridCol w:w="1100"/>
        <w:gridCol w:w="80"/>
        <w:gridCol w:w="60"/>
        <w:gridCol w:w="140"/>
        <w:gridCol w:w="1100"/>
        <w:gridCol w:w="95"/>
        <w:gridCol w:w="60"/>
        <w:gridCol w:w="140"/>
        <w:gridCol w:w="1100"/>
        <w:gridCol w:w="95"/>
        <w:gridCol w:w="60"/>
        <w:gridCol w:w="140"/>
        <w:gridCol w:w="1100"/>
        <w:gridCol w:w="110"/>
      </w:tblGrid>
      <w:tr>
        <w:trPr/>
        <w:tc>
          <w:tcPr>
            <w:tcW w:w="4625" w:type="dxa"/>
            <w:tcBorders/>
            <w:vAlign w:val="bottom"/>
          </w:tcPr>
          <w:p>
            <w:pPr>
              <w:pStyle w:val="TableContents"/>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2620"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Three Months Ended June 30,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5"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Six Months Ended June 30,</w:t>
            </w:r>
          </w:p>
        </w:tc>
        <w:tc>
          <w:tcPr>
            <w:tcW w:w="110" w:type="dxa"/>
            <w:tcBorders/>
            <w:vAlign w:val="bottom"/>
          </w:tcPr>
          <w:p>
            <w:pPr>
              <w:pStyle w:val="TableContents"/>
              <w:bidi w:val="0"/>
              <w:spacing w:before="0" w:after="283"/>
              <w:jc w:val="left"/>
              <w:rPr/>
            </w:pPr>
            <w:r>
              <w:rPr/>
              <w:t> </w:t>
            </w:r>
          </w:p>
        </w:tc>
      </w:tr>
      <w:tr>
        <w:trPr/>
        <w:tc>
          <w:tcPr>
            <w:tcW w:w="4625" w:type="dxa"/>
            <w:tcBorders/>
            <w:vAlign w:val="bottom"/>
          </w:tcPr>
          <w:p>
            <w:pPr>
              <w:pStyle w:val="TableContents"/>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2025</w:t>
            </w:r>
          </w:p>
        </w:tc>
        <w:tc>
          <w:tcPr>
            <w:tcW w:w="110" w:type="dxa"/>
            <w:tcBorders/>
            <w:vAlign w:val="bottom"/>
          </w:tcPr>
          <w:p>
            <w:pPr>
              <w:pStyle w:val="TableContents"/>
              <w:bidi w:val="0"/>
              <w:spacing w:before="0" w:after="283"/>
              <w:jc w:val="left"/>
              <w:rPr/>
            </w:pPr>
            <w:r>
              <w:rPr/>
              <w:t> </w:t>
            </w:r>
          </w:p>
        </w:tc>
      </w:tr>
      <w:tr>
        <w:trPr/>
        <w:tc>
          <w:tcPr>
            <w:tcW w:w="4625" w:type="dxa"/>
            <w:tcBorders/>
            <w:shd w:fill="CCEEFF" w:val="clear"/>
            <w:vAlign w:val="bottom"/>
          </w:tcPr>
          <w:p>
            <w:pPr>
              <w:pStyle w:val="TableContents"/>
              <w:bidi w:val="0"/>
              <w:spacing w:before="0" w:after="0"/>
              <w:ind w:left="180" w:right="0" w:hanging="180"/>
              <w:jc w:val="left"/>
              <w:rPr>
                <w:rFonts w:ascii="Times New Roman" w:hAnsi="Times New Roman"/>
                <w:b/>
                <w:sz w:val="20"/>
              </w:rPr>
            </w:pPr>
            <w:r>
              <w:rPr>
                <w:rFonts w:ascii="Times New Roman" w:hAnsi="Times New Roman"/>
                <w:b/>
                <w:sz w:val="20"/>
              </w:rPr>
              <w:t>Numerator:</w:t>
            </w:r>
          </w:p>
        </w:tc>
        <w:tc>
          <w:tcPr>
            <w:tcW w:w="60" w:type="dxa"/>
            <w:tcBorders/>
            <w:shd w:fill="CCEEFF" w:val="clear"/>
            <w:vAlign w:val="bottom"/>
          </w:tcPr>
          <w:p>
            <w:pPr>
              <w:pStyle w:val="TableContents"/>
              <w:bidi w:val="0"/>
              <w:spacing w:before="0" w:after="283"/>
              <w:jc w:val="left"/>
              <w:rPr/>
            </w:pPr>
            <w:r>
              <w:rPr/>
              <w:t> </w:t>
            </w:r>
          </w:p>
        </w:tc>
        <w:tc>
          <w:tcPr>
            <w:tcW w:w="1240" w:type="dxa"/>
            <w:gridSpan w:val="2"/>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40" w:type="dxa"/>
            <w:gridSpan w:val="2"/>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40" w:type="dxa"/>
            <w:gridSpan w:val="2"/>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40" w:type="dxa"/>
            <w:gridSpan w:val="2"/>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r>
      <w:tr>
        <w:trPr/>
        <w:tc>
          <w:tcPr>
            <w:tcW w:w="4625" w:type="dxa"/>
            <w:tcBorders/>
            <w:vAlign w:val="bottom"/>
          </w:tcPr>
          <w:p>
            <w:pPr>
              <w:pStyle w:val="TableContents"/>
              <w:bidi w:val="0"/>
              <w:spacing w:before="0" w:after="0"/>
              <w:ind w:left="540" w:right="0" w:hanging="360"/>
              <w:jc w:val="left"/>
              <w:rPr>
                <w:rFonts w:ascii="Times New Roman" w:hAnsi="Times New Roman"/>
                <w:sz w:val="20"/>
              </w:rPr>
            </w:pPr>
            <w:r>
              <w:rPr>
                <w:rFonts w:ascii="Times New Roman" w:hAnsi="Times New Roman"/>
                <w:sz w:val="20"/>
              </w:rPr>
              <w:t>Net income (loss)</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0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3,794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0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1,561</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0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4,223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0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(5,431</w:t>
            </w:r>
          </w:p>
        </w:tc>
        <w:tc>
          <w:tcPr>
            <w:tcW w:w="11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4625" w:type="dxa"/>
            <w:tcBorders/>
            <w:shd w:fill="CCEEFF" w:val="clear"/>
            <w:vAlign w:val="bottom"/>
          </w:tcPr>
          <w:p>
            <w:pPr>
              <w:pStyle w:val="TableContents"/>
              <w:bidi w:val="0"/>
              <w:spacing w:before="0" w:after="0"/>
              <w:ind w:left="540" w:right="0" w:hanging="360"/>
              <w:jc w:val="left"/>
              <w:rPr/>
            </w:pPr>
            <w:r>
              <w:rPr/>
              <w:t>Net (income) loss allocated to noncontrolling interests in Operating Partnership</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(55</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(34</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(61</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99</w:t>
            </w:r>
          </w:p>
        </w:tc>
        <w:tc>
          <w:tcPr>
            <w:tcW w:w="110" w:type="dxa"/>
            <w:tcBorders/>
            <w:shd w:fill="CCEEFF" w:val="clear"/>
            <w:vAlign w:val="bottom"/>
          </w:tcPr>
          <w:p>
            <w:pPr>
              <w:pStyle w:val="TableContents"/>
              <w:bidi w:val="0"/>
              <w:spacing w:before="0" w:after="283"/>
              <w:jc w:val="left"/>
              <w:rPr/>
            </w:pPr>
            <w:r>
              <w:rPr/>
              <w:t> </w:t>
            </w:r>
          </w:p>
        </w:tc>
      </w:tr>
      <w:tr>
        <w:trPr/>
        <w:tc>
          <w:tcPr>
            <w:tcW w:w="4625" w:type="dxa"/>
            <w:tcBorders/>
            <w:vAlign w:val="bottom"/>
          </w:tcPr>
          <w:p>
            <w:pPr>
              <w:pStyle w:val="TableContents"/>
              <w:bidi w:val="0"/>
              <w:spacing w:before="0" w:after="0"/>
              <w:ind w:left="540" w:right="0" w:hanging="360"/>
              <w:jc w:val="left"/>
              <w:rPr>
                <w:rFonts w:ascii="Times New Roman" w:hAnsi="Times New Roman"/>
                <w:sz w:val="20"/>
              </w:rPr>
            </w:pPr>
            <w:r>
              <w:rPr>
                <w:rFonts w:ascii="Times New Roman" w:hAnsi="Times New Roman"/>
                <w:sz w:val="20"/>
              </w:rPr>
              <w:t>Dividends on preferred stock</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(2,403</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(2,462</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(4,794</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(4,916</w:t>
            </w:r>
          </w:p>
        </w:tc>
        <w:tc>
          <w:tcPr>
            <w:tcW w:w="11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4625" w:type="dxa"/>
            <w:tcBorders/>
            <w:shd w:fill="CCEEFF" w:val="clear"/>
            <w:vAlign w:val="bottom"/>
          </w:tcPr>
          <w:p>
            <w:pPr>
              <w:pStyle w:val="TableContents"/>
              <w:bidi w:val="0"/>
              <w:spacing w:before="0" w:after="0"/>
              <w:ind w:left="18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Gain (loss) on repurchase and retirement of preferred stock</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w:t>
            </w:r>
          </w:p>
        </w:tc>
        <w:tc>
          <w:tcPr>
            <w:tcW w:w="110" w:type="dxa"/>
            <w:tcBorders/>
            <w:shd w:fill="CCEEFF" w:val="clear"/>
            <w:vAlign w:val="bottom"/>
          </w:tcPr>
          <w:p>
            <w:pPr>
              <w:pStyle w:val="TableContents"/>
              <w:bidi w:val="0"/>
              <w:spacing w:before="0" w:after="283"/>
              <w:jc w:val="left"/>
              <w:rPr/>
            </w:pPr>
            <w:r>
              <w:rPr/>
              <w:t> </w:t>
            </w:r>
          </w:p>
        </w:tc>
      </w:tr>
      <w:tr>
        <w:trPr/>
        <w:tc>
          <w:tcPr>
            <w:tcW w:w="4625" w:type="dxa"/>
            <w:tcBorders/>
            <w:vAlign w:val="bottom"/>
          </w:tcPr>
          <w:p>
            <w:pPr>
              <w:pStyle w:val="TableContents"/>
              <w:bidi w:val="0"/>
              <w:spacing w:before="0" w:after="0"/>
              <w:ind w:left="180" w:right="0" w:firstLine="195"/>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Net income allocated to participating securities</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00" w:type="dxa"/>
            <w:tcBorders>
              <w:bottom w:val="single" w:sz="12" w:space="0" w:color="000000"/>
            </w:tcBorders>
            <w:tcMar>
              <w:bottom w:w="28" w:type="dxa"/>
            </w:tcMar>
            <w:vAlign w:val="bottom"/>
          </w:tcPr>
          <w:p>
            <w:pPr>
              <w:pStyle w:val="TableContents"/>
              <w:bidi w:val="0"/>
              <w:spacing w:before="0" w:after="283"/>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00" w:type="dxa"/>
            <w:tcBorders>
              <w:bottom w:val="single" w:sz="12" w:space="0" w:color="000000"/>
            </w:tcBorders>
            <w:tcMar>
              <w:bottom w:w="28" w:type="dxa"/>
            </w:tcMar>
            <w:vAlign w:val="bottom"/>
          </w:tcPr>
          <w:p>
            <w:pPr>
              <w:pStyle w:val="TableContents"/>
              <w:bidi w:val="0"/>
              <w:spacing w:before="0" w:after="283"/>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00" w:type="dxa"/>
            <w:tcBorders>
              <w:bottom w:val="single" w:sz="12" w:space="0" w:color="000000"/>
            </w:tcBorders>
            <w:tcMar>
              <w:bottom w:w="28" w:type="dxa"/>
            </w:tcMar>
            <w:vAlign w:val="bottom"/>
          </w:tcPr>
          <w:p>
            <w:pPr>
              <w:pStyle w:val="TableContents"/>
              <w:bidi w:val="0"/>
              <w:spacing w:before="0" w:after="283"/>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00" w:type="dxa"/>
            <w:tcBorders>
              <w:bottom w:val="single" w:sz="12" w:space="0" w:color="000000"/>
            </w:tcBorders>
            <w:tcMar>
              <w:bottom w:w="28" w:type="dxa"/>
            </w:tcMar>
            <w:vAlign w:val="bottom"/>
          </w:tcPr>
          <w:p>
            <w:pPr>
              <w:pStyle w:val="TableContents"/>
              <w:bidi w:val="0"/>
              <w:spacing w:before="0" w:after="283"/>
              <w:jc w:val="right"/>
              <w:rPr/>
            </w:pPr>
            <w:r>
              <w:rPr/>
              <w:t>-</w:t>
            </w:r>
          </w:p>
        </w:tc>
        <w:tc>
          <w:tcPr>
            <w:tcW w:w="110" w:type="dxa"/>
            <w:tcBorders/>
            <w:vAlign w:val="bottom"/>
          </w:tcPr>
          <w:p>
            <w:pPr>
              <w:pStyle w:val="TableContents"/>
              <w:bidi w:val="0"/>
              <w:spacing w:before="0" w:after="283"/>
              <w:jc w:val="left"/>
              <w:rPr/>
            </w:pPr>
            <w:r>
              <w:rPr/>
              <w:t> </w:t>
            </w:r>
          </w:p>
        </w:tc>
      </w:tr>
      <w:tr>
        <w:trPr/>
        <w:tc>
          <w:tcPr>
            <w:tcW w:w="4625" w:type="dxa"/>
            <w:tcBorders/>
            <w:shd w:fill="CCEEFF" w:val="clear"/>
            <w:vAlign w:val="bottom"/>
          </w:tcPr>
          <w:p>
            <w:pPr>
              <w:pStyle w:val="TableContents"/>
              <w:bidi w:val="0"/>
              <w:spacing w:before="0" w:after="0"/>
              <w:ind w:left="360" w:right="0" w:hanging="180"/>
              <w:jc w:val="left"/>
              <w:rPr/>
            </w:pPr>
            <w:r>
              <w:rPr/>
              <w:t>Numerator for basic EPS - net income (loss) applicable to common stockholders (A)</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w:t>
            </w:r>
          </w:p>
        </w:tc>
        <w:tc>
          <w:tcPr>
            <w:tcW w:w="1100" w:type="dxa"/>
            <w:tcBorders/>
            <w:shd w:fill="CCEEFF" w:val="clear"/>
            <w:vAlign w:val="bottom"/>
          </w:tcPr>
          <w:p>
            <w:pPr>
              <w:pStyle w:val="TableContents"/>
              <w:bidi w:val="0"/>
              <w:spacing w:before="0" w:after="283"/>
              <w:jc w:val="right"/>
              <w:rPr/>
            </w:pPr>
            <w:r>
              <w:rPr/>
              <w:t>1,336</w:t>
            </w:r>
          </w:p>
        </w:tc>
        <w:tc>
          <w:tcPr>
            <w:tcW w:w="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w:t>
            </w:r>
          </w:p>
        </w:tc>
        <w:tc>
          <w:tcPr>
            <w:tcW w:w="1100" w:type="dxa"/>
            <w:tcBorders/>
            <w:shd w:fill="CCEEFF" w:val="clear"/>
            <w:vAlign w:val="bottom"/>
          </w:tcPr>
          <w:p>
            <w:pPr>
              <w:pStyle w:val="TableContents"/>
              <w:bidi w:val="0"/>
              <w:spacing w:before="0" w:after="283"/>
              <w:jc w:val="right"/>
              <w:rPr/>
            </w:pPr>
            <w:r>
              <w:rPr/>
              <w:t>(935</w:t>
            </w:r>
          </w:p>
        </w:tc>
        <w:tc>
          <w:tcPr>
            <w:tcW w:w="95" w:type="dxa"/>
            <w:tcBorders/>
            <w:shd w:fill="CCEEFF" w:val="clear"/>
            <w:vAlign w:val="bottom"/>
          </w:tcPr>
          <w:p>
            <w:pPr>
              <w:pStyle w:val="TableContents"/>
              <w:bidi w:val="0"/>
              <w:spacing w:before="0" w:after="283"/>
              <w:jc w:val="left"/>
              <w:rPr/>
            </w:pPr>
            <w:r>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w:t>
            </w:r>
          </w:p>
        </w:tc>
        <w:tc>
          <w:tcPr>
            <w:tcW w:w="1100" w:type="dxa"/>
            <w:tcBorders/>
            <w:shd w:fill="CCEEFF" w:val="clear"/>
            <w:vAlign w:val="bottom"/>
          </w:tcPr>
          <w:p>
            <w:pPr>
              <w:pStyle w:val="TableContents"/>
              <w:bidi w:val="0"/>
              <w:spacing w:before="0" w:after="283"/>
              <w:jc w:val="right"/>
              <w:rPr/>
            </w:pPr>
            <w:r>
              <w:rPr/>
              <w:t>(632</w:t>
            </w:r>
          </w:p>
        </w:tc>
        <w:tc>
          <w:tcPr>
            <w:tcW w:w="95" w:type="dxa"/>
            <w:tcBorders/>
            <w:shd w:fill="CCEEFF" w:val="clear"/>
            <w:vAlign w:val="bottom"/>
          </w:tcPr>
          <w:p>
            <w:pPr>
              <w:pStyle w:val="TableContents"/>
              <w:bidi w:val="0"/>
              <w:spacing w:before="0" w:after="283"/>
              <w:jc w:val="left"/>
              <w:rPr/>
            </w:pPr>
            <w:r>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w:t>
            </w:r>
          </w:p>
        </w:tc>
        <w:tc>
          <w:tcPr>
            <w:tcW w:w="1100" w:type="dxa"/>
            <w:tcBorders/>
            <w:shd w:fill="CCEEFF" w:val="clear"/>
            <w:vAlign w:val="bottom"/>
          </w:tcPr>
          <w:p>
            <w:pPr>
              <w:pStyle w:val="TableContents"/>
              <w:bidi w:val="0"/>
              <w:spacing w:before="0" w:after="283"/>
              <w:jc w:val="right"/>
              <w:rPr/>
            </w:pPr>
            <w:r>
              <w:rPr/>
              <w:t>(10,248</w:t>
            </w:r>
          </w:p>
        </w:tc>
        <w:tc>
          <w:tcPr>
            <w:tcW w:w="110" w:type="dxa"/>
            <w:tcBorders/>
            <w:shd w:fill="CCEEFF" w:val="clear"/>
            <w:vAlign w:val="bottom"/>
          </w:tcPr>
          <w:p>
            <w:pPr>
              <w:pStyle w:val="TableContents"/>
              <w:bidi w:val="0"/>
              <w:spacing w:before="0" w:after="283"/>
              <w:jc w:val="left"/>
              <w:rPr/>
            </w:pPr>
            <w:r>
              <w:rPr/>
              <w:t>)</w:t>
            </w:r>
          </w:p>
        </w:tc>
      </w:tr>
      <w:tr>
        <w:trPr/>
        <w:tc>
          <w:tcPr>
            <w:tcW w:w="4625" w:type="dxa"/>
            <w:tcBorders/>
            <w:vAlign w:val="bottom"/>
          </w:tcPr>
          <w:p>
            <w:pPr>
              <w:pStyle w:val="TableContents"/>
              <w:bidi w:val="0"/>
              <w:spacing w:before="0" w:after="0"/>
              <w:ind w:left="360" w:right="0" w:hanging="180"/>
              <w:jc w:val="left"/>
              <w:rPr/>
            </w:pPr>
            <w:r>
              <w:rPr/>
              <w:t>Effect of dilutive securities:</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r>
      <w:tr>
        <w:trPr/>
        <w:tc>
          <w:tcPr>
            <w:tcW w:w="4625" w:type="dxa"/>
            <w:tcBorders/>
            <w:shd w:fill="CCEEFF" w:val="clear"/>
            <w:vAlign w:val="bottom"/>
          </w:tcPr>
          <w:p>
            <w:pPr>
              <w:pStyle w:val="TableContents"/>
              <w:bidi w:val="0"/>
              <w:spacing w:before="0" w:after="0"/>
              <w:ind w:left="360" w:right="0" w:hanging="180"/>
              <w:jc w:val="left"/>
              <w:rPr/>
            </w:pPr>
            <w:r>
              <w:rPr/>
              <w:t>Add back net income allocated to participating securities</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bottom"/>
          </w:tcPr>
          <w:p>
            <w:pPr>
              <w:pStyle w:val="TableContents"/>
              <w:bidi w:val="0"/>
              <w:spacing w:before="0" w:after="283"/>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bottom"/>
          </w:tcPr>
          <w:p>
            <w:pPr>
              <w:pStyle w:val="TableContents"/>
              <w:bidi w:val="0"/>
              <w:spacing w:before="0" w:after="283"/>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bottom"/>
          </w:tcPr>
          <w:p>
            <w:pPr>
              <w:pStyle w:val="TableContents"/>
              <w:bidi w:val="0"/>
              <w:spacing w:before="0" w:after="283"/>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bottom"/>
          </w:tcPr>
          <w:p>
            <w:pPr>
              <w:pStyle w:val="TableContents"/>
              <w:bidi w:val="0"/>
              <w:spacing w:before="0" w:after="283"/>
              <w:jc w:val="right"/>
              <w:rPr/>
            </w:pPr>
            <w:r>
              <w:rPr/>
              <w:t>-</w:t>
            </w:r>
          </w:p>
        </w:tc>
        <w:tc>
          <w:tcPr>
            <w:tcW w:w="110" w:type="dxa"/>
            <w:tcBorders/>
            <w:shd w:fill="CCEEFF" w:val="clear"/>
            <w:vAlign w:val="bottom"/>
          </w:tcPr>
          <w:p>
            <w:pPr>
              <w:pStyle w:val="TableContents"/>
              <w:bidi w:val="0"/>
              <w:spacing w:before="0" w:after="283"/>
              <w:jc w:val="left"/>
              <w:rPr/>
            </w:pPr>
            <w:r>
              <w:rPr/>
              <w:t> </w:t>
            </w:r>
          </w:p>
        </w:tc>
      </w:tr>
      <w:tr>
        <w:trPr/>
        <w:tc>
          <w:tcPr>
            <w:tcW w:w="4625" w:type="dxa"/>
            <w:tcBorders/>
            <w:vAlign w:val="bottom"/>
          </w:tcPr>
          <w:p>
            <w:pPr>
              <w:pStyle w:val="TableContents"/>
              <w:bidi w:val="0"/>
              <w:spacing w:before="0" w:after="0"/>
              <w:ind w:left="360" w:right="0" w:hanging="180"/>
              <w:jc w:val="left"/>
              <w:rPr/>
            </w:pPr>
            <w:r>
              <w:rPr/>
              <w:t>Numerator for diluted EPS - net income (loss) applicable to common stockholders after assumed conversion (C)</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w:t>
            </w:r>
          </w:p>
        </w:tc>
        <w:tc>
          <w:tcPr>
            <w:tcW w:w="1100" w:type="dxa"/>
            <w:tcBorders/>
            <w:vAlign w:val="bottom"/>
          </w:tcPr>
          <w:p>
            <w:pPr>
              <w:pStyle w:val="TableContents"/>
              <w:bidi w:val="0"/>
              <w:spacing w:before="0" w:after="283"/>
              <w:jc w:val="right"/>
              <w:rPr/>
            </w:pPr>
            <w:r>
              <w:rPr/>
              <w:t>1,336</w:t>
            </w:r>
          </w:p>
        </w:tc>
        <w:tc>
          <w:tcPr>
            <w:tcW w:w="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w:t>
            </w:r>
          </w:p>
        </w:tc>
        <w:tc>
          <w:tcPr>
            <w:tcW w:w="1100" w:type="dxa"/>
            <w:tcBorders/>
            <w:vAlign w:val="bottom"/>
          </w:tcPr>
          <w:p>
            <w:pPr>
              <w:pStyle w:val="TableContents"/>
              <w:bidi w:val="0"/>
              <w:spacing w:before="0" w:after="283"/>
              <w:jc w:val="right"/>
              <w:rPr/>
            </w:pPr>
            <w:r>
              <w:rPr/>
              <w:t>(935</w:t>
            </w:r>
          </w:p>
        </w:tc>
        <w:tc>
          <w:tcPr>
            <w:tcW w:w="95" w:type="dxa"/>
            <w:tcBorders/>
            <w:vAlign w:val="bottom"/>
          </w:tcPr>
          <w:p>
            <w:pPr>
              <w:pStyle w:val="TableContents"/>
              <w:bidi w:val="0"/>
              <w:spacing w:before="0" w:after="283"/>
              <w:jc w:val="left"/>
              <w:rPr/>
            </w:pPr>
            <w:r>
              <w:rPr/>
              <w: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w:t>
            </w:r>
          </w:p>
        </w:tc>
        <w:tc>
          <w:tcPr>
            <w:tcW w:w="1100" w:type="dxa"/>
            <w:tcBorders/>
            <w:vAlign w:val="bottom"/>
          </w:tcPr>
          <w:p>
            <w:pPr>
              <w:pStyle w:val="TableContents"/>
              <w:bidi w:val="0"/>
              <w:spacing w:before="0" w:after="283"/>
              <w:jc w:val="right"/>
              <w:rPr/>
            </w:pPr>
            <w:r>
              <w:rPr/>
              <w:t>(632</w:t>
            </w:r>
          </w:p>
        </w:tc>
        <w:tc>
          <w:tcPr>
            <w:tcW w:w="95" w:type="dxa"/>
            <w:tcBorders/>
            <w:vAlign w:val="bottom"/>
          </w:tcPr>
          <w:p>
            <w:pPr>
              <w:pStyle w:val="TableContents"/>
              <w:bidi w:val="0"/>
              <w:spacing w:before="0" w:after="283"/>
              <w:jc w:val="left"/>
              <w:rPr/>
            </w:pPr>
            <w:r>
              <w:rPr/>
              <w: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w:t>
            </w:r>
          </w:p>
        </w:tc>
        <w:tc>
          <w:tcPr>
            <w:tcW w:w="1100" w:type="dxa"/>
            <w:tcBorders/>
            <w:vAlign w:val="bottom"/>
          </w:tcPr>
          <w:p>
            <w:pPr>
              <w:pStyle w:val="TableContents"/>
              <w:bidi w:val="0"/>
              <w:spacing w:before="0" w:after="283"/>
              <w:jc w:val="right"/>
              <w:rPr/>
            </w:pPr>
            <w:r>
              <w:rPr/>
              <w:t>(10,248</w:t>
            </w:r>
          </w:p>
        </w:tc>
        <w:tc>
          <w:tcPr>
            <w:tcW w:w="110" w:type="dxa"/>
            <w:tcBorders/>
            <w:vAlign w:val="bottom"/>
          </w:tcPr>
          <w:p>
            <w:pPr>
              <w:pStyle w:val="TableContents"/>
              <w:bidi w:val="0"/>
              <w:spacing w:before="0" w:after="283"/>
              <w:jc w:val="left"/>
              <w:rPr/>
            </w:pPr>
            <w:r>
              <w:rPr/>
              <w:t>)</w:t>
            </w:r>
          </w:p>
        </w:tc>
      </w:tr>
      <w:tr>
        <w:trPr/>
        <w:tc>
          <w:tcPr>
            <w:tcW w:w="4625" w:type="dxa"/>
            <w:tcBorders/>
            <w:shd w:fill="CCEEFF" w:val="clear"/>
            <w:vAlign w:val="bottom"/>
          </w:tcPr>
          <w:p>
            <w:pPr>
              <w:pStyle w:val="TableContents"/>
              <w:bidi w:val="0"/>
              <w:spacing w:before="0" w:after="0"/>
              <w:ind w:left="180" w:right="0" w:hanging="180"/>
              <w:jc w:val="left"/>
              <w:rPr>
                <w:rFonts w:ascii="Times New Roman" w:hAnsi="Times New Roman"/>
                <w:b/>
                <w:sz w:val="20"/>
              </w:rPr>
            </w:pPr>
            <w:r>
              <w:rPr>
                <w:rFonts w:ascii="Times New Roman" w:hAnsi="Times New Roman"/>
                <w:b/>
                <w:sz w:val="20"/>
              </w:rPr>
              <w:t>Denominator:</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r>
      <w:tr>
        <w:trPr/>
        <w:tc>
          <w:tcPr>
            <w:tcW w:w="4625" w:type="dxa"/>
            <w:tcBorders/>
            <w:vAlign w:val="bottom"/>
          </w:tcPr>
          <w:p>
            <w:pPr>
              <w:pStyle w:val="TableContents"/>
              <w:bidi w:val="0"/>
              <w:spacing w:before="0" w:after="0"/>
              <w:ind w:left="540" w:right="0" w:hanging="360"/>
              <w:jc w:val="left"/>
              <w:rPr>
                <w:rFonts w:ascii="Times New Roman" w:hAnsi="Times New Roman"/>
                <w:sz w:val="20"/>
              </w:rPr>
            </w:pPr>
            <w:r>
              <w:rPr>
                <w:rFonts w:ascii="Times New Roman" w:hAnsi="Times New Roman"/>
                <w:sz w:val="20"/>
              </w:rPr>
              <w:t>Denominator for basic EPS - weighted average common shares (B)</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36,605,698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33,199,712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36,599,393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32,449,353</w:t>
            </w:r>
          </w:p>
        </w:tc>
        <w:tc>
          <w:tcPr>
            <w:tcW w:w="110" w:type="dxa"/>
            <w:tcBorders/>
            <w:vAlign w:val="bottom"/>
          </w:tcPr>
          <w:p>
            <w:pPr>
              <w:pStyle w:val="TableContents"/>
              <w:bidi w:val="0"/>
              <w:spacing w:before="0" w:after="283"/>
              <w:jc w:val="left"/>
              <w:rPr/>
            </w:pPr>
            <w:r>
              <w:rPr/>
              <w:t> </w:t>
            </w:r>
          </w:p>
        </w:tc>
      </w:tr>
      <w:tr>
        <w:trPr/>
        <w:tc>
          <w:tcPr>
            <w:tcW w:w="4625" w:type="dxa"/>
            <w:tcBorders/>
            <w:shd w:fill="CCEEFF" w:val="clear"/>
            <w:vAlign w:val="bottom"/>
          </w:tcPr>
          <w:p>
            <w:pPr>
              <w:pStyle w:val="TableContents"/>
              <w:bidi w:val="0"/>
              <w:spacing w:before="0" w:after="0"/>
              <w:ind w:left="540" w:right="0" w:hanging="360"/>
              <w:jc w:val="left"/>
              <w:rPr/>
            </w:pPr>
            <w:r>
              <w:rPr/>
              <w:t>Effect of dilutive securities: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r>
      <w:tr>
        <w:trPr/>
        <w:tc>
          <w:tcPr>
            <w:tcW w:w="4625" w:type="dxa"/>
            <w:tcBorders/>
            <w:vAlign w:val="bottom"/>
          </w:tcPr>
          <w:p>
            <w:pPr>
              <w:pStyle w:val="TableContents"/>
              <w:bidi w:val="0"/>
              <w:spacing w:before="0" w:after="0"/>
              <w:ind w:left="540" w:right="0" w:hanging="360"/>
              <w:jc w:val="left"/>
              <w:rPr/>
            </w:pPr>
            <w:r>
              <w:rPr/>
              <w:t>Participating restricted stock awards</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121,188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w:t>
            </w:r>
          </w:p>
        </w:tc>
        <w:tc>
          <w:tcPr>
            <w:tcW w:w="110" w:type="dxa"/>
            <w:tcBorders/>
            <w:vAlign w:val="bottom"/>
          </w:tcPr>
          <w:p>
            <w:pPr>
              <w:pStyle w:val="TableContents"/>
              <w:bidi w:val="0"/>
              <w:spacing w:before="0" w:after="283"/>
              <w:jc w:val="left"/>
              <w:rPr/>
            </w:pPr>
            <w:r>
              <w:rPr/>
              <w:t> </w:t>
            </w:r>
          </w:p>
        </w:tc>
      </w:tr>
      <w:tr>
        <w:trPr/>
        <w:tc>
          <w:tcPr>
            <w:tcW w:w="4625" w:type="dxa"/>
            <w:tcBorders/>
            <w:shd w:fill="CCEEFF" w:val="clear"/>
            <w:vAlign w:val="bottom"/>
          </w:tcPr>
          <w:p>
            <w:pPr>
              <w:pStyle w:val="TableContents"/>
              <w:bidi w:val="0"/>
              <w:spacing w:before="0" w:after="0"/>
              <w:ind w:left="180" w:right="0" w:hanging="0"/>
              <w:jc w:val="left"/>
              <w:rPr/>
            </w:pPr>
            <w:r>
              <w:rPr/>
              <w:t xml:space="preserve">Participating restricted stock units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w:t>
            </w:r>
          </w:p>
        </w:tc>
        <w:tc>
          <w:tcPr>
            <w:tcW w:w="110" w:type="dxa"/>
            <w:tcBorders/>
            <w:shd w:fill="CCEEFF" w:val="clear"/>
            <w:vAlign w:val="bottom"/>
          </w:tcPr>
          <w:p>
            <w:pPr>
              <w:pStyle w:val="TableContents"/>
              <w:bidi w:val="0"/>
              <w:spacing w:before="0" w:after="283"/>
              <w:jc w:val="left"/>
              <w:rPr/>
            </w:pPr>
            <w:r>
              <w:rPr/>
              <w:t> </w:t>
            </w:r>
          </w:p>
        </w:tc>
      </w:tr>
      <w:tr>
        <w:trPr/>
        <w:tc>
          <w:tcPr>
            <w:tcW w:w="4625" w:type="dxa"/>
            <w:tcBorders/>
            <w:vAlign w:val="bottom"/>
          </w:tcPr>
          <w:p>
            <w:pPr>
              <w:pStyle w:val="TableContents"/>
              <w:bidi w:val="0"/>
              <w:spacing w:before="0" w:after="0"/>
              <w:ind w:left="540" w:right="0" w:hanging="360"/>
              <w:jc w:val="left"/>
              <w:rPr/>
            </w:pPr>
            <w:r>
              <w:rPr/>
              <w:t>Non-participating restricted stock units</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12,513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w:t>
            </w:r>
          </w:p>
        </w:tc>
        <w:tc>
          <w:tcPr>
            <w:tcW w:w="110" w:type="dxa"/>
            <w:tcBorders/>
            <w:vAlign w:val="bottom"/>
          </w:tcPr>
          <w:p>
            <w:pPr>
              <w:pStyle w:val="TableContents"/>
              <w:bidi w:val="0"/>
              <w:spacing w:before="0" w:after="283"/>
              <w:jc w:val="left"/>
              <w:rPr/>
            </w:pPr>
            <w:r>
              <w:rPr/>
              <w:t> </w:t>
            </w:r>
          </w:p>
        </w:tc>
      </w:tr>
      <w:tr>
        <w:trPr/>
        <w:tc>
          <w:tcPr>
            <w:tcW w:w="4625" w:type="dxa"/>
            <w:tcBorders/>
            <w:shd w:fill="CCEEFF" w:val="clear"/>
            <w:vAlign w:val="bottom"/>
          </w:tcPr>
          <w:p>
            <w:pPr>
              <w:pStyle w:val="TableContents"/>
              <w:bidi w:val="0"/>
              <w:spacing w:before="0" w:after="0"/>
              <w:ind w:left="180" w:right="0" w:hanging="0"/>
              <w:jc w:val="left"/>
              <w:rPr/>
            </w:pPr>
            <w:r>
              <w:rPr/>
              <w:t xml:space="preserve">Non-participating performance stock units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bottom"/>
          </w:tcPr>
          <w:p>
            <w:pPr>
              <w:pStyle w:val="TableContents"/>
              <w:bidi w:val="0"/>
              <w:spacing w:before="0" w:after="283"/>
              <w:jc w:val="right"/>
              <w:rPr/>
            </w:pPr>
            <w:r>
              <w:rPr/>
              <w:t> </w:t>
            </w: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bottom"/>
          </w:tcPr>
          <w:p>
            <w:pPr>
              <w:pStyle w:val="TableContents"/>
              <w:bidi w:val="0"/>
              <w:spacing w:before="0" w:after="283"/>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bottom"/>
          </w:tcPr>
          <w:p>
            <w:pPr>
              <w:pStyle w:val="TableContents"/>
              <w:bidi w:val="0"/>
              <w:spacing w:before="0" w:after="283"/>
              <w:jc w:val="right"/>
              <w:rPr/>
            </w:pPr>
            <w:r>
              <w:rPr/>
              <w:t> </w:t>
            </w: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bottom"/>
          </w:tcPr>
          <w:p>
            <w:pPr>
              <w:pStyle w:val="TableContents"/>
              <w:bidi w:val="0"/>
              <w:spacing w:before="0" w:after="283"/>
              <w:jc w:val="right"/>
              <w:rPr/>
            </w:pPr>
            <w:r>
              <w:rPr/>
              <w:t>-</w:t>
            </w:r>
          </w:p>
        </w:tc>
        <w:tc>
          <w:tcPr>
            <w:tcW w:w="110" w:type="dxa"/>
            <w:tcBorders/>
            <w:shd w:fill="CCEEFF" w:val="clear"/>
            <w:vAlign w:val="bottom"/>
          </w:tcPr>
          <w:p>
            <w:pPr>
              <w:pStyle w:val="TableContents"/>
              <w:bidi w:val="0"/>
              <w:spacing w:before="0" w:after="283"/>
              <w:jc w:val="left"/>
              <w:rPr/>
            </w:pPr>
            <w:r>
              <w:rPr/>
              <w:t> </w:t>
            </w:r>
          </w:p>
        </w:tc>
      </w:tr>
      <w:tr>
        <w:trPr/>
        <w:tc>
          <w:tcPr>
            <w:tcW w:w="4625" w:type="dxa"/>
            <w:tcBorders/>
            <w:vAlign w:val="bottom"/>
          </w:tcPr>
          <w:p>
            <w:pPr>
              <w:pStyle w:val="TableContents"/>
              <w:bidi w:val="0"/>
              <w:spacing w:before="0" w:after="0"/>
              <w:ind w:left="540" w:right="0" w:hanging="360"/>
              <w:jc w:val="left"/>
              <w:rPr/>
            </w:pPr>
            <w:r>
              <w:rPr/>
              <w:t>Denominator for diluted EPS - adjusted weighted average common shares (D)</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36,739,399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33,199,712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36,599,393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32,449,353</w:t>
            </w:r>
          </w:p>
        </w:tc>
        <w:tc>
          <w:tcPr>
            <w:tcW w:w="110" w:type="dxa"/>
            <w:tcBorders/>
            <w:vAlign w:val="bottom"/>
          </w:tcPr>
          <w:p>
            <w:pPr>
              <w:pStyle w:val="TableContents"/>
              <w:bidi w:val="0"/>
              <w:spacing w:before="0" w:after="283"/>
              <w:jc w:val="left"/>
              <w:rPr/>
            </w:pPr>
            <w:r>
              <w:rPr/>
              <w:t> </w:t>
            </w:r>
          </w:p>
        </w:tc>
      </w:tr>
      <w:tr>
        <w:trPr/>
        <w:tc>
          <w:tcPr>
            <w:tcW w:w="4625" w:type="dxa"/>
            <w:tcBorders/>
            <w:shd w:fill="CCEEFF" w:val="clear"/>
            <w:vAlign w:val="bottom"/>
          </w:tcPr>
          <w:p>
            <w:pPr>
              <w:pStyle w:val="TableContents"/>
              <w:bidi w:val="0"/>
              <w:spacing w:before="0" w:after="0"/>
              <w:ind w:left="180" w:right="0" w:hanging="180"/>
              <w:jc w:val="left"/>
              <w:rPr>
                <w:rFonts w:ascii="Times New Roman" w:hAnsi="Times New Roman"/>
                <w:b/>
                <w:sz w:val="20"/>
              </w:rPr>
            </w:pPr>
            <w:r>
              <w:rPr>
                <w:rFonts w:ascii="Times New Roman" w:hAnsi="Times New Roman"/>
                <w:b/>
                <w:sz w:val="20"/>
              </w:rPr>
              <w:t>Basic and Diluted EPS: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r>
      <w:tr>
        <w:trPr/>
        <w:tc>
          <w:tcPr>
            <w:tcW w:w="4625" w:type="dxa"/>
            <w:tcBorders/>
            <w:vAlign w:val="bottom"/>
          </w:tcPr>
          <w:p>
            <w:pPr>
              <w:pStyle w:val="TableContents"/>
              <w:bidi w:val="0"/>
              <w:spacing w:before="0" w:after="0"/>
              <w:ind w:left="511" w:right="0" w:hanging="367"/>
              <w:jc w:val="left"/>
              <w:rPr>
                <w:rFonts w:ascii="Times New Roman" w:hAnsi="Times New Roman"/>
                <w:sz w:val="20"/>
              </w:rPr>
            </w:pPr>
            <w:r>
              <w:rPr>
                <w:rFonts w:ascii="Times New Roman" w:hAnsi="Times New Roman"/>
                <w:sz w:val="20"/>
              </w:rPr>
              <w:t>Basic (A/B)</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0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0.04</w:t>
            </w:r>
          </w:p>
        </w:tc>
        <w:tc>
          <w:tcPr>
            <w:tcW w:w="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0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(0.03</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0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(0.02</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0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(0.32</w:t>
            </w:r>
          </w:p>
        </w:tc>
        <w:tc>
          <w:tcPr>
            <w:tcW w:w="11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4625" w:type="dxa"/>
            <w:tcBorders/>
            <w:shd w:fill="CCEEFF" w:val="clear"/>
            <w:vAlign w:val="bottom"/>
          </w:tcPr>
          <w:p>
            <w:pPr>
              <w:pStyle w:val="TableContents"/>
              <w:bidi w:val="0"/>
              <w:spacing w:before="0" w:after="0"/>
              <w:ind w:left="511" w:right="0" w:hanging="367"/>
              <w:jc w:val="left"/>
              <w:rPr>
                <w:rFonts w:ascii="Times New Roman" w:hAnsi="Times New Roman"/>
                <w:sz w:val="20"/>
              </w:rPr>
            </w:pPr>
            <w:r>
              <w:rPr>
                <w:rFonts w:ascii="Times New Roman" w:hAnsi="Times New Roman"/>
                <w:sz w:val="20"/>
              </w:rPr>
              <w:t>Diluted (C/D)</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0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0.04</w:t>
            </w:r>
          </w:p>
        </w:tc>
        <w:tc>
          <w:tcPr>
            <w:tcW w:w="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0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(0.03</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0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(0.02</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0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(0.32</w:t>
            </w:r>
          </w:p>
        </w:tc>
        <w:tc>
          <w:tcPr>
            <w:tcW w:w="11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computation of diluted EPS for the six-month period ended June 30, 2026 excludes 1,528,829 of potentially dilutive restricted stock units and restricted stock awards because their effect would have been anti-dilutive.</w:t>
      </w:r>
    </w:p>
    <w:p>
      <w:pPr>
        <w:pStyle w:val="TextBody"/>
        <w:bidi w:val="0"/>
        <w:spacing w:before="0" w:after="0"/>
        <w:jc w:val="both"/>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29</w:t>
      </w:r>
    </w:p>
    <w:p>
      <w:pPr>
        <w:pStyle w:val="HorizontalLine"/>
        <w:bidi w:val="0"/>
        <w:spacing w:before="200" w:after="200"/>
        <w:jc w:val="both"/>
        <w:rPr/>
      </w:pPr>
      <w:r>
        <w:rPr/>
      </w:r>
    </w:p>
    <w:p>
      <w:pPr>
        <w:pStyle w:val="TextBody"/>
        <w:bidi w:val="0"/>
        <w:spacing w:before="200" w:after="200"/>
        <w:jc w:val="both"/>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Note 7 — Derivative Instruments</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Interest Rate Swap Agreements, Swaptions, TBAs and U.S. Treasury Futures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 xml:space="preserve">In order to help mitigate exposure to higher short-term interest rates in connection with borrowings under its repurchase agreements, the Company enters into interest rate swap agreements, Eris SOFR swap futures and swaption agreements. Interest rate swap agreements establish an economic fixed rate on related borrowings because the variable-rate payments received on the interest rate swap agreements largely offset interest accruing on the related borrowings, leaving the fixed-rate payments to be paid on the interest rate swap agreements as the Company’s effective borrowing rate, subject to certain adjustments including changes in spreads between variable rates on the interest rate swap agreements and actual borrowing rates. A swaption is an option granting its owner the right but not the obligation to enter into an underlying swap. </w:t>
      </w:r>
      <w:r>
        <w:rPr>
          <w:rFonts w:ascii="Times New Roman" w:hAnsi="Times New Roman"/>
          <w:b w:val="false"/>
          <w:i w:val="false"/>
          <w:caps w:val="false"/>
          <w:smallCaps w:val="false"/>
          <w:color w:val="000000"/>
          <w:spacing w:val="0"/>
          <w:sz w:val="20"/>
          <w:shd w:fill="FFFFFF" w:val="clear"/>
        </w:rPr>
        <w:t>Eris SOFR swap futures are exchange-traded contracts that mirror the economics of an interest rate swap, where one party pays a fixed rate and the other pays a floating rate based on the SOFR. Eris SOFR swap futures are marked-to-market daily, with prices published by the CME Group. The Company’s interest rate swap agreements, Eris SOFR swap futures, TBAs and swaptions have not been designated as qualifying hedging instruments for GAAP purposes.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 xml:space="preserve">In order to help mitigate duration risk and manage basis risk and the pricing risk under the Company’s financing facilities, the Company utilizes U.S. Treasury futures and forward-settling purchases and sales of RMBS where the underlying pools of mortgage loans are TBAs. Pursuant to these TBA transactions, the Company agrees to purchase or sell, for future delivery, Agency RMBS with certain principal and interest terms and certain types of underlying collateral, but the particular Agency RMBS to be delivered is not identified until shortly before the TBA settlement date. Unless otherwise indicated, references to U.S. Treasury futures include options on U.S. Treasury futures. </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b w:val="false"/>
          <w:i w:val="false"/>
          <w:caps w:val="false"/>
          <w:smallCaps w:val="false"/>
          <w:color w:val="000000"/>
          <w:spacing w:val="0"/>
          <w:sz w:val="20"/>
          <w:shd w:fill="FFFFFF" w:val="clear"/>
        </w:rPr>
        <w:t>For discussion on the fair value measurements of the derivative instruments, see Note 8.</w:t>
      </w:r>
      <w:r>
        <w:rPr>
          <w:rFonts w:ascii="Times New Roman" w:hAnsi="Times New Roman"/>
          <w:caps w:val="false"/>
          <w:smallCaps w:val="false"/>
          <w:color w:val="000000"/>
          <w:sz w:val="20"/>
          <w:shd w:fill="FFFFFF" w:val="clear"/>
        </w:rPr>
        <w:t xml:space="preserve"> </w:t>
      </w:r>
    </w:p>
    <w:p>
      <w:pPr>
        <w:pStyle w:val="TextBody"/>
        <w:bidi w:val="0"/>
        <w:spacing w:before="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30</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The following table summarizes the outstanding notional amounts of derivative instruments as of the dates indicated (dollars in thousands):</w:t>
      </w:r>
    </w:p>
    <w:p>
      <w:pPr>
        <w:pStyle w:val="TextBody"/>
        <w:bidi w:val="0"/>
        <w:spacing w:before="0" w:after="0"/>
        <w:jc w:val="left"/>
        <w:rPr/>
      </w:pPr>
      <w:r>
        <w:rPr/>
      </w:r>
    </w:p>
    <w:tbl>
      <w:tblPr>
        <w:tblW w:w="7548" w:type="dxa"/>
        <w:jc w:val="left"/>
        <w:tblInd w:w="0" w:type="dxa"/>
        <w:tblLayout w:type="fixed"/>
        <w:tblCellMar>
          <w:top w:w="0" w:type="dxa"/>
          <w:left w:w="0" w:type="dxa"/>
          <w:bottom w:w="0" w:type="dxa"/>
          <w:right w:w="0" w:type="dxa"/>
        </w:tblCellMar>
      </w:tblPr>
      <w:tblGrid>
        <w:gridCol w:w="4250"/>
        <w:gridCol w:w="60"/>
        <w:gridCol w:w="169"/>
        <w:gridCol w:w="1020"/>
        <w:gridCol w:w="95"/>
        <w:gridCol w:w="60"/>
        <w:gridCol w:w="232"/>
        <w:gridCol w:w="1407"/>
        <w:gridCol w:w="255"/>
      </w:tblGrid>
      <w:tr>
        <w:trPr/>
        <w:tc>
          <w:tcPr>
            <w:tcW w:w="4250" w:type="dxa"/>
            <w:tcBorders/>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Derivatives</w:t>
            </w:r>
          </w:p>
        </w:tc>
        <w:tc>
          <w:tcPr>
            <w:tcW w:w="60" w:type="dxa"/>
            <w:tcBorders/>
            <w:vAlign w:val="bottom"/>
          </w:tcPr>
          <w:p>
            <w:pPr>
              <w:pStyle w:val="TableContents"/>
              <w:bidi w:val="0"/>
              <w:spacing w:before="0" w:after="283"/>
              <w:jc w:val="left"/>
              <w:rPr/>
            </w:pPr>
            <w:r>
              <w:rPr/>
              <w:t> </w:t>
            </w:r>
          </w:p>
        </w:tc>
        <w:tc>
          <w:tcPr>
            <w:tcW w:w="118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June 30, 2026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December 31, 2025</w:t>
            </w:r>
          </w:p>
        </w:tc>
        <w:tc>
          <w:tcPr>
            <w:tcW w:w="255" w:type="dxa"/>
            <w:tcBorders/>
            <w:vAlign w:val="bottom"/>
          </w:tcPr>
          <w:p>
            <w:pPr>
              <w:pStyle w:val="TableContents"/>
              <w:bidi w:val="0"/>
              <w:spacing w:before="0" w:after="283"/>
              <w:jc w:val="left"/>
              <w:rPr/>
            </w:pPr>
            <w:r>
              <w:rPr/>
              <w:t> </w:t>
            </w:r>
          </w:p>
        </w:tc>
      </w:tr>
      <w:tr>
        <w:trPr/>
        <w:tc>
          <w:tcPr>
            <w:tcW w:w="4250" w:type="dxa"/>
            <w:tcBorders/>
            <w:shd w:fill="CCEEFF" w:val="clear"/>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Notional amount of interest rate swaps</w:t>
            </w:r>
          </w:p>
        </w:tc>
        <w:tc>
          <w:tcPr>
            <w:tcW w:w="60" w:type="dxa"/>
            <w:tcBorders/>
            <w:shd w:fill="CCEEFF" w:val="clear"/>
            <w:vAlign w:val="bottom"/>
          </w:tcPr>
          <w:p>
            <w:pPr>
              <w:pStyle w:val="TableContents"/>
              <w:bidi w:val="0"/>
              <w:spacing w:before="0" w:after="283"/>
              <w:jc w:val="right"/>
              <w:rPr/>
            </w:pPr>
            <w:r>
              <w:rPr/>
              <w:t> </w:t>
            </w:r>
          </w:p>
        </w:tc>
        <w:tc>
          <w:tcPr>
            <w:tcW w:w="169"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2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767,300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3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40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828,700</w:t>
            </w:r>
          </w:p>
        </w:tc>
        <w:tc>
          <w:tcPr>
            <w:tcW w:w="255" w:type="dxa"/>
            <w:tcBorders/>
            <w:shd w:fill="CCEEFF" w:val="clear"/>
            <w:vAlign w:val="bottom"/>
          </w:tcPr>
          <w:p>
            <w:pPr>
              <w:pStyle w:val="TableContents"/>
              <w:bidi w:val="0"/>
              <w:spacing w:before="0" w:after="283"/>
              <w:jc w:val="left"/>
              <w:rPr/>
            </w:pPr>
            <w:r>
              <w:rPr/>
              <w:t> </w:t>
            </w:r>
          </w:p>
        </w:tc>
      </w:tr>
      <w:tr>
        <w:trPr/>
        <w:tc>
          <w:tcPr>
            <w:tcW w:w="4250" w:type="dxa"/>
            <w:tcBorders/>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Notional amount of TBAs, net</w:t>
            </w:r>
          </w:p>
        </w:tc>
        <w:tc>
          <w:tcPr>
            <w:tcW w:w="60" w:type="dxa"/>
            <w:tcBorders/>
            <w:vAlign w:val="bottom"/>
          </w:tcPr>
          <w:p>
            <w:pPr>
              <w:pStyle w:val="TableContents"/>
              <w:bidi w:val="0"/>
              <w:spacing w:before="0" w:after="283"/>
              <w:jc w:val="right"/>
              <w:rPr/>
            </w:pPr>
            <w:r>
              <w:rPr/>
              <w:t> </w:t>
            </w:r>
          </w:p>
        </w:tc>
        <w:tc>
          <w:tcPr>
            <w:tcW w:w="169" w:type="dxa"/>
            <w:tcBorders/>
            <w:vAlign w:val="bottom"/>
          </w:tcPr>
          <w:p>
            <w:pPr>
              <w:pStyle w:val="TableContents"/>
              <w:bidi w:val="0"/>
              <w:spacing w:before="0" w:after="283"/>
              <w:jc w:val="left"/>
              <w:rPr/>
            </w:pPr>
            <w:r>
              <w:rPr/>
              <w:t> </w:t>
            </w:r>
          </w:p>
        </w:tc>
        <w:tc>
          <w:tcPr>
            <w:tcW w:w="102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(266,935</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232" w:type="dxa"/>
            <w:tcBorders/>
            <w:vAlign w:val="bottom"/>
          </w:tcPr>
          <w:p>
            <w:pPr>
              <w:pStyle w:val="TableContents"/>
              <w:bidi w:val="0"/>
              <w:spacing w:before="0" w:after="283"/>
              <w:jc w:val="left"/>
              <w:rPr/>
            </w:pPr>
            <w:r>
              <w:rPr/>
              <w:t> </w:t>
            </w:r>
          </w:p>
        </w:tc>
        <w:tc>
          <w:tcPr>
            <w:tcW w:w="140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(409,475</w:t>
            </w:r>
          </w:p>
        </w:tc>
        <w:tc>
          <w:tcPr>
            <w:tcW w:w="2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4250" w:type="dxa"/>
            <w:tcBorders/>
            <w:shd w:fill="CCEEFF" w:val="clear"/>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Notional amount of U.S. treasury futures</w:t>
            </w:r>
          </w:p>
        </w:tc>
        <w:tc>
          <w:tcPr>
            <w:tcW w:w="60" w:type="dxa"/>
            <w:tcBorders/>
            <w:shd w:fill="CCEEFF" w:val="clear"/>
            <w:vAlign w:val="bottom"/>
          </w:tcPr>
          <w:p>
            <w:pPr>
              <w:pStyle w:val="TableContents"/>
              <w:bidi w:val="0"/>
              <w:spacing w:before="0" w:after="283"/>
              <w:jc w:val="right"/>
              <w:rPr/>
            </w:pPr>
            <w:r>
              <w:rPr/>
              <w:t> </w:t>
            </w:r>
          </w:p>
        </w:tc>
        <w:tc>
          <w:tcPr>
            <w:tcW w:w="169" w:type="dxa"/>
            <w:tcBorders/>
            <w:shd w:fill="CCEEFF" w:val="clear"/>
            <w:vAlign w:val="bottom"/>
          </w:tcPr>
          <w:p>
            <w:pPr>
              <w:pStyle w:val="TableContents"/>
              <w:bidi w:val="0"/>
              <w:spacing w:before="0" w:after="283"/>
              <w:jc w:val="left"/>
              <w:rPr/>
            </w:pPr>
            <w:r>
              <w:rPr/>
              <w:t> </w:t>
            </w:r>
          </w:p>
        </w:tc>
        <w:tc>
          <w:tcPr>
            <w:tcW w:w="102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28,400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32" w:type="dxa"/>
            <w:tcBorders/>
            <w:shd w:fill="CCEEFF" w:val="clear"/>
            <w:vAlign w:val="bottom"/>
          </w:tcPr>
          <w:p>
            <w:pPr>
              <w:pStyle w:val="TableContents"/>
              <w:bidi w:val="0"/>
              <w:spacing w:before="0" w:after="283"/>
              <w:jc w:val="left"/>
              <w:rPr/>
            </w:pPr>
            <w:r>
              <w:rPr/>
              <w:t> </w:t>
            </w:r>
          </w:p>
        </w:tc>
        <w:tc>
          <w:tcPr>
            <w:tcW w:w="140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19,500</w:t>
            </w:r>
          </w:p>
        </w:tc>
        <w:tc>
          <w:tcPr>
            <w:tcW w:w="255" w:type="dxa"/>
            <w:tcBorders/>
            <w:shd w:fill="CCEEFF" w:val="clear"/>
            <w:vAlign w:val="bottom"/>
          </w:tcPr>
          <w:p>
            <w:pPr>
              <w:pStyle w:val="TableContents"/>
              <w:bidi w:val="0"/>
              <w:spacing w:before="0" w:after="283"/>
              <w:ind w:left="0" w:right="0" w:firstLine="180"/>
              <w:jc w:val="left"/>
              <w:rPr/>
            </w:pPr>
            <w:r>
              <w:rPr/>
              <w:t> </w:t>
            </w:r>
          </w:p>
        </w:tc>
      </w:tr>
      <w:tr>
        <w:trPr/>
        <w:tc>
          <w:tcPr>
            <w:tcW w:w="4250" w:type="dxa"/>
            <w:tcBorders/>
            <w:vAlign w:val="bottom"/>
          </w:tcPr>
          <w:p>
            <w:pPr>
              <w:pStyle w:val="TableContents"/>
              <w:bidi w:val="0"/>
              <w:spacing w:before="0" w:after="283"/>
              <w:jc w:val="left"/>
              <w:rPr/>
            </w:pPr>
            <w:r>
              <w:rPr/>
              <w:t>Notional amount of Eris SOFR swap futures</w:t>
            </w:r>
          </w:p>
        </w:tc>
        <w:tc>
          <w:tcPr>
            <w:tcW w:w="60" w:type="dxa"/>
            <w:tcBorders/>
            <w:vAlign w:val="bottom"/>
          </w:tcPr>
          <w:p>
            <w:pPr>
              <w:pStyle w:val="TableContents"/>
              <w:bidi w:val="0"/>
              <w:spacing w:before="0" w:after="283"/>
              <w:jc w:val="right"/>
              <w:rPr/>
            </w:pPr>
            <w:r>
              <w:rPr/>
              <w:t> </w:t>
            </w:r>
          </w:p>
        </w:tc>
        <w:tc>
          <w:tcPr>
            <w:tcW w:w="169" w:type="dxa"/>
            <w:tcBorders>
              <w:bottom w:val="single" w:sz="12" w:space="0" w:color="000000"/>
            </w:tcBorders>
            <w:tcMar>
              <w:bottom w:w="28" w:type="dxa"/>
            </w:tcMar>
            <w:vAlign w:val="bottom"/>
          </w:tcPr>
          <w:p>
            <w:pPr>
              <w:pStyle w:val="TableContents"/>
              <w:bidi w:val="0"/>
              <w:spacing w:before="0" w:after="283"/>
              <w:jc w:val="left"/>
              <w:rPr/>
            </w:pPr>
            <w:r>
              <w:rPr/>
              <w:t> </w:t>
            </w:r>
          </w:p>
        </w:tc>
        <w:tc>
          <w:tcPr>
            <w:tcW w:w="1020" w:type="dxa"/>
            <w:tcBorders>
              <w:bottom w:val="single" w:sz="12" w:space="0" w:color="000000"/>
            </w:tcBorders>
            <w:tcMar>
              <w:bottom w:w="28" w:type="dxa"/>
            </w:tcMar>
            <w:vAlign w:val="bottom"/>
          </w:tcPr>
          <w:p>
            <w:pPr>
              <w:pStyle w:val="TableContents"/>
              <w:bidi w:val="0"/>
              <w:spacing w:before="0" w:after="283"/>
              <w:jc w:val="right"/>
              <w:rPr/>
            </w:pPr>
            <w:r>
              <w:rPr/>
              <w:t>(82,000</w:t>
            </w:r>
          </w:p>
        </w:tc>
        <w:tc>
          <w:tcPr>
            <w:tcW w:w="95" w:type="dxa"/>
            <w:tcBorders/>
            <w:vAlign w:val="bottom"/>
          </w:tcPr>
          <w:p>
            <w:pPr>
              <w:pStyle w:val="TableContents"/>
              <w:bidi w:val="0"/>
              <w:spacing w:before="0" w:after="283"/>
              <w:jc w:val="left"/>
              <w:rPr/>
            </w:pPr>
            <w:r>
              <w:rPr/>
              <w:t>)</w:t>
            </w:r>
          </w:p>
        </w:tc>
        <w:tc>
          <w:tcPr>
            <w:tcW w:w="60" w:type="dxa"/>
            <w:tcBorders/>
            <w:vAlign w:val="bottom"/>
          </w:tcPr>
          <w:p>
            <w:pPr>
              <w:pStyle w:val="TableContents"/>
              <w:bidi w:val="0"/>
              <w:spacing w:before="0" w:after="283"/>
              <w:jc w:val="right"/>
              <w:rPr/>
            </w:pPr>
            <w:r>
              <w:rPr/>
              <w:t> </w:t>
            </w:r>
          </w:p>
        </w:tc>
        <w:tc>
          <w:tcPr>
            <w:tcW w:w="232" w:type="dxa"/>
            <w:tcBorders>
              <w:bottom w:val="single" w:sz="12" w:space="0" w:color="000000"/>
            </w:tcBorders>
            <w:tcMar>
              <w:bottom w:w="28" w:type="dxa"/>
            </w:tcMar>
            <w:vAlign w:val="bottom"/>
          </w:tcPr>
          <w:p>
            <w:pPr>
              <w:pStyle w:val="TableContents"/>
              <w:bidi w:val="0"/>
              <w:spacing w:before="0" w:after="283"/>
              <w:jc w:val="left"/>
              <w:rPr/>
            </w:pPr>
            <w:r>
              <w:rPr/>
              <w:t> </w:t>
            </w:r>
          </w:p>
        </w:tc>
        <w:tc>
          <w:tcPr>
            <w:tcW w:w="1407" w:type="dxa"/>
            <w:tcBorders>
              <w:bottom w:val="single" w:sz="12" w:space="0" w:color="000000"/>
            </w:tcBorders>
            <w:tcMar>
              <w:bottom w:w="28" w:type="dxa"/>
            </w:tcMar>
            <w:vAlign w:val="bottom"/>
          </w:tcPr>
          <w:p>
            <w:pPr>
              <w:pStyle w:val="TableContents"/>
              <w:bidi w:val="0"/>
              <w:spacing w:before="0" w:after="283"/>
              <w:jc w:val="right"/>
              <w:rPr/>
            </w:pPr>
            <w:r>
              <w:rPr/>
              <w:t>(16,800</w:t>
            </w:r>
          </w:p>
        </w:tc>
        <w:tc>
          <w:tcPr>
            <w:tcW w:w="255" w:type="dxa"/>
            <w:tcBorders/>
            <w:vAlign w:val="bottom"/>
          </w:tcPr>
          <w:p>
            <w:pPr>
              <w:pStyle w:val="TableContents"/>
              <w:bidi w:val="0"/>
              <w:spacing w:before="0" w:after="283"/>
              <w:jc w:val="left"/>
              <w:rPr/>
            </w:pPr>
            <w:r>
              <w:rPr/>
              <w:t>)</w:t>
            </w:r>
          </w:p>
        </w:tc>
      </w:tr>
      <w:tr>
        <w:trPr/>
        <w:tc>
          <w:tcPr>
            <w:tcW w:w="4250" w:type="dxa"/>
            <w:tcBorders/>
            <w:shd w:fill="CCEEFF" w:val="cle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Total notional amount</w:t>
            </w:r>
          </w:p>
        </w:tc>
        <w:tc>
          <w:tcPr>
            <w:tcW w:w="60" w:type="dxa"/>
            <w:tcBorders/>
            <w:shd w:fill="CCEEFF" w:val="clear"/>
            <w:vAlign w:val="bottom"/>
          </w:tcPr>
          <w:p>
            <w:pPr>
              <w:pStyle w:val="TableContents"/>
              <w:bidi w:val="0"/>
              <w:spacing w:before="0" w:after="283"/>
              <w:jc w:val="right"/>
              <w:rPr/>
            </w:pPr>
            <w:r>
              <w:rPr/>
              <w:t> </w:t>
            </w:r>
          </w:p>
        </w:tc>
        <w:tc>
          <w:tcPr>
            <w:tcW w:w="169" w:type="dxa"/>
            <w:tcBorders/>
            <w:shd w:fill="CCEEFF" w:val="cle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1020" w:type="dxa"/>
            <w:tcBorders/>
            <w:shd w:fill="CCEEFF" w:val="cle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446,765</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32" w:type="dxa"/>
            <w:tcBorders/>
            <w:shd w:fill="CCEEFF" w:val="cle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1407" w:type="dxa"/>
            <w:tcBorders/>
            <w:shd w:fill="CCEEFF" w:val="cle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421,925</w:t>
            </w:r>
          </w:p>
        </w:tc>
        <w:tc>
          <w:tcPr>
            <w:tcW w:w="25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b w:val="false"/>
          <w:i w:val="false"/>
          <w:caps w:val="false"/>
          <w:smallCaps w:val="false"/>
          <w:color w:val="000000"/>
          <w:spacing w:val="0"/>
          <w:sz w:val="20"/>
          <w:shd w:fill="FFFFFF" w:val="clear"/>
        </w:rPr>
        <w:t>Cash flow activity related to derivative instruments is reflected within the operating activities, investing activities and financing activities sections of the consolidated statements of cash flows. Realized gains and losses are reflected within the realized gain (loss) on derivatives, net line item and derivative fair value adjustments are reflected within the unrealized (gain) loss on derivatives, net line item within the operating activities section of the consolidated statements of cash flows. The remaining cash flow activity related to derivative instruments is reflected within the proceeds from (payments for) settlement of derivatives line item of the investing activities section and the proceeds from derivative financing line item within the financing activities section of the consolidated statements of cash flows.</w:t>
      </w:r>
      <w:r>
        <w:rPr>
          <w:rFonts w:ascii="Times New Roman" w:hAnsi="Times New Roman"/>
          <w:color w:val="000000"/>
          <w:sz w:val="20"/>
          <w:shd w:fill="FFFFFF" w:val="clear"/>
        </w:rPr>
        <w:t xml:space="preserve"> </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The following table presents information about the Company’s interest rate swap agreements as of the dates indicated (dollars in thousands):</w:t>
      </w:r>
    </w:p>
    <w:p>
      <w:pPr>
        <w:pStyle w:val="TextBody"/>
        <w:bidi w:val="0"/>
        <w:spacing w:before="0" w:after="0"/>
        <w:jc w:val="left"/>
        <w:rPr/>
      </w:pPr>
      <w:r>
        <w:rPr/>
      </w:r>
    </w:p>
    <w:tbl>
      <w:tblPr>
        <w:tblW w:w="9305" w:type="dxa"/>
        <w:jc w:val="left"/>
        <w:tblInd w:w="0" w:type="dxa"/>
        <w:tblLayout w:type="fixed"/>
        <w:tblCellMar>
          <w:top w:w="0" w:type="dxa"/>
          <w:left w:w="0" w:type="dxa"/>
          <w:bottom w:w="0" w:type="dxa"/>
          <w:right w:w="0" w:type="dxa"/>
        </w:tblCellMar>
      </w:tblPr>
      <w:tblGrid>
        <w:gridCol w:w="1610"/>
        <w:gridCol w:w="60"/>
        <w:gridCol w:w="149"/>
        <w:gridCol w:w="830"/>
        <w:gridCol w:w="60"/>
        <w:gridCol w:w="60"/>
        <w:gridCol w:w="163"/>
        <w:gridCol w:w="771"/>
        <w:gridCol w:w="60"/>
        <w:gridCol w:w="60"/>
        <w:gridCol w:w="223"/>
        <w:gridCol w:w="1416"/>
        <w:gridCol w:w="185"/>
        <w:gridCol w:w="60"/>
        <w:gridCol w:w="223"/>
        <w:gridCol w:w="1416"/>
        <w:gridCol w:w="185"/>
        <w:gridCol w:w="60"/>
        <w:gridCol w:w="292"/>
        <w:gridCol w:w="1347"/>
        <w:gridCol w:w="75"/>
      </w:tblGrid>
      <w:tr>
        <w:trPr/>
        <w:tc>
          <w:tcPr>
            <w:tcW w:w="16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Notional</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Amount </w:t>
            </w:r>
            <w:r>
              <w:rPr>
                <w:rFonts w:ascii="Times New Roman" w:hAnsi="Times New Roman"/>
                <w:b/>
                <w:color w:val="000000"/>
                <w:position w:val="7"/>
                <w:sz w:val="16"/>
                <w:sz w:val="20"/>
              </w:rPr>
              <w:t>(A)</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3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Fair Value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Weighted Average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Pay Rate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Weighted Average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Receive Rate</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Weighted Average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Years to Maturity </w:t>
            </w:r>
          </w:p>
        </w:tc>
        <w:tc>
          <w:tcPr>
            <w:tcW w:w="75" w:type="dxa"/>
            <w:tcBorders/>
            <w:vAlign w:val="bottom"/>
          </w:tcPr>
          <w:p>
            <w:pPr>
              <w:pStyle w:val="TableContents"/>
              <w:bidi w:val="0"/>
              <w:spacing w:before="0" w:after="283"/>
              <w:jc w:val="left"/>
              <w:rPr/>
            </w:pPr>
            <w:r>
              <w:rPr/>
              <w:t> </w:t>
            </w:r>
          </w:p>
        </w:tc>
      </w:tr>
      <w:tr>
        <w:trPr/>
        <w:tc>
          <w:tcPr>
            <w:tcW w:w="161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June 30, 2026</w:t>
            </w:r>
          </w:p>
        </w:tc>
        <w:tc>
          <w:tcPr>
            <w:tcW w:w="60" w:type="dxa"/>
            <w:tcBorders/>
            <w:shd w:fill="CCEEFF" w:val="clear"/>
            <w:vAlign w:val="bottom"/>
          </w:tcPr>
          <w:p>
            <w:pPr>
              <w:pStyle w:val="TableContents"/>
              <w:bidi w:val="0"/>
              <w:spacing w:before="0" w:after="283"/>
              <w:jc w:val="right"/>
              <w:rPr/>
            </w:pPr>
            <w:r>
              <w:rPr/>
              <w:t> </w:t>
            </w:r>
          </w:p>
        </w:tc>
        <w:tc>
          <w:tcPr>
            <w:tcW w:w="149"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3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767,300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71"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23" w:type="dxa"/>
            <w:tcBorders/>
            <w:shd w:fill="CCEEFF" w:val="clear"/>
            <w:vAlign w:val="bottom"/>
          </w:tcPr>
          <w:p>
            <w:pPr>
              <w:pStyle w:val="TableContents"/>
              <w:bidi w:val="0"/>
              <w:spacing w:before="0" w:after="283"/>
              <w:jc w:val="left"/>
              <w:rPr/>
            </w:pPr>
            <w:r>
              <w:rPr/>
              <w:t> </w:t>
            </w:r>
          </w:p>
        </w:tc>
        <w:tc>
          <w:tcPr>
            <w:tcW w:w="141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1.72</w:t>
            </w:r>
          </w:p>
        </w:tc>
        <w:tc>
          <w:tcPr>
            <w:tcW w:w="18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223" w:type="dxa"/>
            <w:tcBorders/>
            <w:shd w:fill="CCEEFF" w:val="clear"/>
            <w:vAlign w:val="bottom"/>
          </w:tcPr>
          <w:p>
            <w:pPr>
              <w:pStyle w:val="TableContents"/>
              <w:bidi w:val="0"/>
              <w:spacing w:before="0" w:after="283"/>
              <w:jc w:val="left"/>
              <w:rPr/>
            </w:pPr>
            <w:r>
              <w:rPr/>
              <w:t> </w:t>
            </w:r>
          </w:p>
        </w:tc>
        <w:tc>
          <w:tcPr>
            <w:tcW w:w="141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3.79</w:t>
            </w:r>
          </w:p>
        </w:tc>
        <w:tc>
          <w:tcPr>
            <w:tcW w:w="18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292" w:type="dxa"/>
            <w:tcBorders/>
            <w:shd w:fill="CCEEFF" w:val="clear"/>
            <w:vAlign w:val="bottom"/>
          </w:tcPr>
          <w:p>
            <w:pPr>
              <w:pStyle w:val="TableContents"/>
              <w:bidi w:val="0"/>
              <w:spacing w:before="0" w:after="283"/>
              <w:jc w:val="left"/>
              <w:rPr/>
            </w:pPr>
            <w:r>
              <w:rPr/>
              <w:t> </w:t>
            </w:r>
          </w:p>
        </w:tc>
        <w:tc>
          <w:tcPr>
            <w:tcW w:w="134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3.2</w:t>
            </w:r>
          </w:p>
        </w:tc>
        <w:tc>
          <w:tcPr>
            <w:tcW w:w="75" w:type="dxa"/>
            <w:tcBorders/>
            <w:shd w:fill="CCEEFF" w:val="clear"/>
            <w:vAlign w:val="bottom"/>
          </w:tcPr>
          <w:p>
            <w:pPr>
              <w:pStyle w:val="TableContents"/>
              <w:bidi w:val="0"/>
              <w:spacing w:before="0" w:after="283"/>
              <w:jc w:val="left"/>
              <w:rPr/>
            </w:pPr>
            <w:r>
              <w:rPr/>
              <w:t> </w:t>
            </w:r>
          </w:p>
        </w:tc>
      </w:tr>
      <w:tr>
        <w:trPr/>
        <w:tc>
          <w:tcPr>
            <w:tcW w:w="161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December 31, 2025</w:t>
            </w:r>
          </w:p>
        </w:tc>
        <w:tc>
          <w:tcPr>
            <w:tcW w:w="60" w:type="dxa"/>
            <w:tcBorders/>
            <w:vAlign w:val="bottom"/>
          </w:tcPr>
          <w:p>
            <w:pPr>
              <w:pStyle w:val="TableContents"/>
              <w:bidi w:val="0"/>
              <w:spacing w:before="0" w:after="283"/>
              <w:jc w:val="right"/>
              <w:rPr/>
            </w:pPr>
            <w:r>
              <w:rPr/>
              <w:t> </w:t>
            </w:r>
          </w:p>
        </w:tc>
        <w:tc>
          <w:tcPr>
            <w:tcW w:w="14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3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828,700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71"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12,154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23" w:type="dxa"/>
            <w:tcBorders/>
            <w:vAlign w:val="bottom"/>
          </w:tcPr>
          <w:p>
            <w:pPr>
              <w:pStyle w:val="TableContents"/>
              <w:bidi w:val="0"/>
              <w:spacing w:before="0" w:after="283"/>
              <w:jc w:val="left"/>
              <w:rPr/>
            </w:pPr>
            <w:r>
              <w:rPr/>
              <w:t> </w:t>
            </w:r>
          </w:p>
        </w:tc>
        <w:tc>
          <w:tcPr>
            <w:tcW w:w="1416"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1.76</w:t>
            </w:r>
          </w:p>
        </w:tc>
        <w:tc>
          <w:tcPr>
            <w:tcW w:w="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223" w:type="dxa"/>
            <w:tcBorders/>
            <w:vAlign w:val="bottom"/>
          </w:tcPr>
          <w:p>
            <w:pPr>
              <w:pStyle w:val="TableContents"/>
              <w:bidi w:val="0"/>
              <w:spacing w:before="0" w:after="283"/>
              <w:jc w:val="left"/>
              <w:rPr/>
            </w:pPr>
            <w:r>
              <w:rPr/>
              <w:t> </w:t>
            </w:r>
          </w:p>
        </w:tc>
        <w:tc>
          <w:tcPr>
            <w:tcW w:w="1416"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3.95</w:t>
            </w:r>
          </w:p>
        </w:tc>
        <w:tc>
          <w:tcPr>
            <w:tcW w:w="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292" w:type="dxa"/>
            <w:tcBorders/>
            <w:vAlign w:val="bottom"/>
          </w:tcPr>
          <w:p>
            <w:pPr>
              <w:pStyle w:val="TableContents"/>
              <w:bidi w:val="0"/>
              <w:spacing w:before="0" w:after="283"/>
              <w:jc w:val="left"/>
              <w:rPr/>
            </w:pPr>
            <w:r>
              <w:rPr/>
              <w:t> </w:t>
            </w:r>
          </w:p>
        </w:tc>
        <w:tc>
          <w:tcPr>
            <w:tcW w:w="134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3.1</w:t>
            </w:r>
          </w:p>
        </w:tc>
        <w:tc>
          <w:tcPr>
            <w:tcW w:w="75"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08"/>
        <w:gridCol w:w="9897"/>
      </w:tblGrid>
      <w:tr>
        <w:trPr/>
        <w:tc>
          <w:tcPr>
            <w:tcW w:w="308" w:type="dxa"/>
            <w:tcBorders/>
            <w:vAlign w:val="center"/>
          </w:tcPr>
          <w:p>
            <w:pPr>
              <w:pStyle w:val="TableContents"/>
              <w:bidi w:val="0"/>
              <w:spacing w:before="0" w:after="0"/>
              <w:jc w:val="left"/>
              <w:rPr>
                <w:color w:val="000000"/>
              </w:rPr>
            </w:pPr>
            <w:r>
              <w:rPr>
                <w:color w:val="000000"/>
              </w:rPr>
              <w:t>(A)</w:t>
            </w:r>
          </w:p>
        </w:tc>
        <w:tc>
          <w:tcPr>
            <w:tcW w:w="9897" w:type="dxa"/>
            <w:tcBorders/>
            <w:vAlign w:val="center"/>
          </w:tcPr>
          <w:p>
            <w:pPr>
              <w:pStyle w:val="TableContents"/>
              <w:bidi w:val="0"/>
              <w:spacing w:before="0" w:after="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Includes $651.3 million notional of receive SOFR and pay fixed of 1.4% and $116.0 million notional of receive fixed of 3.4% and pay SOFR with weighted average maturities of 3.4 years and 2.0 years, respectively, as of June 30, 2026. Includes $712.7 million notional of receive SOFR and pay fixed of 1.4% and $116.0 million notional of receive fixed of 3.4% and pay SOFR with weighted average maturities of 3.2 years and 2.5 years, respectively, as of December 31, 2025.</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31</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The following table presents information about the Company’s Eris SOFR swap futures as of the dates indicated (dollars in thousands):</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As of June 30, 2026</w:t>
      </w:r>
    </w:p>
    <w:p>
      <w:pPr>
        <w:pStyle w:val="TextBody"/>
        <w:bidi w:val="0"/>
        <w:spacing w:before="0" w:after="0"/>
        <w:jc w:val="left"/>
        <w:rPr/>
      </w:pPr>
      <w:r>
        <w:rPr/>
      </w:r>
    </w:p>
    <w:tbl>
      <w:tblPr>
        <w:tblW w:w="6372" w:type="dxa"/>
        <w:jc w:val="left"/>
        <w:tblInd w:w="0" w:type="dxa"/>
        <w:tblLayout w:type="fixed"/>
        <w:tblCellMar>
          <w:top w:w="0" w:type="dxa"/>
          <w:left w:w="0" w:type="dxa"/>
          <w:bottom w:w="28" w:type="dxa"/>
          <w:right w:w="0" w:type="dxa"/>
        </w:tblCellMar>
      </w:tblPr>
      <w:tblGrid>
        <w:gridCol w:w="830"/>
        <w:gridCol w:w="60"/>
        <w:gridCol w:w="1176"/>
        <w:gridCol w:w="898"/>
        <w:gridCol w:w="60"/>
        <w:gridCol w:w="60"/>
        <w:gridCol w:w="326"/>
        <w:gridCol w:w="1763"/>
        <w:gridCol w:w="95"/>
        <w:gridCol w:w="60"/>
        <w:gridCol w:w="224"/>
        <w:gridCol w:w="710"/>
        <w:gridCol w:w="110"/>
      </w:tblGrid>
      <w:tr>
        <w:trPr/>
        <w:tc>
          <w:tcPr>
            <w:tcW w:w="830" w:type="dxa"/>
            <w:tcBorders>
              <w:bottom w:val="single" w:sz="12" w:space="0" w:color="000000"/>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Maturity</w:t>
            </w:r>
          </w:p>
        </w:tc>
        <w:tc>
          <w:tcPr>
            <w:tcW w:w="60" w:type="dxa"/>
            <w:tcBorders/>
            <w:tcMar>
              <w:bottom w:w="0" w:type="dxa"/>
            </w:tcMar>
            <w:vAlign w:val="bottom"/>
          </w:tcPr>
          <w:p>
            <w:pPr>
              <w:pStyle w:val="TableContents"/>
              <w:bidi w:val="0"/>
              <w:spacing w:before="0" w:after="283"/>
              <w:jc w:val="left"/>
              <w:rPr/>
            </w:pPr>
            <w:r>
              <w:rPr/>
              <w:t> </w:t>
            </w:r>
          </w:p>
        </w:tc>
        <w:tc>
          <w:tcPr>
            <w:tcW w:w="2074" w:type="dxa"/>
            <w:gridSpan w:val="2"/>
            <w:tcBorders>
              <w:bottom w:val="single" w:sz="12" w:space="0" w:color="000000"/>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Notional Amount - Long</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2089" w:type="dxa"/>
            <w:gridSpan w:val="2"/>
            <w:tcBorders>
              <w:bottom w:val="single" w:sz="12" w:space="0" w:color="000000"/>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Notional Amount - Short</w:t>
            </w:r>
          </w:p>
        </w:tc>
        <w:tc>
          <w:tcPr>
            <w:tcW w:w="9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934" w:type="dxa"/>
            <w:gridSpan w:val="2"/>
            <w:tcBorders>
              <w:bottom w:val="single" w:sz="12" w:space="0" w:color="000000"/>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Fair Value</w:t>
            </w:r>
          </w:p>
        </w:tc>
        <w:tc>
          <w:tcPr>
            <w:tcW w:w="110" w:type="dxa"/>
            <w:tcBorders/>
            <w:tcMar>
              <w:bottom w:w="0" w:type="dxa"/>
            </w:tcMar>
            <w:vAlign w:val="bottom"/>
          </w:tcPr>
          <w:p>
            <w:pPr>
              <w:pStyle w:val="TableContents"/>
              <w:bidi w:val="0"/>
              <w:spacing w:before="0" w:after="283"/>
              <w:jc w:val="left"/>
              <w:rPr/>
            </w:pPr>
            <w:r>
              <w:rPr/>
              <w:t> </w:t>
            </w:r>
          </w:p>
        </w:tc>
      </w:tr>
      <w:tr>
        <w:trPr/>
        <w:tc>
          <w:tcPr>
            <w:tcW w:w="830" w:type="dxa"/>
            <w:tcBorders/>
            <w:shd w:fill="CCEEFF" w:val="clear"/>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5 years</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176" w:type="dxa"/>
            <w:tcBorders/>
            <w:shd w:fill="CCEEFF" w:val="clear"/>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98" w:type="dxa"/>
            <w:tcBorders/>
            <w:shd w:fill="CCEEFF" w:val="clear"/>
            <w:tcMar>
              <w:bottom w:w="0"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326" w:type="dxa"/>
            <w:tcBorders/>
            <w:shd w:fill="CCEEFF" w:val="clear"/>
            <w:tcMar>
              <w:bottom w:w="0" w:type="dxa"/>
            </w:tcMar>
            <w:vAlign w:val="bottom"/>
          </w:tcPr>
          <w:p>
            <w:pPr>
              <w:pStyle w:val="TableContents"/>
              <w:bidi w:val="0"/>
              <w:spacing w:before="0" w:after="283"/>
              <w:jc w:val="left"/>
              <w:rPr/>
            </w:pPr>
            <w:r>
              <w:rPr/>
              <w:t>$</w:t>
            </w:r>
          </w:p>
        </w:tc>
        <w:tc>
          <w:tcPr>
            <w:tcW w:w="1763" w:type="dxa"/>
            <w:tcBorders/>
            <w:shd w:fill="CCEEFF" w:val="clear"/>
            <w:tcMar>
              <w:bottom w:w="0" w:type="dxa"/>
            </w:tcMar>
            <w:vAlign w:val="bottom"/>
          </w:tcPr>
          <w:p>
            <w:pPr>
              <w:pStyle w:val="TableContents"/>
              <w:bidi w:val="0"/>
              <w:spacing w:before="0" w:after="283"/>
              <w:jc w:val="right"/>
              <w:rPr/>
            </w:pPr>
            <w:r>
              <w:rPr/>
              <w:t>(19,000</w:t>
            </w:r>
          </w:p>
        </w:tc>
        <w:tc>
          <w:tcPr>
            <w:tcW w:w="95" w:type="dxa"/>
            <w:tcBorders/>
            <w:shd w:fill="CCEEFF" w:val="clear"/>
            <w:tcMar>
              <w:bottom w:w="0" w:type="dxa"/>
            </w:tcMar>
            <w:vAlign w:val="bottom"/>
          </w:tcPr>
          <w:p>
            <w:pPr>
              <w:pStyle w:val="TableContents"/>
              <w:bidi w:val="0"/>
              <w:spacing w:before="0" w:after="283"/>
              <w:jc w:val="left"/>
              <w:rPr/>
            </w:pPr>
            <w:r>
              <w:rPr/>
              <w:t>)</w:t>
            </w:r>
          </w:p>
        </w:tc>
        <w:tc>
          <w:tcPr>
            <w:tcW w:w="60" w:type="dxa"/>
            <w:tcBorders/>
            <w:shd w:fill="CCEEFF" w:val="clear"/>
            <w:tcMar>
              <w:bottom w:w="0" w:type="dxa"/>
            </w:tcMar>
            <w:vAlign w:val="bottom"/>
          </w:tcPr>
          <w:p>
            <w:pPr>
              <w:pStyle w:val="TableContents"/>
              <w:bidi w:val="0"/>
              <w:spacing w:before="0" w:after="283"/>
              <w:jc w:val="right"/>
              <w:rPr/>
            </w:pPr>
            <w:r>
              <w:rPr/>
              <w:t> </w:t>
            </w:r>
          </w:p>
        </w:tc>
        <w:tc>
          <w:tcPr>
            <w:tcW w:w="224" w:type="dxa"/>
            <w:tcBorders/>
            <w:shd w:fill="CCEEFF" w:val="clear"/>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10" w:type="dxa"/>
            <w:tcBorders/>
            <w:shd w:fill="CCEEFF" w:val="clear"/>
            <w:tcMar>
              <w:bottom w:w="0"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(71</w:t>
            </w:r>
          </w:p>
        </w:tc>
        <w:tc>
          <w:tcPr>
            <w:tcW w:w="110" w:type="dxa"/>
            <w:tcBorders/>
            <w:shd w:fill="CCEEFF" w:val="clear"/>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830" w:type="dxa"/>
            <w:tcBorders/>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7 years</w:t>
            </w:r>
          </w:p>
        </w:tc>
        <w:tc>
          <w:tcPr>
            <w:tcW w:w="60" w:type="dxa"/>
            <w:tcBorders/>
            <w:tcMar>
              <w:bottom w:w="0" w:type="dxa"/>
            </w:tcMar>
            <w:vAlign w:val="bottom"/>
          </w:tcPr>
          <w:p>
            <w:pPr>
              <w:pStyle w:val="TableContents"/>
              <w:bidi w:val="0"/>
              <w:spacing w:before="0" w:after="283"/>
              <w:jc w:val="right"/>
              <w:rPr/>
            </w:pPr>
            <w:r>
              <w:rPr/>
              <w:t> </w:t>
            </w:r>
          </w:p>
        </w:tc>
        <w:tc>
          <w:tcPr>
            <w:tcW w:w="1176" w:type="dxa"/>
            <w:tcBorders/>
            <w:tcMar>
              <w:bottom w:w="0" w:type="dxa"/>
            </w:tcMar>
            <w:vAlign w:val="bottom"/>
          </w:tcPr>
          <w:p>
            <w:pPr>
              <w:pStyle w:val="TableContents"/>
              <w:bidi w:val="0"/>
              <w:spacing w:before="0" w:after="283"/>
              <w:jc w:val="left"/>
              <w:rPr/>
            </w:pPr>
            <w:r>
              <w:rPr/>
              <w:t> </w:t>
            </w:r>
          </w:p>
        </w:tc>
        <w:tc>
          <w:tcPr>
            <w:tcW w:w="898" w:type="dxa"/>
            <w:tcBorders/>
            <w:tcMar>
              <w:bottom w:w="0"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326" w:type="dxa"/>
            <w:tcBorders/>
            <w:tcMar>
              <w:bottom w:w="0" w:type="dxa"/>
            </w:tcMar>
            <w:vAlign w:val="bottom"/>
          </w:tcPr>
          <w:p>
            <w:pPr>
              <w:pStyle w:val="TableContents"/>
              <w:bidi w:val="0"/>
              <w:spacing w:before="0" w:after="283"/>
              <w:jc w:val="left"/>
              <w:rPr/>
            </w:pPr>
            <w:r>
              <w:rPr/>
              <w:t> </w:t>
            </w:r>
          </w:p>
        </w:tc>
        <w:tc>
          <w:tcPr>
            <w:tcW w:w="1763" w:type="dxa"/>
            <w:tcBorders/>
            <w:tcMar>
              <w:bottom w:w="0"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(59,400</w:t>
            </w:r>
          </w:p>
        </w:tc>
        <w:tc>
          <w:tcPr>
            <w:tcW w:w="95" w:type="dxa"/>
            <w:tcBorders/>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tcMar>
              <w:bottom w:w="0" w:type="dxa"/>
            </w:tcMar>
            <w:vAlign w:val="bottom"/>
          </w:tcPr>
          <w:p>
            <w:pPr>
              <w:pStyle w:val="TableContents"/>
              <w:bidi w:val="0"/>
              <w:spacing w:before="0" w:after="283"/>
              <w:jc w:val="right"/>
              <w:rPr/>
            </w:pPr>
            <w:r>
              <w:rPr/>
              <w:t> </w:t>
            </w:r>
          </w:p>
        </w:tc>
        <w:tc>
          <w:tcPr>
            <w:tcW w:w="224" w:type="dxa"/>
            <w:tcBorders/>
            <w:tcMar>
              <w:bottom w:w="0" w:type="dxa"/>
            </w:tcMar>
            <w:vAlign w:val="bottom"/>
          </w:tcPr>
          <w:p>
            <w:pPr>
              <w:pStyle w:val="TableContents"/>
              <w:bidi w:val="0"/>
              <w:spacing w:before="0" w:after="283"/>
              <w:jc w:val="left"/>
              <w:rPr/>
            </w:pPr>
            <w:r>
              <w:rPr/>
              <w:t> </w:t>
            </w:r>
          </w:p>
        </w:tc>
        <w:tc>
          <w:tcPr>
            <w:tcW w:w="710" w:type="dxa"/>
            <w:tcBorders/>
            <w:tcMar>
              <w:bottom w:w="0"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(410</w:t>
            </w:r>
          </w:p>
        </w:tc>
        <w:tc>
          <w:tcPr>
            <w:tcW w:w="110" w:type="dxa"/>
            <w:tcBorders/>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830" w:type="dxa"/>
            <w:tcBorders/>
            <w:shd w:fill="CCEEFF" w:val="clear"/>
            <w:tcMar>
              <w:bottom w:w="0" w:type="dxa"/>
            </w:tcMar>
            <w:vAlign w:val="bottom"/>
          </w:tcPr>
          <w:p>
            <w:pPr>
              <w:pStyle w:val="TableContents"/>
              <w:bidi w:val="0"/>
              <w:spacing w:before="0" w:after="283"/>
              <w:jc w:val="left"/>
              <w:rPr/>
            </w:pPr>
            <w:r>
              <w:rPr/>
              <w:t>10 years</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176" w:type="dxa"/>
            <w:tcBorders>
              <w:bottom w:val="single" w:sz="12" w:space="0" w:color="000000"/>
            </w:tcBorders>
            <w:shd w:fill="CCEEFF" w:val="clear"/>
            <w:vAlign w:val="bottom"/>
          </w:tcPr>
          <w:p>
            <w:pPr>
              <w:pStyle w:val="TableContents"/>
              <w:bidi w:val="0"/>
              <w:spacing w:before="0" w:after="283"/>
              <w:jc w:val="left"/>
              <w:rPr/>
            </w:pPr>
            <w:r>
              <w:rPr/>
              <w:t> </w:t>
            </w:r>
          </w:p>
        </w:tc>
        <w:tc>
          <w:tcPr>
            <w:tcW w:w="898" w:type="dxa"/>
            <w:tcBorders>
              <w:bottom w:val="single" w:sz="12" w:space="0" w:color="000000"/>
            </w:tcBorders>
            <w:shd w:fill="CCEEFF" w:val="clear"/>
            <w:vAlign w:val="bottom"/>
          </w:tcPr>
          <w:p>
            <w:pPr>
              <w:pStyle w:val="TableContents"/>
              <w:bidi w:val="0"/>
              <w:spacing w:before="0" w:after="283"/>
              <w:jc w:val="right"/>
              <w:rPr/>
            </w:pPr>
            <w:r>
              <w:rPr/>
              <w:t>-</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326" w:type="dxa"/>
            <w:tcBorders>
              <w:bottom w:val="single" w:sz="12" w:space="0" w:color="000000"/>
            </w:tcBorders>
            <w:shd w:fill="CCEEFF" w:val="clear"/>
            <w:vAlign w:val="bottom"/>
          </w:tcPr>
          <w:p>
            <w:pPr>
              <w:pStyle w:val="TableContents"/>
              <w:bidi w:val="0"/>
              <w:spacing w:before="0" w:after="283"/>
              <w:jc w:val="left"/>
              <w:rPr/>
            </w:pPr>
            <w:r>
              <w:rPr/>
              <w:t> </w:t>
            </w:r>
          </w:p>
        </w:tc>
        <w:tc>
          <w:tcPr>
            <w:tcW w:w="1763" w:type="dxa"/>
            <w:tcBorders>
              <w:bottom w:val="single" w:sz="12" w:space="0" w:color="000000"/>
            </w:tcBorders>
            <w:shd w:fill="CCEEFF" w:val="clear"/>
            <w:vAlign w:val="bottom"/>
          </w:tcPr>
          <w:p>
            <w:pPr>
              <w:pStyle w:val="TableContents"/>
              <w:bidi w:val="0"/>
              <w:spacing w:before="0" w:after="283"/>
              <w:jc w:val="right"/>
              <w:rPr/>
            </w:pPr>
            <w:r>
              <w:rPr/>
              <w:t>(3,600</w:t>
            </w:r>
          </w:p>
        </w:tc>
        <w:tc>
          <w:tcPr>
            <w:tcW w:w="95" w:type="dxa"/>
            <w:tcBorders/>
            <w:shd w:fill="CCEEFF" w:val="clear"/>
            <w:tcMar>
              <w:bottom w:w="0" w:type="dxa"/>
            </w:tcMar>
            <w:vAlign w:val="bottom"/>
          </w:tcPr>
          <w:p>
            <w:pPr>
              <w:pStyle w:val="TableContents"/>
              <w:bidi w:val="0"/>
              <w:spacing w:before="0" w:after="283"/>
              <w:jc w:val="left"/>
              <w:rPr/>
            </w:pPr>
            <w:r>
              <w:rPr/>
              <w:t>)</w:t>
            </w:r>
          </w:p>
        </w:tc>
        <w:tc>
          <w:tcPr>
            <w:tcW w:w="60" w:type="dxa"/>
            <w:tcBorders/>
            <w:shd w:fill="CCEEFF" w:val="clear"/>
            <w:tcMar>
              <w:bottom w:w="0" w:type="dxa"/>
            </w:tcMar>
            <w:vAlign w:val="bottom"/>
          </w:tcPr>
          <w:p>
            <w:pPr>
              <w:pStyle w:val="TableContents"/>
              <w:bidi w:val="0"/>
              <w:spacing w:before="0" w:after="283"/>
              <w:jc w:val="right"/>
              <w:rPr/>
            </w:pPr>
            <w:r>
              <w:rPr/>
              <w:t> </w:t>
            </w:r>
          </w:p>
        </w:tc>
        <w:tc>
          <w:tcPr>
            <w:tcW w:w="224" w:type="dxa"/>
            <w:tcBorders>
              <w:bottom w:val="single" w:sz="12" w:space="0" w:color="000000"/>
            </w:tcBorders>
            <w:shd w:fill="CCEEFF" w:val="clear"/>
            <w:vAlign w:val="bottom"/>
          </w:tcPr>
          <w:p>
            <w:pPr>
              <w:pStyle w:val="TableContents"/>
              <w:bidi w:val="0"/>
              <w:spacing w:before="0" w:after="283"/>
              <w:jc w:val="left"/>
              <w:rPr/>
            </w:pPr>
            <w:r>
              <w:rPr/>
              <w:t> </w:t>
            </w:r>
          </w:p>
        </w:tc>
        <w:tc>
          <w:tcPr>
            <w:tcW w:w="710" w:type="dxa"/>
            <w:tcBorders>
              <w:bottom w:val="single" w:sz="12" w:space="0" w:color="000000"/>
            </w:tcBorders>
            <w:shd w:fill="CCEEFF" w:val="clear"/>
            <w:vAlign w:val="bottom"/>
          </w:tcPr>
          <w:p>
            <w:pPr>
              <w:pStyle w:val="TableContents"/>
              <w:bidi w:val="0"/>
              <w:spacing w:before="0" w:after="283"/>
              <w:jc w:val="right"/>
              <w:rPr/>
            </w:pPr>
            <w:r>
              <w:rPr/>
              <w:t>(24</w:t>
            </w:r>
          </w:p>
        </w:tc>
        <w:tc>
          <w:tcPr>
            <w:tcW w:w="110" w:type="dxa"/>
            <w:tcBorders/>
            <w:shd w:fill="CCEEFF" w:val="clear"/>
            <w:tcMar>
              <w:bottom w:w="0" w:type="dxa"/>
            </w:tcMar>
            <w:vAlign w:val="bottom"/>
          </w:tcPr>
          <w:p>
            <w:pPr>
              <w:pStyle w:val="TableContents"/>
              <w:bidi w:val="0"/>
              <w:spacing w:before="0" w:after="283"/>
              <w:jc w:val="left"/>
              <w:rPr/>
            </w:pPr>
            <w:r>
              <w:rPr/>
              <w:t>)</w:t>
            </w:r>
          </w:p>
        </w:tc>
      </w:tr>
      <w:tr>
        <w:trPr/>
        <w:tc>
          <w:tcPr>
            <w:tcW w:w="830" w:type="dxa"/>
            <w:tcBorders/>
            <w:tcMar>
              <w:bottom w:w="0"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60" w:type="dxa"/>
            <w:tcBorders/>
            <w:tcMar>
              <w:bottom w:w="0" w:type="dxa"/>
            </w:tcMar>
            <w:vAlign w:val="bottom"/>
          </w:tcPr>
          <w:p>
            <w:pPr>
              <w:pStyle w:val="TableContents"/>
              <w:bidi w:val="0"/>
              <w:spacing w:before="0" w:after="283"/>
              <w:jc w:val="right"/>
              <w:rPr/>
            </w:pPr>
            <w:r>
              <w:rPr/>
              <w:t> </w:t>
            </w:r>
          </w:p>
        </w:tc>
        <w:tc>
          <w:tcPr>
            <w:tcW w:w="1176" w:type="dxa"/>
            <w:tcBorders/>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98" w:type="dxa"/>
            <w:tcBorders/>
            <w:tcMar>
              <w:bottom w:w="0"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326" w:type="dxa"/>
            <w:tcBorders/>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763" w:type="dxa"/>
            <w:tcBorders/>
            <w:tcMar>
              <w:bottom w:w="0"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(82,000</w:t>
            </w:r>
          </w:p>
        </w:tc>
        <w:tc>
          <w:tcPr>
            <w:tcW w:w="95" w:type="dxa"/>
            <w:tcBorders/>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tcMar>
              <w:bottom w:w="0" w:type="dxa"/>
            </w:tcMar>
            <w:vAlign w:val="bottom"/>
          </w:tcPr>
          <w:p>
            <w:pPr>
              <w:pStyle w:val="TableContents"/>
              <w:bidi w:val="0"/>
              <w:spacing w:before="0" w:after="283"/>
              <w:jc w:val="right"/>
              <w:rPr/>
            </w:pPr>
            <w:r>
              <w:rPr/>
              <w:t> </w:t>
            </w:r>
          </w:p>
        </w:tc>
        <w:tc>
          <w:tcPr>
            <w:tcW w:w="224" w:type="dxa"/>
            <w:tcBorders/>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10" w:type="dxa"/>
            <w:tcBorders/>
            <w:tcMar>
              <w:bottom w:w="0"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(505</w:t>
            </w:r>
          </w:p>
        </w:tc>
        <w:tc>
          <w:tcPr>
            <w:tcW w:w="110" w:type="dxa"/>
            <w:tcBorders/>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bl>
    <w:p>
      <w:pPr>
        <w:pStyle w:val="TextBody"/>
        <w:bidi w:val="0"/>
        <w:spacing w:before="0" w:after="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As of December 31, 2025</w:t>
      </w:r>
    </w:p>
    <w:p>
      <w:pPr>
        <w:pStyle w:val="TextBody"/>
        <w:bidi w:val="0"/>
        <w:spacing w:before="0" w:after="0"/>
        <w:jc w:val="left"/>
        <w:rPr/>
      </w:pPr>
      <w:r>
        <w:rPr/>
      </w:r>
    </w:p>
    <w:tbl>
      <w:tblPr>
        <w:tblW w:w="6292" w:type="dxa"/>
        <w:jc w:val="left"/>
        <w:tblInd w:w="0" w:type="dxa"/>
        <w:tblLayout w:type="fixed"/>
        <w:tblCellMar>
          <w:top w:w="0" w:type="dxa"/>
          <w:left w:w="0" w:type="dxa"/>
          <w:bottom w:w="28" w:type="dxa"/>
          <w:right w:w="0" w:type="dxa"/>
        </w:tblCellMar>
      </w:tblPr>
      <w:tblGrid>
        <w:gridCol w:w="800"/>
        <w:gridCol w:w="60"/>
        <w:gridCol w:w="1264"/>
        <w:gridCol w:w="810"/>
        <w:gridCol w:w="60"/>
        <w:gridCol w:w="60"/>
        <w:gridCol w:w="337"/>
        <w:gridCol w:w="1752"/>
        <w:gridCol w:w="80"/>
        <w:gridCol w:w="60"/>
        <w:gridCol w:w="328"/>
        <w:gridCol w:w="606"/>
        <w:gridCol w:w="75"/>
      </w:tblGrid>
      <w:tr>
        <w:trPr/>
        <w:tc>
          <w:tcPr>
            <w:tcW w:w="800" w:type="dxa"/>
            <w:tcBorders>
              <w:bottom w:val="single" w:sz="12" w:space="0" w:color="000000"/>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Maturity</w:t>
            </w:r>
          </w:p>
        </w:tc>
        <w:tc>
          <w:tcPr>
            <w:tcW w:w="60" w:type="dxa"/>
            <w:tcBorders/>
            <w:tcMar>
              <w:bottom w:w="0" w:type="dxa"/>
            </w:tcMar>
            <w:vAlign w:val="bottom"/>
          </w:tcPr>
          <w:p>
            <w:pPr>
              <w:pStyle w:val="TableContents"/>
              <w:bidi w:val="0"/>
              <w:spacing w:before="0" w:after="283"/>
              <w:jc w:val="left"/>
              <w:rPr/>
            </w:pPr>
            <w:r>
              <w:rPr/>
              <w:t> </w:t>
            </w:r>
          </w:p>
        </w:tc>
        <w:tc>
          <w:tcPr>
            <w:tcW w:w="2074" w:type="dxa"/>
            <w:gridSpan w:val="2"/>
            <w:tcBorders>
              <w:bottom w:val="single" w:sz="12" w:space="0" w:color="000000"/>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Notional Amount - Long</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2089" w:type="dxa"/>
            <w:gridSpan w:val="2"/>
            <w:tcBorders>
              <w:bottom w:val="single" w:sz="12" w:space="0" w:color="000000"/>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Notional Amount - Short</w:t>
            </w:r>
          </w:p>
        </w:tc>
        <w:tc>
          <w:tcPr>
            <w:tcW w:w="8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934" w:type="dxa"/>
            <w:gridSpan w:val="2"/>
            <w:tcBorders>
              <w:bottom w:val="single" w:sz="12" w:space="0" w:color="000000"/>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Fair Value</w:t>
            </w:r>
          </w:p>
        </w:tc>
        <w:tc>
          <w:tcPr>
            <w:tcW w:w="75" w:type="dxa"/>
            <w:tcBorders/>
            <w:tcMar>
              <w:bottom w:w="0" w:type="dxa"/>
            </w:tcMar>
            <w:vAlign w:val="bottom"/>
          </w:tcPr>
          <w:p>
            <w:pPr>
              <w:pStyle w:val="TableContents"/>
              <w:bidi w:val="0"/>
              <w:spacing w:before="0" w:after="283"/>
              <w:jc w:val="left"/>
              <w:rPr/>
            </w:pPr>
            <w:r>
              <w:rPr/>
              <w:t> </w:t>
            </w:r>
          </w:p>
        </w:tc>
      </w:tr>
      <w:tr>
        <w:trPr/>
        <w:tc>
          <w:tcPr>
            <w:tcW w:w="800" w:type="dxa"/>
            <w:tcBorders/>
            <w:shd w:fill="CCEEFF" w:val="clear"/>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7 years</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264" w:type="dxa"/>
            <w:tcBorders>
              <w:bottom w:val="single" w:sz="12" w:space="0" w:color="000000"/>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10" w:type="dxa"/>
            <w:tcBorders>
              <w:bottom w:val="single" w:sz="12" w:space="0" w:color="000000"/>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337" w:type="dxa"/>
            <w:tcBorders>
              <w:bottom w:val="single" w:sz="12" w:space="0" w:color="000000"/>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752" w:type="dxa"/>
            <w:tcBorders>
              <w:bottom w:val="single" w:sz="12" w:space="0" w:color="000000"/>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(16,800</w:t>
            </w:r>
          </w:p>
        </w:tc>
        <w:tc>
          <w:tcPr>
            <w:tcW w:w="80" w:type="dxa"/>
            <w:tcBorders/>
            <w:shd w:fill="CCEEFF" w:val="clear"/>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tcMar>
              <w:bottom w:w="0" w:type="dxa"/>
            </w:tcMar>
            <w:vAlign w:val="bottom"/>
          </w:tcPr>
          <w:p>
            <w:pPr>
              <w:pStyle w:val="TableContents"/>
              <w:bidi w:val="0"/>
              <w:spacing w:before="0" w:after="283"/>
              <w:jc w:val="right"/>
              <w:rPr/>
            </w:pPr>
            <w:r>
              <w:rPr/>
              <w:t> </w:t>
            </w:r>
          </w:p>
        </w:tc>
        <w:tc>
          <w:tcPr>
            <w:tcW w:w="328" w:type="dxa"/>
            <w:tcBorders>
              <w:bottom w:val="single" w:sz="12" w:space="0" w:color="000000"/>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6" w:type="dxa"/>
            <w:tcBorders>
              <w:bottom w:val="single" w:sz="12" w:space="0" w:color="000000"/>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36</w:t>
            </w:r>
          </w:p>
        </w:tc>
        <w:tc>
          <w:tcPr>
            <w:tcW w:w="75" w:type="dxa"/>
            <w:tcBorders/>
            <w:shd w:fill="CCEEFF" w:val="clear"/>
            <w:tcMar>
              <w:bottom w:w="0" w:type="dxa"/>
            </w:tcMar>
            <w:vAlign w:val="bottom"/>
          </w:tcPr>
          <w:p>
            <w:pPr>
              <w:pStyle w:val="TableContents"/>
              <w:bidi w:val="0"/>
              <w:spacing w:before="0" w:after="283"/>
              <w:jc w:val="left"/>
              <w:rPr/>
            </w:pPr>
            <w:r>
              <w:rPr/>
              <w:t> </w:t>
            </w:r>
          </w:p>
        </w:tc>
      </w:tr>
      <w:tr>
        <w:trPr/>
        <w:tc>
          <w:tcPr>
            <w:tcW w:w="800" w:type="dxa"/>
            <w:tcBorders/>
            <w:tcMar>
              <w:bottom w:w="0"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60" w:type="dxa"/>
            <w:tcBorders/>
            <w:tcMar>
              <w:bottom w:w="0" w:type="dxa"/>
            </w:tcMar>
            <w:vAlign w:val="bottom"/>
          </w:tcPr>
          <w:p>
            <w:pPr>
              <w:pStyle w:val="TableContents"/>
              <w:bidi w:val="0"/>
              <w:spacing w:before="0" w:after="283"/>
              <w:jc w:val="right"/>
              <w:rPr/>
            </w:pPr>
            <w:r>
              <w:rPr/>
              <w:t> </w:t>
            </w:r>
          </w:p>
        </w:tc>
        <w:tc>
          <w:tcPr>
            <w:tcW w:w="1264" w:type="dxa"/>
            <w:tcBorders/>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10" w:type="dxa"/>
            <w:tcBorders/>
            <w:tcMar>
              <w:bottom w:w="0"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337" w:type="dxa"/>
            <w:tcBorders/>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752" w:type="dxa"/>
            <w:tcBorders/>
            <w:tcMar>
              <w:bottom w:w="0"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(16,800</w:t>
            </w:r>
          </w:p>
        </w:tc>
        <w:tc>
          <w:tcPr>
            <w:tcW w:w="80" w:type="dxa"/>
            <w:tcBorders/>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tcMar>
              <w:bottom w:w="0" w:type="dxa"/>
            </w:tcMar>
            <w:vAlign w:val="bottom"/>
          </w:tcPr>
          <w:p>
            <w:pPr>
              <w:pStyle w:val="TableContents"/>
              <w:bidi w:val="0"/>
              <w:spacing w:before="0" w:after="283"/>
              <w:jc w:val="right"/>
              <w:rPr/>
            </w:pPr>
            <w:r>
              <w:rPr/>
              <w:t> </w:t>
            </w:r>
          </w:p>
        </w:tc>
        <w:tc>
          <w:tcPr>
            <w:tcW w:w="328" w:type="dxa"/>
            <w:tcBorders/>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6" w:type="dxa"/>
            <w:tcBorders/>
            <w:tcMar>
              <w:bottom w:w="0"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36</w:t>
            </w:r>
          </w:p>
        </w:tc>
        <w:tc>
          <w:tcPr>
            <w:tcW w:w="75" w:type="dxa"/>
            <w:tcBorders/>
            <w:tcMar>
              <w:bottom w:w="0" w:type="dxa"/>
            </w:tcM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The following tables present information about the Company’s TBA derivatives as of the dates indicated (dollars in thousands):</w:t>
      </w:r>
    </w:p>
    <w:p>
      <w:pPr>
        <w:pStyle w:val="TextBody"/>
        <w:bidi w:val="0"/>
        <w:spacing w:before="0" w:after="0"/>
        <w:jc w:val="left"/>
        <w:rPr/>
      </w:pPr>
      <w:r>
        <w:rPr/>
      </w:r>
    </w:p>
    <w:p>
      <w:pPr>
        <w:pStyle w:val="TextBody"/>
        <w:bidi w:val="0"/>
        <w:spacing w:before="0" w:after="0"/>
        <w:ind w:left="0" w:right="0" w:firstLine="18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As of June 30, 2026</w:t>
      </w:r>
    </w:p>
    <w:p>
      <w:pPr>
        <w:pStyle w:val="TextBody"/>
        <w:bidi w:val="0"/>
        <w:spacing w:before="0" w:after="0"/>
        <w:jc w:val="center"/>
        <w:rPr>
          <w:rFonts w:ascii="Times New Roman" w:hAnsi="Times New Roman"/>
          <w:b/>
          <w:sz w:val="20"/>
        </w:rPr>
      </w:pPr>
      <w:r>
        <w:rPr>
          <w:rFonts w:ascii="Times New Roman" w:hAnsi="Times New Roman"/>
          <w:b/>
          <w:sz w:val="20"/>
        </w:rPr>
      </w:r>
    </w:p>
    <w:tbl>
      <w:tblPr>
        <w:tblW w:w="9122" w:type="dxa"/>
        <w:jc w:val="left"/>
        <w:tblInd w:w="0" w:type="dxa"/>
        <w:tblLayout w:type="fixed"/>
        <w:tblCellMar>
          <w:top w:w="0" w:type="dxa"/>
          <w:left w:w="0" w:type="dxa"/>
          <w:bottom w:w="28" w:type="dxa"/>
          <w:right w:w="0" w:type="dxa"/>
        </w:tblCellMar>
      </w:tblPr>
      <w:tblGrid>
        <w:gridCol w:w="4160"/>
        <w:gridCol w:w="60"/>
        <w:gridCol w:w="125"/>
        <w:gridCol w:w="755"/>
        <w:gridCol w:w="80"/>
        <w:gridCol w:w="60"/>
        <w:gridCol w:w="126"/>
        <w:gridCol w:w="763"/>
        <w:gridCol w:w="80"/>
        <w:gridCol w:w="60"/>
        <w:gridCol w:w="132"/>
        <w:gridCol w:w="802"/>
        <w:gridCol w:w="80"/>
        <w:gridCol w:w="60"/>
        <w:gridCol w:w="314"/>
        <w:gridCol w:w="1370"/>
        <w:gridCol w:w="95"/>
      </w:tblGrid>
      <w:tr>
        <w:trPr/>
        <w:tc>
          <w:tcPr>
            <w:tcW w:w="4160" w:type="dxa"/>
            <w:tcBorders>
              <w:bottom w:val="single" w:sz="12" w:space="0" w:color="000000"/>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 xml:space="preserve">Purchase and sale contracts for derivative TBAs </w:t>
            </w:r>
          </w:p>
        </w:tc>
        <w:tc>
          <w:tcPr>
            <w:tcW w:w="60" w:type="dxa"/>
            <w:tcBorders/>
            <w:tcMar>
              <w:bottom w:w="0" w:type="dxa"/>
            </w:tcMar>
            <w:vAlign w:val="bottom"/>
          </w:tcPr>
          <w:p>
            <w:pPr>
              <w:pStyle w:val="TableContents"/>
              <w:bidi w:val="0"/>
              <w:spacing w:before="0" w:after="283"/>
              <w:jc w:val="left"/>
              <w:rPr/>
            </w:pPr>
            <w:r>
              <w:rPr/>
              <w:t> </w:t>
            </w:r>
          </w:p>
        </w:tc>
        <w:tc>
          <w:tcPr>
            <w:tcW w:w="880" w:type="dxa"/>
            <w:gridSpan w:val="2"/>
            <w:tcBorders>
              <w:bottom w:val="single" w:sz="12" w:space="0" w:color="000000"/>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Notional</w:t>
            </w:r>
          </w:p>
        </w:tc>
        <w:tc>
          <w:tcPr>
            <w:tcW w:w="8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889" w:type="dxa"/>
            <w:gridSpan w:val="2"/>
            <w:tcBorders>
              <w:bottom w:val="single" w:sz="12" w:space="0" w:color="000000"/>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Cost Basis</w:t>
            </w:r>
          </w:p>
        </w:tc>
        <w:tc>
          <w:tcPr>
            <w:tcW w:w="8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934" w:type="dxa"/>
            <w:gridSpan w:val="2"/>
            <w:tcBorders>
              <w:bottom w:val="single" w:sz="12" w:space="0" w:color="000000"/>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Fair Value</w:t>
            </w:r>
          </w:p>
        </w:tc>
        <w:tc>
          <w:tcPr>
            <w:tcW w:w="8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684" w:type="dxa"/>
            <w:gridSpan w:val="2"/>
            <w:tcBorders>
              <w:bottom w:val="single" w:sz="12" w:space="0" w:color="000000"/>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Net Carrying Value</w:t>
            </w:r>
          </w:p>
        </w:tc>
        <w:tc>
          <w:tcPr>
            <w:tcW w:w="95" w:type="dxa"/>
            <w:tcBorders/>
            <w:tcMar>
              <w:bottom w:w="0" w:type="dxa"/>
            </w:tcMar>
            <w:vAlign w:val="bottom"/>
          </w:tcPr>
          <w:p>
            <w:pPr>
              <w:pStyle w:val="TableContents"/>
              <w:bidi w:val="0"/>
              <w:spacing w:before="0" w:after="283"/>
              <w:jc w:val="left"/>
              <w:rPr/>
            </w:pPr>
            <w:r>
              <w:rPr/>
              <w:t> </w:t>
            </w:r>
          </w:p>
        </w:tc>
      </w:tr>
      <w:tr>
        <w:trPr/>
        <w:tc>
          <w:tcPr>
            <w:tcW w:w="4160" w:type="dxa"/>
            <w:tcBorders/>
            <w:shd w:fill="CCEEFF" w:val="clear"/>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Purchase contracts</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25" w:type="dxa"/>
            <w:tcBorders/>
            <w:shd w:fill="CCEEFF" w:val="clear"/>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55" w:type="dxa"/>
            <w:tcBorders/>
            <w:shd w:fill="CCEEFF" w:val="clear"/>
            <w:tcMar>
              <w:bottom w:w="0"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431,125</w:t>
            </w:r>
          </w:p>
        </w:tc>
        <w:tc>
          <w:tcPr>
            <w:tcW w:w="8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26" w:type="dxa"/>
            <w:tcBorders/>
            <w:shd w:fill="CCEEFF" w:val="clear"/>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63" w:type="dxa"/>
            <w:tcBorders/>
            <w:shd w:fill="CCEEFF" w:val="clear"/>
            <w:tcMar>
              <w:bottom w:w="0"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429,155</w:t>
            </w:r>
          </w:p>
        </w:tc>
        <w:tc>
          <w:tcPr>
            <w:tcW w:w="8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32" w:type="dxa"/>
            <w:tcBorders/>
            <w:shd w:fill="CCEEFF" w:val="clear"/>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02" w:type="dxa"/>
            <w:tcBorders/>
            <w:shd w:fill="CCEEFF" w:val="clear"/>
            <w:tcMar>
              <w:bottom w:w="0"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430,279</w:t>
            </w:r>
          </w:p>
        </w:tc>
        <w:tc>
          <w:tcPr>
            <w:tcW w:w="8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314" w:type="dxa"/>
            <w:tcBorders/>
            <w:shd w:fill="CCEEFF" w:val="clear"/>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370" w:type="dxa"/>
            <w:tcBorders/>
            <w:shd w:fill="CCEEFF" w:val="clear"/>
            <w:tcMar>
              <w:bottom w:w="0"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1,124</w:t>
            </w:r>
          </w:p>
        </w:tc>
        <w:tc>
          <w:tcPr>
            <w:tcW w:w="95" w:type="dxa"/>
            <w:tcBorders/>
            <w:shd w:fill="CCEEFF" w:val="clear"/>
            <w:tcMar>
              <w:bottom w:w="0" w:type="dxa"/>
            </w:tcMar>
            <w:vAlign w:val="bottom"/>
          </w:tcPr>
          <w:p>
            <w:pPr>
              <w:pStyle w:val="TableContents"/>
              <w:bidi w:val="0"/>
              <w:spacing w:before="0" w:after="283"/>
              <w:jc w:val="left"/>
              <w:rPr/>
            </w:pPr>
            <w:r>
              <w:rPr/>
              <w:t> </w:t>
            </w:r>
          </w:p>
        </w:tc>
      </w:tr>
      <w:tr>
        <w:trPr/>
        <w:tc>
          <w:tcPr>
            <w:tcW w:w="4160" w:type="dxa"/>
            <w:tcBorders/>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Sale contracts</w:t>
            </w:r>
          </w:p>
        </w:tc>
        <w:tc>
          <w:tcPr>
            <w:tcW w:w="60" w:type="dxa"/>
            <w:tcBorders/>
            <w:tcMar>
              <w:bottom w:w="0" w:type="dxa"/>
            </w:tcMar>
            <w:vAlign w:val="bottom"/>
          </w:tcPr>
          <w:p>
            <w:pPr>
              <w:pStyle w:val="TableContents"/>
              <w:bidi w:val="0"/>
              <w:spacing w:before="0" w:after="283"/>
              <w:jc w:val="right"/>
              <w:rPr/>
            </w:pPr>
            <w:r>
              <w:rPr/>
              <w:t> </w:t>
            </w:r>
          </w:p>
        </w:tc>
        <w:tc>
          <w:tcPr>
            <w:tcW w:w="125" w:type="dxa"/>
            <w:tcBorders>
              <w:bottom w:val="single" w:sz="12" w:space="0" w:color="000000"/>
            </w:tcBorders>
            <w:vAlign w:val="bottom"/>
          </w:tcPr>
          <w:p>
            <w:pPr>
              <w:pStyle w:val="TableContents"/>
              <w:bidi w:val="0"/>
              <w:spacing w:before="0" w:after="283"/>
              <w:jc w:val="left"/>
              <w:rPr/>
            </w:pPr>
            <w:r>
              <w:rPr/>
              <w:t> </w:t>
            </w:r>
          </w:p>
        </w:tc>
        <w:tc>
          <w:tcPr>
            <w:tcW w:w="755" w:type="dxa"/>
            <w:tcBorders>
              <w:bottom w:val="single" w:sz="12" w:space="0" w:color="000000"/>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(698,060</w:t>
            </w:r>
          </w:p>
        </w:tc>
        <w:tc>
          <w:tcPr>
            <w:tcW w:w="80" w:type="dxa"/>
            <w:tcBorders/>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tcMar>
              <w:bottom w:w="0" w:type="dxa"/>
            </w:tcMar>
            <w:vAlign w:val="bottom"/>
          </w:tcPr>
          <w:p>
            <w:pPr>
              <w:pStyle w:val="TableContents"/>
              <w:bidi w:val="0"/>
              <w:spacing w:before="0" w:after="283"/>
              <w:jc w:val="right"/>
              <w:rPr/>
            </w:pPr>
            <w:r>
              <w:rPr/>
              <w:t> </w:t>
            </w:r>
          </w:p>
        </w:tc>
        <w:tc>
          <w:tcPr>
            <w:tcW w:w="126" w:type="dxa"/>
            <w:tcBorders>
              <w:bottom w:val="single" w:sz="12" w:space="0" w:color="000000"/>
            </w:tcBorders>
            <w:vAlign w:val="bottom"/>
          </w:tcPr>
          <w:p>
            <w:pPr>
              <w:pStyle w:val="TableContents"/>
              <w:bidi w:val="0"/>
              <w:spacing w:before="0" w:after="283"/>
              <w:jc w:val="left"/>
              <w:rPr/>
            </w:pPr>
            <w:r>
              <w:rPr/>
              <w:t> </w:t>
            </w:r>
          </w:p>
        </w:tc>
        <w:tc>
          <w:tcPr>
            <w:tcW w:w="763" w:type="dxa"/>
            <w:tcBorders>
              <w:bottom w:val="single" w:sz="12" w:space="0" w:color="000000"/>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(691,443</w:t>
            </w:r>
          </w:p>
        </w:tc>
        <w:tc>
          <w:tcPr>
            <w:tcW w:w="80" w:type="dxa"/>
            <w:tcBorders/>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tcMar>
              <w:bottom w:w="0" w:type="dxa"/>
            </w:tcMar>
            <w:vAlign w:val="bottom"/>
          </w:tcPr>
          <w:p>
            <w:pPr>
              <w:pStyle w:val="TableContents"/>
              <w:bidi w:val="0"/>
              <w:spacing w:before="0" w:after="283"/>
              <w:jc w:val="right"/>
              <w:rPr/>
            </w:pPr>
            <w:r>
              <w:rPr/>
              <w:t> </w:t>
            </w:r>
          </w:p>
        </w:tc>
        <w:tc>
          <w:tcPr>
            <w:tcW w:w="132" w:type="dxa"/>
            <w:tcBorders>
              <w:bottom w:val="single" w:sz="12" w:space="0" w:color="000000"/>
            </w:tcBorders>
            <w:vAlign w:val="bottom"/>
          </w:tcPr>
          <w:p>
            <w:pPr>
              <w:pStyle w:val="TableContents"/>
              <w:bidi w:val="0"/>
              <w:spacing w:before="0" w:after="283"/>
              <w:jc w:val="left"/>
              <w:rPr/>
            </w:pPr>
            <w:r>
              <w:rPr/>
              <w:t> </w:t>
            </w:r>
          </w:p>
        </w:tc>
        <w:tc>
          <w:tcPr>
            <w:tcW w:w="802" w:type="dxa"/>
            <w:tcBorders>
              <w:bottom w:val="single" w:sz="12" w:space="0" w:color="000000"/>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(693,288</w:t>
            </w:r>
          </w:p>
        </w:tc>
        <w:tc>
          <w:tcPr>
            <w:tcW w:w="80" w:type="dxa"/>
            <w:tcBorders/>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tcMar>
              <w:bottom w:w="0" w:type="dxa"/>
            </w:tcMar>
            <w:vAlign w:val="bottom"/>
          </w:tcPr>
          <w:p>
            <w:pPr>
              <w:pStyle w:val="TableContents"/>
              <w:bidi w:val="0"/>
              <w:spacing w:before="0" w:after="283"/>
              <w:jc w:val="right"/>
              <w:rPr/>
            </w:pPr>
            <w:r>
              <w:rPr/>
              <w:t> </w:t>
            </w:r>
          </w:p>
        </w:tc>
        <w:tc>
          <w:tcPr>
            <w:tcW w:w="314" w:type="dxa"/>
            <w:tcBorders>
              <w:bottom w:val="single" w:sz="12" w:space="0" w:color="000000"/>
            </w:tcBorders>
            <w:vAlign w:val="bottom"/>
          </w:tcPr>
          <w:p>
            <w:pPr>
              <w:pStyle w:val="TableContents"/>
              <w:bidi w:val="0"/>
              <w:spacing w:before="0" w:after="283"/>
              <w:jc w:val="left"/>
              <w:rPr/>
            </w:pPr>
            <w:r>
              <w:rPr/>
              <w:t> </w:t>
            </w:r>
          </w:p>
        </w:tc>
        <w:tc>
          <w:tcPr>
            <w:tcW w:w="1370" w:type="dxa"/>
            <w:tcBorders>
              <w:bottom w:val="single" w:sz="12" w:space="0" w:color="000000"/>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(1,845</w:t>
            </w:r>
          </w:p>
        </w:tc>
        <w:tc>
          <w:tcPr>
            <w:tcW w:w="95" w:type="dxa"/>
            <w:tcBorders/>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4160" w:type="dxa"/>
            <w:tcBorders/>
            <w:shd w:fill="CCEEFF" w:val="clear"/>
            <w:tcMar>
              <w:bottom w:w="0"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Net TBA derivatives</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25" w:type="dxa"/>
            <w:tcBorders/>
            <w:shd w:fill="CCEEFF" w:val="clear"/>
            <w:tcMar>
              <w:bottom w:w="0"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755" w:type="dxa"/>
            <w:tcBorders/>
            <w:shd w:fill="CCEEFF" w:val="clear"/>
            <w:tcMar>
              <w:bottom w:w="0"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(266,935</w:t>
            </w:r>
          </w:p>
        </w:tc>
        <w:tc>
          <w:tcPr>
            <w:tcW w:w="80" w:type="dxa"/>
            <w:tcBorders/>
            <w:shd w:fill="CCEEFF" w:val="clear"/>
            <w:tcMar>
              <w:bottom w:w="0"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26" w:type="dxa"/>
            <w:tcBorders/>
            <w:shd w:fill="CCEEFF" w:val="clear"/>
            <w:tcMar>
              <w:bottom w:w="0"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763" w:type="dxa"/>
            <w:tcBorders/>
            <w:shd w:fill="CCEEFF" w:val="clear"/>
            <w:tcMar>
              <w:bottom w:w="0"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(262,288</w:t>
            </w:r>
          </w:p>
        </w:tc>
        <w:tc>
          <w:tcPr>
            <w:tcW w:w="80" w:type="dxa"/>
            <w:tcBorders/>
            <w:shd w:fill="CCEEFF" w:val="clear"/>
            <w:tcMar>
              <w:bottom w:w="0"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32" w:type="dxa"/>
            <w:tcBorders/>
            <w:shd w:fill="CCEEFF" w:val="clear"/>
            <w:tcMar>
              <w:bottom w:w="0"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802" w:type="dxa"/>
            <w:tcBorders/>
            <w:shd w:fill="CCEEFF" w:val="clear"/>
            <w:tcMar>
              <w:bottom w:w="0"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(263,009</w:t>
            </w:r>
          </w:p>
        </w:tc>
        <w:tc>
          <w:tcPr>
            <w:tcW w:w="80" w:type="dxa"/>
            <w:tcBorders/>
            <w:shd w:fill="CCEEFF" w:val="clear"/>
            <w:tcMar>
              <w:bottom w:w="0"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shd w:fill="CCEEFF" w:val="clear"/>
            <w:tcMar>
              <w:bottom w:w="0" w:type="dxa"/>
            </w:tcMar>
            <w:vAlign w:val="bottom"/>
          </w:tcPr>
          <w:p>
            <w:pPr>
              <w:pStyle w:val="TableContents"/>
              <w:bidi w:val="0"/>
              <w:spacing w:before="0" w:after="283"/>
              <w:jc w:val="right"/>
              <w:rPr/>
            </w:pPr>
            <w:r>
              <w:rPr/>
              <w:t> </w:t>
            </w:r>
          </w:p>
        </w:tc>
        <w:tc>
          <w:tcPr>
            <w:tcW w:w="314" w:type="dxa"/>
            <w:tcBorders/>
            <w:shd w:fill="CCEEFF" w:val="clear"/>
            <w:tcMar>
              <w:bottom w:w="0"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1370" w:type="dxa"/>
            <w:tcBorders/>
            <w:shd w:fill="CCEEFF" w:val="clear"/>
            <w:tcMar>
              <w:bottom w:w="0"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(721</w:t>
            </w:r>
          </w:p>
        </w:tc>
        <w:tc>
          <w:tcPr>
            <w:tcW w:w="95" w:type="dxa"/>
            <w:tcBorders/>
            <w:shd w:fill="CCEEFF" w:val="clear"/>
            <w:tcMar>
              <w:bottom w:w="0"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r>
    </w:tbl>
    <w:p>
      <w:pPr>
        <w:pStyle w:val="TextBody"/>
        <w:bidi w:val="0"/>
        <w:spacing w:before="0" w:after="0"/>
        <w:jc w:val="left"/>
        <w:rPr/>
      </w:pPr>
      <w:r>
        <w:rPr/>
      </w:r>
    </w:p>
    <w:p>
      <w:pPr>
        <w:pStyle w:val="TextBody"/>
        <w:bidi w:val="0"/>
        <w:spacing w:before="0" w:after="0"/>
        <w:jc w:val="center"/>
        <w:rPr>
          <w:rFonts w:ascii="Times New Roman" w:hAnsi="Times New Roman"/>
          <w:color w:val="000000"/>
          <w:sz w:val="20"/>
          <w:shd w:fill="FFFFFF" w:val="clear"/>
        </w:rPr>
      </w:pPr>
      <w:r>
        <w:rPr>
          <w:rFonts w:ascii="Times New Roman" w:hAnsi="Times New Roman"/>
          <w:b/>
          <w:i w:val="false"/>
          <w:caps w:val="false"/>
          <w:smallCaps w:val="false"/>
          <w:color w:val="000000"/>
          <w:sz w:val="20"/>
          <w:shd w:fill="FFFFFF" w:val="clear"/>
        </w:rPr>
        <w:t>As of December 31, 2025</w:t>
      </w:r>
      <w:r>
        <w:rPr>
          <w:rFonts w:ascii="Times New Roman" w:hAnsi="Times New Roman"/>
          <w:color w:val="000000"/>
          <w:sz w:val="20"/>
          <w:shd w:fill="FFFFFF" w:val="clear"/>
        </w:rPr>
        <w:t xml:space="preserve"> </w:t>
      </w:r>
    </w:p>
    <w:p>
      <w:pPr>
        <w:pStyle w:val="TextBody"/>
        <w:bidi w:val="0"/>
        <w:spacing w:before="0" w:after="0"/>
        <w:jc w:val="left"/>
        <w:rPr/>
      </w:pPr>
      <w:r>
        <w:rPr/>
      </w:r>
    </w:p>
    <w:tbl>
      <w:tblPr>
        <w:tblW w:w="9122" w:type="dxa"/>
        <w:jc w:val="left"/>
        <w:tblInd w:w="0" w:type="dxa"/>
        <w:tblLayout w:type="fixed"/>
        <w:tblCellMar>
          <w:top w:w="0" w:type="dxa"/>
          <w:left w:w="0" w:type="dxa"/>
          <w:bottom w:w="28" w:type="dxa"/>
          <w:right w:w="0" w:type="dxa"/>
        </w:tblCellMar>
      </w:tblPr>
      <w:tblGrid>
        <w:gridCol w:w="4160"/>
        <w:gridCol w:w="60"/>
        <w:gridCol w:w="125"/>
        <w:gridCol w:w="755"/>
        <w:gridCol w:w="80"/>
        <w:gridCol w:w="60"/>
        <w:gridCol w:w="126"/>
        <w:gridCol w:w="763"/>
        <w:gridCol w:w="80"/>
        <w:gridCol w:w="60"/>
        <w:gridCol w:w="132"/>
        <w:gridCol w:w="802"/>
        <w:gridCol w:w="80"/>
        <w:gridCol w:w="60"/>
        <w:gridCol w:w="314"/>
        <w:gridCol w:w="1370"/>
        <w:gridCol w:w="95"/>
      </w:tblGrid>
      <w:tr>
        <w:trPr/>
        <w:tc>
          <w:tcPr>
            <w:tcW w:w="4160" w:type="dxa"/>
            <w:tcBorders>
              <w:bottom w:val="single" w:sz="12" w:space="0" w:color="000000"/>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 xml:space="preserve">Purchase and sale contracts for derivative TBAs </w:t>
            </w:r>
          </w:p>
        </w:tc>
        <w:tc>
          <w:tcPr>
            <w:tcW w:w="60" w:type="dxa"/>
            <w:tcBorders/>
            <w:tcMar>
              <w:bottom w:w="0" w:type="dxa"/>
            </w:tcMar>
            <w:vAlign w:val="bottom"/>
          </w:tcPr>
          <w:p>
            <w:pPr>
              <w:pStyle w:val="TableContents"/>
              <w:bidi w:val="0"/>
              <w:spacing w:before="0" w:after="283"/>
              <w:jc w:val="left"/>
              <w:rPr/>
            </w:pPr>
            <w:r>
              <w:rPr/>
              <w:t> </w:t>
            </w:r>
          </w:p>
        </w:tc>
        <w:tc>
          <w:tcPr>
            <w:tcW w:w="880" w:type="dxa"/>
            <w:gridSpan w:val="2"/>
            <w:tcBorders>
              <w:bottom w:val="single" w:sz="12" w:space="0" w:color="000000"/>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Notional</w:t>
            </w:r>
          </w:p>
        </w:tc>
        <w:tc>
          <w:tcPr>
            <w:tcW w:w="8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889" w:type="dxa"/>
            <w:gridSpan w:val="2"/>
            <w:tcBorders>
              <w:bottom w:val="single" w:sz="12" w:space="0" w:color="000000"/>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Cost Basis</w:t>
            </w:r>
          </w:p>
        </w:tc>
        <w:tc>
          <w:tcPr>
            <w:tcW w:w="8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934" w:type="dxa"/>
            <w:gridSpan w:val="2"/>
            <w:tcBorders>
              <w:bottom w:val="single" w:sz="12" w:space="0" w:color="000000"/>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Fair Value</w:t>
            </w:r>
          </w:p>
        </w:tc>
        <w:tc>
          <w:tcPr>
            <w:tcW w:w="8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684" w:type="dxa"/>
            <w:gridSpan w:val="2"/>
            <w:tcBorders>
              <w:bottom w:val="single" w:sz="12" w:space="0" w:color="000000"/>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Net Carrying Value</w:t>
            </w:r>
          </w:p>
        </w:tc>
        <w:tc>
          <w:tcPr>
            <w:tcW w:w="95" w:type="dxa"/>
            <w:tcBorders/>
            <w:tcMar>
              <w:bottom w:w="0" w:type="dxa"/>
            </w:tcMar>
            <w:vAlign w:val="bottom"/>
          </w:tcPr>
          <w:p>
            <w:pPr>
              <w:pStyle w:val="TableContents"/>
              <w:bidi w:val="0"/>
              <w:spacing w:before="0" w:after="283"/>
              <w:jc w:val="left"/>
              <w:rPr/>
            </w:pPr>
            <w:r>
              <w:rPr/>
              <w:t> </w:t>
            </w:r>
          </w:p>
        </w:tc>
      </w:tr>
      <w:tr>
        <w:trPr/>
        <w:tc>
          <w:tcPr>
            <w:tcW w:w="4160" w:type="dxa"/>
            <w:tcBorders/>
            <w:shd w:fill="CCEEFF" w:val="clear"/>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Purchase contracts</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25" w:type="dxa"/>
            <w:tcBorders/>
            <w:shd w:fill="CCEEFF" w:val="clear"/>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55" w:type="dxa"/>
            <w:tcBorders/>
            <w:shd w:fill="CCEEFF" w:val="clear"/>
            <w:tcMar>
              <w:bottom w:w="0"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193,125</w:t>
            </w:r>
          </w:p>
        </w:tc>
        <w:tc>
          <w:tcPr>
            <w:tcW w:w="8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26" w:type="dxa"/>
            <w:tcBorders/>
            <w:shd w:fill="CCEEFF" w:val="clear"/>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63" w:type="dxa"/>
            <w:tcBorders/>
            <w:shd w:fill="CCEEFF" w:val="clear"/>
            <w:tcMar>
              <w:bottom w:w="0"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193,318</w:t>
            </w:r>
          </w:p>
        </w:tc>
        <w:tc>
          <w:tcPr>
            <w:tcW w:w="8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32" w:type="dxa"/>
            <w:tcBorders/>
            <w:shd w:fill="CCEEFF" w:val="clear"/>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02" w:type="dxa"/>
            <w:tcBorders/>
            <w:shd w:fill="CCEEFF" w:val="clear"/>
            <w:tcMar>
              <w:bottom w:w="0"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193,942</w:t>
            </w:r>
          </w:p>
        </w:tc>
        <w:tc>
          <w:tcPr>
            <w:tcW w:w="8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314" w:type="dxa"/>
            <w:tcBorders/>
            <w:shd w:fill="CCEEFF" w:val="clear"/>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370" w:type="dxa"/>
            <w:tcBorders/>
            <w:shd w:fill="CCEEFF" w:val="clear"/>
            <w:tcMar>
              <w:bottom w:w="0"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624</w:t>
            </w:r>
          </w:p>
        </w:tc>
        <w:tc>
          <w:tcPr>
            <w:tcW w:w="95" w:type="dxa"/>
            <w:tcBorders/>
            <w:shd w:fill="CCEEFF" w:val="clear"/>
            <w:tcMar>
              <w:bottom w:w="0" w:type="dxa"/>
            </w:tcMar>
            <w:vAlign w:val="bottom"/>
          </w:tcPr>
          <w:p>
            <w:pPr>
              <w:pStyle w:val="TableContents"/>
              <w:bidi w:val="0"/>
              <w:spacing w:before="0" w:after="283"/>
              <w:jc w:val="left"/>
              <w:rPr/>
            </w:pPr>
            <w:r>
              <w:rPr/>
              <w:t> </w:t>
            </w:r>
          </w:p>
        </w:tc>
      </w:tr>
      <w:tr>
        <w:trPr/>
        <w:tc>
          <w:tcPr>
            <w:tcW w:w="4160" w:type="dxa"/>
            <w:tcBorders/>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Sale contracts</w:t>
            </w:r>
          </w:p>
        </w:tc>
        <w:tc>
          <w:tcPr>
            <w:tcW w:w="60" w:type="dxa"/>
            <w:tcBorders/>
            <w:tcMar>
              <w:bottom w:w="0" w:type="dxa"/>
            </w:tcMar>
            <w:vAlign w:val="bottom"/>
          </w:tcPr>
          <w:p>
            <w:pPr>
              <w:pStyle w:val="TableContents"/>
              <w:bidi w:val="0"/>
              <w:spacing w:before="0" w:after="283"/>
              <w:jc w:val="right"/>
              <w:rPr/>
            </w:pPr>
            <w:r>
              <w:rPr/>
              <w:t> </w:t>
            </w:r>
          </w:p>
        </w:tc>
        <w:tc>
          <w:tcPr>
            <w:tcW w:w="125" w:type="dxa"/>
            <w:tcBorders>
              <w:bottom w:val="single" w:sz="12" w:space="0" w:color="000000"/>
            </w:tcBorders>
            <w:vAlign w:val="bottom"/>
          </w:tcPr>
          <w:p>
            <w:pPr>
              <w:pStyle w:val="TableContents"/>
              <w:bidi w:val="0"/>
              <w:spacing w:before="0" w:after="283"/>
              <w:jc w:val="left"/>
              <w:rPr/>
            </w:pPr>
            <w:r>
              <w:rPr/>
              <w:t> </w:t>
            </w:r>
          </w:p>
        </w:tc>
        <w:tc>
          <w:tcPr>
            <w:tcW w:w="755" w:type="dxa"/>
            <w:tcBorders>
              <w:bottom w:val="single" w:sz="12" w:space="0" w:color="000000"/>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(602,600</w:t>
            </w:r>
          </w:p>
        </w:tc>
        <w:tc>
          <w:tcPr>
            <w:tcW w:w="80" w:type="dxa"/>
            <w:tcBorders/>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tcMar>
              <w:bottom w:w="0" w:type="dxa"/>
            </w:tcMar>
            <w:vAlign w:val="bottom"/>
          </w:tcPr>
          <w:p>
            <w:pPr>
              <w:pStyle w:val="TableContents"/>
              <w:bidi w:val="0"/>
              <w:spacing w:before="0" w:after="283"/>
              <w:jc w:val="right"/>
              <w:rPr/>
            </w:pPr>
            <w:r>
              <w:rPr/>
              <w:t> </w:t>
            </w:r>
          </w:p>
        </w:tc>
        <w:tc>
          <w:tcPr>
            <w:tcW w:w="126" w:type="dxa"/>
            <w:tcBorders>
              <w:bottom w:val="single" w:sz="12" w:space="0" w:color="000000"/>
            </w:tcBorders>
            <w:vAlign w:val="bottom"/>
          </w:tcPr>
          <w:p>
            <w:pPr>
              <w:pStyle w:val="TableContents"/>
              <w:bidi w:val="0"/>
              <w:spacing w:before="0" w:after="283"/>
              <w:jc w:val="left"/>
              <w:rPr/>
            </w:pPr>
            <w:r>
              <w:rPr/>
              <w:t> </w:t>
            </w:r>
          </w:p>
        </w:tc>
        <w:tc>
          <w:tcPr>
            <w:tcW w:w="763" w:type="dxa"/>
            <w:tcBorders>
              <w:bottom w:val="single" w:sz="12" w:space="0" w:color="000000"/>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(600,954</w:t>
            </w:r>
          </w:p>
        </w:tc>
        <w:tc>
          <w:tcPr>
            <w:tcW w:w="80" w:type="dxa"/>
            <w:tcBorders/>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tcMar>
              <w:bottom w:w="0" w:type="dxa"/>
            </w:tcMar>
            <w:vAlign w:val="bottom"/>
          </w:tcPr>
          <w:p>
            <w:pPr>
              <w:pStyle w:val="TableContents"/>
              <w:bidi w:val="0"/>
              <w:spacing w:before="0" w:after="283"/>
              <w:jc w:val="right"/>
              <w:rPr/>
            </w:pPr>
            <w:r>
              <w:rPr/>
              <w:t> </w:t>
            </w:r>
          </w:p>
        </w:tc>
        <w:tc>
          <w:tcPr>
            <w:tcW w:w="132" w:type="dxa"/>
            <w:tcBorders>
              <w:bottom w:val="single" w:sz="12" w:space="0" w:color="000000"/>
            </w:tcBorders>
            <w:vAlign w:val="bottom"/>
          </w:tcPr>
          <w:p>
            <w:pPr>
              <w:pStyle w:val="TableContents"/>
              <w:bidi w:val="0"/>
              <w:spacing w:before="0" w:after="283"/>
              <w:jc w:val="left"/>
              <w:rPr/>
            </w:pPr>
            <w:r>
              <w:rPr/>
              <w:t> </w:t>
            </w:r>
          </w:p>
        </w:tc>
        <w:tc>
          <w:tcPr>
            <w:tcW w:w="802" w:type="dxa"/>
            <w:tcBorders>
              <w:bottom w:val="single" w:sz="12" w:space="0" w:color="000000"/>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(602,654</w:t>
            </w:r>
          </w:p>
        </w:tc>
        <w:tc>
          <w:tcPr>
            <w:tcW w:w="80" w:type="dxa"/>
            <w:tcBorders/>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tcMar>
              <w:bottom w:w="0" w:type="dxa"/>
            </w:tcMar>
            <w:vAlign w:val="bottom"/>
          </w:tcPr>
          <w:p>
            <w:pPr>
              <w:pStyle w:val="TableContents"/>
              <w:bidi w:val="0"/>
              <w:spacing w:before="0" w:after="283"/>
              <w:jc w:val="right"/>
              <w:rPr/>
            </w:pPr>
            <w:r>
              <w:rPr/>
              <w:t> </w:t>
            </w:r>
          </w:p>
        </w:tc>
        <w:tc>
          <w:tcPr>
            <w:tcW w:w="314" w:type="dxa"/>
            <w:tcBorders>
              <w:bottom w:val="single" w:sz="12" w:space="0" w:color="000000"/>
            </w:tcBorders>
            <w:vAlign w:val="bottom"/>
          </w:tcPr>
          <w:p>
            <w:pPr>
              <w:pStyle w:val="TableContents"/>
              <w:bidi w:val="0"/>
              <w:spacing w:before="0" w:after="283"/>
              <w:jc w:val="left"/>
              <w:rPr/>
            </w:pPr>
            <w:r>
              <w:rPr/>
              <w:t> </w:t>
            </w:r>
          </w:p>
        </w:tc>
        <w:tc>
          <w:tcPr>
            <w:tcW w:w="1370" w:type="dxa"/>
            <w:tcBorders>
              <w:bottom w:val="single" w:sz="12" w:space="0" w:color="000000"/>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(1,700</w:t>
            </w:r>
          </w:p>
        </w:tc>
        <w:tc>
          <w:tcPr>
            <w:tcW w:w="95" w:type="dxa"/>
            <w:tcBorders/>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4160" w:type="dxa"/>
            <w:tcBorders/>
            <w:shd w:fill="CCEEFF" w:val="clear"/>
            <w:tcMar>
              <w:bottom w:w="0"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Net TBA derivatives</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25" w:type="dxa"/>
            <w:tcBorders/>
            <w:shd w:fill="CCEEFF" w:val="clear"/>
            <w:tcMar>
              <w:bottom w:w="0"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755" w:type="dxa"/>
            <w:tcBorders/>
            <w:shd w:fill="CCEEFF" w:val="clear"/>
            <w:tcMar>
              <w:bottom w:w="0"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(409,475</w:t>
            </w:r>
          </w:p>
        </w:tc>
        <w:tc>
          <w:tcPr>
            <w:tcW w:w="80" w:type="dxa"/>
            <w:tcBorders/>
            <w:shd w:fill="CCEEFF" w:val="clear"/>
            <w:tcMar>
              <w:bottom w:w="0"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26" w:type="dxa"/>
            <w:tcBorders/>
            <w:shd w:fill="CCEEFF" w:val="clear"/>
            <w:tcMar>
              <w:bottom w:w="0"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763" w:type="dxa"/>
            <w:tcBorders/>
            <w:shd w:fill="CCEEFF" w:val="clear"/>
            <w:tcMar>
              <w:bottom w:w="0"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(407,636</w:t>
            </w:r>
          </w:p>
        </w:tc>
        <w:tc>
          <w:tcPr>
            <w:tcW w:w="80" w:type="dxa"/>
            <w:tcBorders/>
            <w:shd w:fill="CCEEFF" w:val="clear"/>
            <w:tcMar>
              <w:bottom w:w="0"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32" w:type="dxa"/>
            <w:tcBorders/>
            <w:shd w:fill="CCEEFF" w:val="clear"/>
            <w:tcMar>
              <w:bottom w:w="0"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802" w:type="dxa"/>
            <w:tcBorders/>
            <w:shd w:fill="CCEEFF" w:val="clear"/>
            <w:tcMar>
              <w:bottom w:w="0"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(408,712</w:t>
            </w:r>
          </w:p>
        </w:tc>
        <w:tc>
          <w:tcPr>
            <w:tcW w:w="80" w:type="dxa"/>
            <w:tcBorders/>
            <w:shd w:fill="CCEEFF" w:val="clear"/>
            <w:tcMar>
              <w:bottom w:w="0"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shd w:fill="CCEEFF" w:val="clear"/>
            <w:tcMar>
              <w:bottom w:w="0" w:type="dxa"/>
            </w:tcMar>
            <w:vAlign w:val="bottom"/>
          </w:tcPr>
          <w:p>
            <w:pPr>
              <w:pStyle w:val="TableContents"/>
              <w:bidi w:val="0"/>
              <w:spacing w:before="0" w:after="283"/>
              <w:jc w:val="right"/>
              <w:rPr/>
            </w:pPr>
            <w:r>
              <w:rPr/>
              <w:t> </w:t>
            </w:r>
          </w:p>
        </w:tc>
        <w:tc>
          <w:tcPr>
            <w:tcW w:w="314" w:type="dxa"/>
            <w:tcBorders/>
            <w:shd w:fill="CCEEFF" w:val="clear"/>
            <w:tcMar>
              <w:bottom w:w="0"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1370" w:type="dxa"/>
            <w:tcBorders/>
            <w:shd w:fill="CCEEFF" w:val="clear"/>
            <w:tcMar>
              <w:bottom w:w="0"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(1,076</w:t>
            </w:r>
          </w:p>
        </w:tc>
        <w:tc>
          <w:tcPr>
            <w:tcW w:w="95" w:type="dxa"/>
            <w:tcBorders/>
            <w:shd w:fill="CCEEFF" w:val="clear"/>
            <w:tcMar>
              <w:bottom w:w="0"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32</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The following tables present information about the Company’s U.S. Treasury futures agreements as of the dates indicated (dollars in thousands):</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As of June 30, 2026</w:t>
      </w:r>
    </w:p>
    <w:p>
      <w:pPr>
        <w:pStyle w:val="TextBody"/>
        <w:bidi w:val="0"/>
        <w:spacing w:before="0" w:after="0"/>
        <w:jc w:val="left"/>
        <w:rPr/>
      </w:pPr>
      <w:r>
        <w:rPr/>
      </w:r>
    </w:p>
    <w:tbl>
      <w:tblPr>
        <w:tblW w:w="6508" w:type="dxa"/>
        <w:jc w:val="left"/>
        <w:tblInd w:w="0" w:type="dxa"/>
        <w:tblLayout w:type="fixed"/>
        <w:tblCellMar>
          <w:top w:w="0" w:type="dxa"/>
          <w:left w:w="0" w:type="dxa"/>
          <w:bottom w:w="28" w:type="dxa"/>
          <w:right w:w="0" w:type="dxa"/>
        </w:tblCellMar>
      </w:tblPr>
      <w:tblGrid>
        <w:gridCol w:w="995"/>
        <w:gridCol w:w="60"/>
        <w:gridCol w:w="415"/>
        <w:gridCol w:w="1660"/>
        <w:gridCol w:w="60"/>
        <w:gridCol w:w="60"/>
        <w:gridCol w:w="370"/>
        <w:gridCol w:w="1719"/>
        <w:gridCol w:w="80"/>
        <w:gridCol w:w="60"/>
        <w:gridCol w:w="244"/>
        <w:gridCol w:w="690"/>
        <w:gridCol w:w="95"/>
      </w:tblGrid>
      <w:tr>
        <w:trPr/>
        <w:tc>
          <w:tcPr>
            <w:tcW w:w="995" w:type="dxa"/>
            <w:tcBorders>
              <w:bottom w:val="single" w:sz="12" w:space="0" w:color="000000"/>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Maturity</w:t>
            </w:r>
          </w:p>
        </w:tc>
        <w:tc>
          <w:tcPr>
            <w:tcW w:w="60" w:type="dxa"/>
            <w:tcBorders/>
            <w:tcMar>
              <w:bottom w:w="0" w:type="dxa"/>
            </w:tcMar>
            <w:vAlign w:val="bottom"/>
          </w:tcPr>
          <w:p>
            <w:pPr>
              <w:pStyle w:val="TableContents"/>
              <w:bidi w:val="0"/>
              <w:spacing w:before="0" w:after="283"/>
              <w:jc w:val="left"/>
              <w:rPr/>
            </w:pPr>
            <w:r>
              <w:rPr/>
              <w:t> </w:t>
            </w:r>
          </w:p>
        </w:tc>
        <w:tc>
          <w:tcPr>
            <w:tcW w:w="2075" w:type="dxa"/>
            <w:gridSpan w:val="2"/>
            <w:tcBorders>
              <w:bottom w:val="single" w:sz="12" w:space="0" w:color="000000"/>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Notional Amount - Long</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2089" w:type="dxa"/>
            <w:gridSpan w:val="2"/>
            <w:tcBorders>
              <w:bottom w:val="single" w:sz="12" w:space="0" w:color="000000"/>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Notional Amount - Short</w:t>
            </w:r>
          </w:p>
        </w:tc>
        <w:tc>
          <w:tcPr>
            <w:tcW w:w="8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934" w:type="dxa"/>
            <w:gridSpan w:val="2"/>
            <w:tcBorders>
              <w:bottom w:val="single" w:sz="12" w:space="0" w:color="000000"/>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Fair Value</w:t>
            </w:r>
          </w:p>
        </w:tc>
        <w:tc>
          <w:tcPr>
            <w:tcW w:w="95" w:type="dxa"/>
            <w:tcBorders/>
            <w:tcMar>
              <w:bottom w:w="0" w:type="dxa"/>
            </w:tcMar>
            <w:vAlign w:val="bottom"/>
          </w:tcPr>
          <w:p>
            <w:pPr>
              <w:pStyle w:val="TableContents"/>
              <w:bidi w:val="0"/>
              <w:spacing w:before="0" w:after="283"/>
              <w:jc w:val="left"/>
              <w:rPr/>
            </w:pPr>
            <w:r>
              <w:rPr/>
              <w:t> </w:t>
            </w:r>
          </w:p>
        </w:tc>
      </w:tr>
      <w:tr>
        <w:trPr/>
        <w:tc>
          <w:tcPr>
            <w:tcW w:w="995" w:type="dxa"/>
            <w:tcBorders/>
            <w:shd w:fill="CCEEFF" w:val="clear"/>
            <w:tcMar>
              <w:bottom w:w="0" w:type="dxa"/>
            </w:tcMar>
            <w:vAlign w:val="bottom"/>
          </w:tcPr>
          <w:p>
            <w:pPr>
              <w:pStyle w:val="TableContents"/>
              <w:bidi w:val="0"/>
              <w:spacing w:before="0" w:after="283"/>
              <w:jc w:val="left"/>
              <w:rPr/>
            </w:pPr>
            <w:r>
              <w:rPr/>
              <w:t>5 years</w:t>
            </w:r>
          </w:p>
        </w:tc>
        <w:tc>
          <w:tcPr>
            <w:tcW w:w="60" w:type="dxa"/>
            <w:tcBorders/>
            <w:shd w:fill="CCEEFF" w:val="clear"/>
            <w:tcMar>
              <w:bottom w:w="0" w:type="dxa"/>
            </w:tcMar>
            <w:vAlign w:val="bottom"/>
          </w:tcPr>
          <w:p>
            <w:pPr>
              <w:pStyle w:val="TableContents"/>
              <w:bidi w:val="0"/>
              <w:spacing w:before="0" w:after="283"/>
              <w:jc w:val="right"/>
              <w:rPr/>
            </w:pPr>
            <w:r>
              <w:rPr/>
              <w:t> </w:t>
            </w:r>
          </w:p>
        </w:tc>
        <w:tc>
          <w:tcPr>
            <w:tcW w:w="415" w:type="dxa"/>
            <w:tcBorders/>
            <w:shd w:fill="CCEEFF" w:val="clear"/>
            <w:tcMar>
              <w:bottom w:w="0" w:type="dxa"/>
            </w:tcMar>
            <w:vAlign w:val="bottom"/>
          </w:tcPr>
          <w:p>
            <w:pPr>
              <w:pStyle w:val="TableContents"/>
              <w:bidi w:val="0"/>
              <w:spacing w:before="0" w:after="283"/>
              <w:jc w:val="left"/>
              <w:rPr/>
            </w:pPr>
            <w:r>
              <w:rPr/>
              <w:t xml:space="preserve">$ </w:t>
            </w:r>
          </w:p>
        </w:tc>
        <w:tc>
          <w:tcPr>
            <w:tcW w:w="1660" w:type="dxa"/>
            <w:tcBorders/>
            <w:shd w:fill="CCEEFF" w:val="clear"/>
            <w:tcMar>
              <w:bottom w:w="0" w:type="dxa"/>
            </w:tcMar>
            <w:vAlign w:val="bottom"/>
          </w:tcPr>
          <w:p>
            <w:pPr>
              <w:pStyle w:val="TableContents"/>
              <w:bidi w:val="0"/>
              <w:spacing w:before="0" w:after="283"/>
              <w:jc w:val="right"/>
              <w:rPr/>
            </w:pPr>
            <w:r>
              <w:rPr/>
              <w:t>111,500</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370" w:type="dxa"/>
            <w:tcBorders/>
            <w:shd w:fill="CCEEFF" w:val="clear"/>
            <w:tcMar>
              <w:bottom w:w="0" w:type="dxa"/>
            </w:tcMar>
            <w:vAlign w:val="bottom"/>
          </w:tcPr>
          <w:p>
            <w:pPr>
              <w:pStyle w:val="TableContents"/>
              <w:bidi w:val="0"/>
              <w:spacing w:before="0" w:after="283"/>
              <w:jc w:val="left"/>
              <w:rPr/>
            </w:pPr>
            <w:r>
              <w:rPr/>
              <w:t>$</w:t>
            </w:r>
          </w:p>
        </w:tc>
        <w:tc>
          <w:tcPr>
            <w:tcW w:w="1719" w:type="dxa"/>
            <w:tcBorders/>
            <w:shd w:fill="CCEEFF" w:val="clear"/>
            <w:tcMar>
              <w:bottom w:w="0" w:type="dxa"/>
            </w:tcMar>
            <w:vAlign w:val="bottom"/>
          </w:tcPr>
          <w:p>
            <w:pPr>
              <w:pStyle w:val="TableContents"/>
              <w:bidi w:val="0"/>
              <w:spacing w:before="0" w:after="283"/>
              <w:jc w:val="right"/>
              <w:rPr/>
            </w:pPr>
            <w:r>
              <w:rPr/>
              <w:t>-</w:t>
            </w:r>
          </w:p>
        </w:tc>
        <w:tc>
          <w:tcPr>
            <w:tcW w:w="8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244" w:type="dxa"/>
            <w:tcBorders/>
            <w:shd w:fill="CCEEFF" w:val="clear"/>
            <w:tcMar>
              <w:bottom w:w="0" w:type="dxa"/>
            </w:tcMar>
            <w:vAlign w:val="bottom"/>
          </w:tcPr>
          <w:p>
            <w:pPr>
              <w:pStyle w:val="TableContents"/>
              <w:bidi w:val="0"/>
              <w:spacing w:before="0" w:after="283"/>
              <w:jc w:val="left"/>
              <w:rPr/>
            </w:pPr>
            <w:r>
              <w:rPr/>
              <w:t>$</w:t>
            </w:r>
          </w:p>
        </w:tc>
        <w:tc>
          <w:tcPr>
            <w:tcW w:w="690" w:type="dxa"/>
            <w:tcBorders/>
            <w:shd w:fill="CCEEFF" w:val="clear"/>
            <w:tcMar>
              <w:bottom w:w="0" w:type="dxa"/>
            </w:tcMar>
            <w:vAlign w:val="bottom"/>
          </w:tcPr>
          <w:p>
            <w:pPr>
              <w:pStyle w:val="TableContents"/>
              <w:bidi w:val="0"/>
              <w:spacing w:before="0" w:after="283"/>
              <w:jc w:val="right"/>
              <w:rPr/>
            </w:pPr>
            <w:r>
              <w:rPr/>
              <w:t>59</w:t>
            </w:r>
          </w:p>
        </w:tc>
        <w:tc>
          <w:tcPr>
            <w:tcW w:w="95" w:type="dxa"/>
            <w:tcBorders/>
            <w:shd w:fill="CCEEFF" w:val="clear"/>
            <w:tcMar>
              <w:bottom w:w="0" w:type="dxa"/>
            </w:tcMar>
            <w:vAlign w:val="bottom"/>
          </w:tcPr>
          <w:p>
            <w:pPr>
              <w:pStyle w:val="TableContents"/>
              <w:bidi w:val="0"/>
              <w:spacing w:before="0" w:after="283"/>
              <w:jc w:val="left"/>
              <w:rPr/>
            </w:pPr>
            <w:r>
              <w:rPr/>
              <w:t> </w:t>
            </w:r>
          </w:p>
        </w:tc>
      </w:tr>
      <w:tr>
        <w:trPr/>
        <w:tc>
          <w:tcPr>
            <w:tcW w:w="995" w:type="dxa"/>
            <w:tcBorders/>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 xml:space="preserve">10 years </w:t>
            </w:r>
            <w:r>
              <w:rPr>
                <w:rFonts w:ascii="Times New Roman" w:hAnsi="Times New Roman"/>
                <w:color w:val="000000"/>
                <w:position w:val="7"/>
                <w:sz w:val="16"/>
                <w:sz w:val="20"/>
              </w:rPr>
              <w:t>(A)</w:t>
            </w:r>
          </w:p>
        </w:tc>
        <w:tc>
          <w:tcPr>
            <w:tcW w:w="60" w:type="dxa"/>
            <w:tcBorders/>
            <w:tcMar>
              <w:bottom w:w="0" w:type="dxa"/>
            </w:tcMar>
            <w:vAlign w:val="bottom"/>
          </w:tcPr>
          <w:p>
            <w:pPr>
              <w:pStyle w:val="TableContents"/>
              <w:bidi w:val="0"/>
              <w:spacing w:before="0" w:after="283"/>
              <w:jc w:val="right"/>
              <w:rPr/>
            </w:pPr>
            <w:r>
              <w:rPr/>
              <w:t> </w:t>
            </w:r>
          </w:p>
        </w:tc>
        <w:tc>
          <w:tcPr>
            <w:tcW w:w="415" w:type="dxa"/>
            <w:tcBorders>
              <w:bottom w:val="single" w:sz="12" w:space="0" w:color="000000"/>
            </w:tcBorders>
            <w:vAlign w:val="bottom"/>
          </w:tcPr>
          <w:p>
            <w:pPr>
              <w:pStyle w:val="TableContents"/>
              <w:bidi w:val="0"/>
              <w:spacing w:before="0" w:after="283"/>
              <w:jc w:val="left"/>
              <w:rPr/>
            </w:pPr>
            <w:r>
              <w:rPr/>
              <w:t> </w:t>
            </w:r>
          </w:p>
        </w:tc>
        <w:tc>
          <w:tcPr>
            <w:tcW w:w="1660" w:type="dxa"/>
            <w:tcBorders>
              <w:bottom w:val="single" w:sz="12" w:space="0" w:color="000000"/>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16,600</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370" w:type="dxa"/>
            <w:tcBorders>
              <w:bottom w:val="single" w:sz="12" w:space="0" w:color="000000"/>
            </w:tcBorders>
            <w:vAlign w:val="bottom"/>
          </w:tcPr>
          <w:p>
            <w:pPr>
              <w:pStyle w:val="TableContents"/>
              <w:bidi w:val="0"/>
              <w:spacing w:before="0" w:after="283"/>
              <w:jc w:val="left"/>
              <w:rPr/>
            </w:pPr>
            <w:r>
              <w:rPr/>
              <w:t> </w:t>
            </w:r>
          </w:p>
        </w:tc>
        <w:tc>
          <w:tcPr>
            <w:tcW w:w="1719" w:type="dxa"/>
            <w:tcBorders>
              <w:bottom w:val="single" w:sz="12" w:space="0" w:color="000000"/>
            </w:tcBorders>
            <w:vAlign w:val="bottom"/>
          </w:tcPr>
          <w:p>
            <w:pPr>
              <w:pStyle w:val="TableContents"/>
              <w:bidi w:val="0"/>
              <w:spacing w:before="0" w:after="0"/>
              <w:jc w:val="right"/>
              <w:rPr>
                <w:rFonts w:ascii="Times New Roman" w:hAnsi="Times New Roman"/>
                <w:sz w:val="20"/>
              </w:rPr>
            </w:pPr>
            <w:r>
              <w:rPr>
                <w:rFonts w:ascii="Times New Roman" w:hAnsi="Times New Roman"/>
                <w:sz w:val="20"/>
              </w:rPr>
              <w:t>(99,700</w:t>
            </w:r>
          </w:p>
        </w:tc>
        <w:tc>
          <w:tcPr>
            <w:tcW w:w="80" w:type="dxa"/>
            <w:tcBorders/>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tcMar>
              <w:bottom w:w="0" w:type="dxa"/>
            </w:tcMar>
            <w:vAlign w:val="bottom"/>
          </w:tcPr>
          <w:p>
            <w:pPr>
              <w:pStyle w:val="TableContents"/>
              <w:bidi w:val="0"/>
              <w:spacing w:before="0" w:after="283"/>
              <w:jc w:val="right"/>
              <w:rPr/>
            </w:pPr>
            <w:r>
              <w:rPr/>
              <w:t> </w:t>
            </w:r>
          </w:p>
        </w:tc>
        <w:tc>
          <w:tcPr>
            <w:tcW w:w="244" w:type="dxa"/>
            <w:tcBorders>
              <w:bottom w:val="single" w:sz="12" w:space="0" w:color="000000"/>
            </w:tcBorders>
            <w:vAlign w:val="bottom"/>
          </w:tcPr>
          <w:p>
            <w:pPr>
              <w:pStyle w:val="TableContents"/>
              <w:bidi w:val="0"/>
              <w:spacing w:before="0" w:after="283"/>
              <w:jc w:val="left"/>
              <w:rPr/>
            </w:pPr>
            <w:r>
              <w:rPr/>
              <w:t> </w:t>
            </w:r>
          </w:p>
        </w:tc>
        <w:tc>
          <w:tcPr>
            <w:tcW w:w="690" w:type="dxa"/>
            <w:tcBorders>
              <w:bottom w:val="single" w:sz="12" w:space="0" w:color="000000"/>
            </w:tcBorders>
            <w:vAlign w:val="bottom"/>
          </w:tcPr>
          <w:p>
            <w:pPr>
              <w:pStyle w:val="TableContents"/>
              <w:bidi w:val="0"/>
              <w:spacing w:before="0" w:after="0"/>
              <w:jc w:val="right"/>
              <w:rPr>
                <w:rFonts w:ascii="Times New Roman" w:hAnsi="Times New Roman"/>
                <w:sz w:val="20"/>
              </w:rPr>
            </w:pPr>
            <w:r>
              <w:rPr>
                <w:rFonts w:ascii="Times New Roman" w:hAnsi="Times New Roman"/>
                <w:sz w:val="20"/>
              </w:rPr>
              <w:t>(950</w:t>
            </w:r>
          </w:p>
        </w:tc>
        <w:tc>
          <w:tcPr>
            <w:tcW w:w="95" w:type="dxa"/>
            <w:tcBorders/>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995" w:type="dxa"/>
            <w:tcBorders/>
            <w:shd w:fill="CCEEFF" w:val="clear"/>
            <w:tcMar>
              <w:bottom w:w="0"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60" w:type="dxa"/>
            <w:tcBorders/>
            <w:shd w:fill="CCEEFF" w:val="clear"/>
            <w:tcMar>
              <w:bottom w:w="0" w:type="dxa"/>
            </w:tcMar>
            <w:vAlign w:val="bottom"/>
          </w:tcPr>
          <w:p>
            <w:pPr>
              <w:pStyle w:val="TableContents"/>
              <w:bidi w:val="0"/>
              <w:spacing w:before="0" w:after="283"/>
              <w:jc w:val="right"/>
              <w:rPr/>
            </w:pPr>
            <w:r>
              <w:rPr/>
              <w:t> </w:t>
            </w:r>
          </w:p>
        </w:tc>
        <w:tc>
          <w:tcPr>
            <w:tcW w:w="415" w:type="dxa"/>
            <w:tcBorders/>
            <w:shd w:fill="CCEEFF" w:val="clear"/>
            <w:tcMar>
              <w:bottom w:w="0"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1660" w:type="dxa"/>
            <w:tcBorders/>
            <w:shd w:fill="CCEEFF" w:val="clear"/>
            <w:tcMar>
              <w:bottom w:w="0"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128,100</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370" w:type="dxa"/>
            <w:tcBorders/>
            <w:shd w:fill="CCEEFF" w:val="clear"/>
            <w:tcMar>
              <w:bottom w:w="0"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1719" w:type="dxa"/>
            <w:tcBorders/>
            <w:shd w:fill="CCEEFF" w:val="clear"/>
            <w:tcMar>
              <w:bottom w:w="0"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(99,700</w:t>
            </w:r>
          </w:p>
        </w:tc>
        <w:tc>
          <w:tcPr>
            <w:tcW w:w="80" w:type="dxa"/>
            <w:tcBorders/>
            <w:shd w:fill="CCEEFF" w:val="clear"/>
            <w:tcMar>
              <w:bottom w:w="0"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shd w:fill="CCEEFF" w:val="clear"/>
            <w:tcMar>
              <w:bottom w:w="0" w:type="dxa"/>
            </w:tcMar>
            <w:vAlign w:val="bottom"/>
          </w:tcPr>
          <w:p>
            <w:pPr>
              <w:pStyle w:val="TableContents"/>
              <w:bidi w:val="0"/>
              <w:spacing w:before="0" w:after="283"/>
              <w:jc w:val="right"/>
              <w:rPr/>
            </w:pPr>
            <w:r>
              <w:rPr/>
              <w:t> </w:t>
            </w:r>
          </w:p>
        </w:tc>
        <w:tc>
          <w:tcPr>
            <w:tcW w:w="244" w:type="dxa"/>
            <w:tcBorders/>
            <w:shd w:fill="CCEEFF" w:val="clear"/>
            <w:tcMar>
              <w:bottom w:w="0"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90" w:type="dxa"/>
            <w:tcBorders/>
            <w:shd w:fill="CCEEFF" w:val="clear"/>
            <w:tcMar>
              <w:bottom w:w="0"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(891</w:t>
            </w:r>
          </w:p>
        </w:tc>
        <w:tc>
          <w:tcPr>
            <w:tcW w:w="95" w:type="dxa"/>
            <w:tcBorders/>
            <w:shd w:fill="CCEEFF" w:val="clear"/>
            <w:tcMar>
              <w:bottom w:w="0"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r>
    </w:tbl>
    <w:p>
      <w:pPr>
        <w:pStyle w:val="TextBody"/>
        <w:bidi w:val="0"/>
        <w:spacing w:before="0" w:after="0"/>
        <w:jc w:val="left"/>
        <w:rPr/>
      </w:pPr>
      <w:r>
        <w:rPr/>
      </w:r>
    </w:p>
    <w:p>
      <w:pPr>
        <w:pStyle w:val="TextBody"/>
        <w:bidi w:val="0"/>
        <w:spacing w:before="0" w:after="0"/>
        <w:jc w:val="center"/>
        <w:rPr>
          <w:rFonts w:ascii="Times New Roman" w:hAnsi="Times New Roman"/>
          <w:b/>
          <w:i w:val="false"/>
          <w:caps w:val="false"/>
          <w:smallCaps w:val="false"/>
          <w:color w:val="000000"/>
          <w:sz w:val="20"/>
          <w:shd w:fill="FFFFFF" w:val="clear"/>
        </w:rPr>
      </w:pPr>
      <w:r>
        <w:rPr>
          <w:rFonts w:ascii="Times New Roman" w:hAnsi="Times New Roman"/>
          <w:b/>
          <w:i w:val="false"/>
          <w:caps w:val="false"/>
          <w:smallCaps w:val="false"/>
          <w:color w:val="000000"/>
          <w:sz w:val="20"/>
          <w:shd w:fill="FFFFFF" w:val="clear"/>
        </w:rPr>
        <w:t>As of December 31, 2025</w:t>
      </w:r>
    </w:p>
    <w:p>
      <w:pPr>
        <w:pStyle w:val="TextBody"/>
        <w:bidi w:val="0"/>
        <w:spacing w:before="0" w:after="0"/>
        <w:jc w:val="left"/>
        <w:rPr/>
      </w:pPr>
      <w:r>
        <w:rPr/>
      </w:r>
    </w:p>
    <w:tbl>
      <w:tblPr>
        <w:tblW w:w="6522" w:type="dxa"/>
        <w:jc w:val="left"/>
        <w:tblInd w:w="0" w:type="dxa"/>
        <w:tblLayout w:type="fixed"/>
        <w:tblCellMar>
          <w:top w:w="0" w:type="dxa"/>
          <w:left w:w="0" w:type="dxa"/>
          <w:bottom w:w="28" w:type="dxa"/>
          <w:right w:w="0" w:type="dxa"/>
        </w:tblCellMar>
      </w:tblPr>
      <w:tblGrid>
        <w:gridCol w:w="995"/>
        <w:gridCol w:w="60"/>
        <w:gridCol w:w="309"/>
        <w:gridCol w:w="1765"/>
        <w:gridCol w:w="60"/>
        <w:gridCol w:w="60"/>
        <w:gridCol w:w="326"/>
        <w:gridCol w:w="1763"/>
        <w:gridCol w:w="80"/>
        <w:gridCol w:w="60"/>
        <w:gridCol w:w="209"/>
        <w:gridCol w:w="725"/>
        <w:gridCol w:w="110"/>
      </w:tblGrid>
      <w:tr>
        <w:trPr/>
        <w:tc>
          <w:tcPr>
            <w:tcW w:w="995" w:type="dxa"/>
            <w:tcBorders>
              <w:bottom w:val="single" w:sz="12" w:space="0" w:color="000000"/>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Maturity</w:t>
            </w:r>
          </w:p>
        </w:tc>
        <w:tc>
          <w:tcPr>
            <w:tcW w:w="60" w:type="dxa"/>
            <w:tcBorders/>
            <w:tcMar>
              <w:bottom w:w="0" w:type="dxa"/>
            </w:tcMar>
            <w:vAlign w:val="bottom"/>
          </w:tcPr>
          <w:p>
            <w:pPr>
              <w:pStyle w:val="TableContents"/>
              <w:bidi w:val="0"/>
              <w:spacing w:before="0" w:after="283"/>
              <w:jc w:val="left"/>
              <w:rPr/>
            </w:pPr>
            <w:r>
              <w:rPr/>
              <w:t> </w:t>
            </w:r>
          </w:p>
        </w:tc>
        <w:tc>
          <w:tcPr>
            <w:tcW w:w="2074" w:type="dxa"/>
            <w:gridSpan w:val="2"/>
            <w:tcBorders>
              <w:bottom w:val="single" w:sz="12" w:space="0" w:color="000000"/>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Notional Amount - Long</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2089" w:type="dxa"/>
            <w:gridSpan w:val="2"/>
            <w:tcBorders>
              <w:bottom w:val="single" w:sz="12" w:space="0" w:color="000000"/>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Notional Amount - Short</w:t>
            </w:r>
          </w:p>
        </w:tc>
        <w:tc>
          <w:tcPr>
            <w:tcW w:w="8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934" w:type="dxa"/>
            <w:gridSpan w:val="2"/>
            <w:tcBorders>
              <w:bottom w:val="single" w:sz="12" w:space="0" w:color="000000"/>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Fair Value</w:t>
            </w:r>
          </w:p>
        </w:tc>
        <w:tc>
          <w:tcPr>
            <w:tcW w:w="110" w:type="dxa"/>
            <w:tcBorders/>
            <w:tcMar>
              <w:bottom w:w="0" w:type="dxa"/>
            </w:tcMar>
            <w:vAlign w:val="bottom"/>
          </w:tcPr>
          <w:p>
            <w:pPr>
              <w:pStyle w:val="TableContents"/>
              <w:bidi w:val="0"/>
              <w:spacing w:before="0" w:after="283"/>
              <w:jc w:val="left"/>
              <w:rPr/>
            </w:pPr>
            <w:r>
              <w:rPr/>
              <w:t> </w:t>
            </w:r>
          </w:p>
        </w:tc>
      </w:tr>
      <w:tr>
        <w:trPr/>
        <w:tc>
          <w:tcPr>
            <w:tcW w:w="995" w:type="dxa"/>
            <w:tcBorders/>
            <w:shd w:fill="CCEEFF" w:val="clear"/>
            <w:tcMar>
              <w:bottom w:w="0" w:type="dxa"/>
            </w:tcMar>
            <w:vAlign w:val="bottom"/>
          </w:tcPr>
          <w:p>
            <w:pPr>
              <w:pStyle w:val="TableContents"/>
              <w:bidi w:val="0"/>
              <w:spacing w:before="0" w:after="283"/>
              <w:jc w:val="left"/>
              <w:rPr/>
            </w:pPr>
            <w:r>
              <w:rPr/>
              <w:t>5 years</w:t>
            </w:r>
          </w:p>
        </w:tc>
        <w:tc>
          <w:tcPr>
            <w:tcW w:w="60" w:type="dxa"/>
            <w:tcBorders/>
            <w:shd w:fill="CCEEFF" w:val="clear"/>
            <w:tcMar>
              <w:bottom w:w="0" w:type="dxa"/>
            </w:tcMar>
            <w:vAlign w:val="bottom"/>
          </w:tcPr>
          <w:p>
            <w:pPr>
              <w:pStyle w:val="TableContents"/>
              <w:bidi w:val="0"/>
              <w:spacing w:before="0" w:after="283"/>
              <w:jc w:val="right"/>
              <w:rPr/>
            </w:pPr>
            <w:r>
              <w:rPr/>
              <w:t> </w:t>
            </w:r>
          </w:p>
        </w:tc>
        <w:tc>
          <w:tcPr>
            <w:tcW w:w="309" w:type="dxa"/>
            <w:tcBorders/>
            <w:shd w:fill="CCEEFF" w:val="clear"/>
            <w:tcMar>
              <w:bottom w:w="0" w:type="dxa"/>
            </w:tcMar>
            <w:vAlign w:val="bottom"/>
          </w:tcPr>
          <w:p>
            <w:pPr>
              <w:pStyle w:val="TableContents"/>
              <w:bidi w:val="0"/>
              <w:spacing w:before="0" w:after="283"/>
              <w:jc w:val="left"/>
              <w:rPr>
                <w:b w:val="false"/>
              </w:rPr>
            </w:pPr>
            <w:r>
              <w:rPr>
                <w:b w:val="false"/>
              </w:rPr>
              <w:t>$</w:t>
            </w:r>
          </w:p>
        </w:tc>
        <w:tc>
          <w:tcPr>
            <w:tcW w:w="1765" w:type="dxa"/>
            <w:tcBorders/>
            <w:shd w:fill="CCEEFF" w:val="clear"/>
            <w:tcMar>
              <w:bottom w:w="0" w:type="dxa"/>
            </w:tcMar>
            <w:vAlign w:val="bottom"/>
          </w:tcPr>
          <w:p>
            <w:pPr>
              <w:pStyle w:val="TableContents"/>
              <w:bidi w:val="0"/>
              <w:spacing w:before="0" w:after="283"/>
              <w:jc w:val="right"/>
              <w:rPr/>
            </w:pPr>
            <w:r>
              <w:rPr/>
              <w:t>171,200</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326" w:type="dxa"/>
            <w:tcBorders/>
            <w:shd w:fill="CCEEFF" w:val="clear"/>
            <w:tcMar>
              <w:bottom w:w="0" w:type="dxa"/>
            </w:tcMar>
            <w:vAlign w:val="bottom"/>
          </w:tcPr>
          <w:p>
            <w:pPr>
              <w:pStyle w:val="TableContents"/>
              <w:bidi w:val="0"/>
              <w:spacing w:before="0" w:after="283"/>
              <w:jc w:val="left"/>
              <w:rPr>
                <w:b w:val="false"/>
              </w:rPr>
            </w:pPr>
            <w:r>
              <w:rPr>
                <w:b w:val="false"/>
              </w:rPr>
              <w:t>$</w:t>
            </w:r>
          </w:p>
        </w:tc>
        <w:tc>
          <w:tcPr>
            <w:tcW w:w="1763" w:type="dxa"/>
            <w:tcBorders/>
            <w:shd w:fill="CCEEFF" w:val="clear"/>
            <w:tcMar>
              <w:bottom w:w="0" w:type="dxa"/>
            </w:tcMar>
            <w:vAlign w:val="bottom"/>
          </w:tcPr>
          <w:p>
            <w:pPr>
              <w:pStyle w:val="TableContents"/>
              <w:bidi w:val="0"/>
              <w:spacing w:before="0" w:after="283"/>
              <w:jc w:val="right"/>
              <w:rPr/>
            </w:pPr>
            <w:r>
              <w:rPr/>
              <w:t>-</w:t>
            </w:r>
          </w:p>
        </w:tc>
        <w:tc>
          <w:tcPr>
            <w:tcW w:w="8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209" w:type="dxa"/>
            <w:tcBorders/>
            <w:shd w:fill="CCEEFF" w:val="clear"/>
            <w:tcMar>
              <w:bottom w:w="0" w:type="dxa"/>
            </w:tcMar>
            <w:vAlign w:val="bottom"/>
          </w:tcPr>
          <w:p>
            <w:pPr>
              <w:pStyle w:val="TableContents"/>
              <w:bidi w:val="0"/>
              <w:spacing w:before="0" w:after="283"/>
              <w:jc w:val="left"/>
              <w:rPr>
                <w:b w:val="false"/>
              </w:rPr>
            </w:pPr>
            <w:r>
              <w:rPr>
                <w:b w:val="false"/>
              </w:rPr>
              <w:t>$</w:t>
            </w:r>
          </w:p>
        </w:tc>
        <w:tc>
          <w:tcPr>
            <w:tcW w:w="725" w:type="dxa"/>
            <w:tcBorders/>
            <w:shd w:fill="CCEEFF" w:val="clear"/>
            <w:tcMar>
              <w:bottom w:w="0" w:type="dxa"/>
            </w:tcMar>
            <w:vAlign w:val="bottom"/>
          </w:tcPr>
          <w:p>
            <w:pPr>
              <w:pStyle w:val="TableContents"/>
              <w:bidi w:val="0"/>
              <w:spacing w:before="0" w:after="283"/>
              <w:jc w:val="right"/>
              <w:rPr/>
            </w:pPr>
            <w:r>
              <w:rPr/>
              <w:t>(655</w:t>
            </w:r>
          </w:p>
        </w:tc>
        <w:tc>
          <w:tcPr>
            <w:tcW w:w="110" w:type="dxa"/>
            <w:tcBorders/>
            <w:shd w:fill="CCEEFF" w:val="clear"/>
            <w:tcMar>
              <w:bottom w:w="0" w:type="dxa"/>
            </w:tcMar>
            <w:vAlign w:val="bottom"/>
          </w:tcPr>
          <w:p>
            <w:pPr>
              <w:pStyle w:val="TableContents"/>
              <w:bidi w:val="0"/>
              <w:spacing w:before="0" w:after="283"/>
              <w:jc w:val="left"/>
              <w:rPr/>
            </w:pPr>
            <w:r>
              <w:rPr/>
              <w:t>)</w:t>
            </w:r>
          </w:p>
        </w:tc>
      </w:tr>
      <w:tr>
        <w:trPr/>
        <w:tc>
          <w:tcPr>
            <w:tcW w:w="995" w:type="dxa"/>
            <w:tcBorders/>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 xml:space="preserve">10 years </w:t>
            </w:r>
            <w:r>
              <w:rPr>
                <w:rFonts w:ascii="Times New Roman" w:hAnsi="Times New Roman"/>
                <w:color w:val="000000"/>
                <w:position w:val="7"/>
                <w:sz w:val="16"/>
                <w:sz w:val="20"/>
              </w:rPr>
              <w:t>(A)</w:t>
            </w:r>
          </w:p>
        </w:tc>
        <w:tc>
          <w:tcPr>
            <w:tcW w:w="60" w:type="dxa"/>
            <w:tcBorders/>
            <w:tcMar>
              <w:bottom w:w="0" w:type="dxa"/>
            </w:tcMar>
            <w:vAlign w:val="bottom"/>
          </w:tcPr>
          <w:p>
            <w:pPr>
              <w:pStyle w:val="TableContents"/>
              <w:bidi w:val="0"/>
              <w:spacing w:before="0" w:after="283"/>
              <w:jc w:val="right"/>
              <w:rPr/>
            </w:pPr>
            <w:r>
              <w:rPr/>
              <w:t> </w:t>
            </w:r>
          </w:p>
        </w:tc>
        <w:tc>
          <w:tcPr>
            <w:tcW w:w="309" w:type="dxa"/>
            <w:tcBorders>
              <w:bottom w:val="single" w:sz="12" w:space="0" w:color="000000"/>
            </w:tcBorders>
            <w:vAlign w:val="bottom"/>
          </w:tcPr>
          <w:p>
            <w:pPr>
              <w:pStyle w:val="TableContents"/>
              <w:bidi w:val="0"/>
              <w:spacing w:before="0" w:after="283"/>
              <w:jc w:val="left"/>
              <w:rPr/>
            </w:pPr>
            <w:r>
              <w:rPr/>
              <w:t> </w:t>
            </w:r>
          </w:p>
        </w:tc>
        <w:tc>
          <w:tcPr>
            <w:tcW w:w="1765" w:type="dxa"/>
            <w:tcBorders>
              <w:bottom w:val="single" w:sz="12" w:space="0" w:color="000000"/>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326" w:type="dxa"/>
            <w:tcBorders>
              <w:bottom w:val="single" w:sz="12" w:space="0" w:color="000000"/>
            </w:tcBorders>
            <w:vAlign w:val="bottom"/>
          </w:tcPr>
          <w:p>
            <w:pPr>
              <w:pStyle w:val="TableContents"/>
              <w:bidi w:val="0"/>
              <w:spacing w:before="0" w:after="283"/>
              <w:jc w:val="left"/>
              <w:rPr/>
            </w:pPr>
            <w:r>
              <w:rPr/>
              <w:t> </w:t>
            </w:r>
          </w:p>
        </w:tc>
        <w:tc>
          <w:tcPr>
            <w:tcW w:w="1763" w:type="dxa"/>
            <w:tcBorders>
              <w:bottom w:val="single" w:sz="12" w:space="0" w:color="000000"/>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(151,700</w:t>
            </w:r>
          </w:p>
        </w:tc>
        <w:tc>
          <w:tcPr>
            <w:tcW w:w="80" w:type="dxa"/>
            <w:tcBorders/>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tcMar>
              <w:bottom w:w="0" w:type="dxa"/>
            </w:tcMar>
            <w:vAlign w:val="bottom"/>
          </w:tcPr>
          <w:p>
            <w:pPr>
              <w:pStyle w:val="TableContents"/>
              <w:bidi w:val="0"/>
              <w:spacing w:before="0" w:after="283"/>
              <w:jc w:val="right"/>
              <w:rPr/>
            </w:pPr>
            <w:r>
              <w:rPr/>
              <w:t> </w:t>
            </w:r>
          </w:p>
        </w:tc>
        <w:tc>
          <w:tcPr>
            <w:tcW w:w="209" w:type="dxa"/>
            <w:tcBorders>
              <w:bottom w:val="single" w:sz="12" w:space="0" w:color="000000"/>
            </w:tcBorders>
            <w:vAlign w:val="bottom"/>
          </w:tcPr>
          <w:p>
            <w:pPr>
              <w:pStyle w:val="TableContents"/>
              <w:bidi w:val="0"/>
              <w:spacing w:before="0" w:after="283"/>
              <w:jc w:val="left"/>
              <w:rPr/>
            </w:pPr>
            <w:r>
              <w:rPr/>
              <w:t> </w:t>
            </w:r>
          </w:p>
        </w:tc>
        <w:tc>
          <w:tcPr>
            <w:tcW w:w="725" w:type="dxa"/>
            <w:tcBorders>
              <w:bottom w:val="single" w:sz="12" w:space="0" w:color="000000"/>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2,023</w:t>
            </w:r>
          </w:p>
        </w:tc>
        <w:tc>
          <w:tcPr>
            <w:tcW w:w="110" w:type="dxa"/>
            <w:tcBorders/>
            <w:tcMar>
              <w:bottom w:w="0" w:type="dxa"/>
            </w:tcMar>
            <w:vAlign w:val="bottom"/>
          </w:tcPr>
          <w:p>
            <w:pPr>
              <w:pStyle w:val="TableContents"/>
              <w:bidi w:val="0"/>
              <w:spacing w:before="0" w:after="283"/>
              <w:jc w:val="left"/>
              <w:rPr/>
            </w:pPr>
            <w:r>
              <w:rPr/>
              <w:t> </w:t>
            </w:r>
          </w:p>
        </w:tc>
      </w:tr>
      <w:tr>
        <w:trPr/>
        <w:tc>
          <w:tcPr>
            <w:tcW w:w="995" w:type="dxa"/>
            <w:tcBorders/>
            <w:shd w:fill="CCEEFF" w:val="clear"/>
            <w:tcMar>
              <w:bottom w:w="0"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60" w:type="dxa"/>
            <w:tcBorders/>
            <w:shd w:fill="CCEEFF" w:val="clear"/>
            <w:tcMar>
              <w:bottom w:w="0" w:type="dxa"/>
            </w:tcMar>
            <w:vAlign w:val="bottom"/>
          </w:tcPr>
          <w:p>
            <w:pPr>
              <w:pStyle w:val="TableContents"/>
              <w:bidi w:val="0"/>
              <w:spacing w:before="0" w:after="283"/>
              <w:jc w:val="right"/>
              <w:rPr/>
            </w:pPr>
            <w:r>
              <w:rPr/>
              <w:t> </w:t>
            </w:r>
          </w:p>
        </w:tc>
        <w:tc>
          <w:tcPr>
            <w:tcW w:w="309" w:type="dxa"/>
            <w:tcBorders/>
            <w:shd w:fill="CCEEFF" w:val="clear"/>
            <w:tcMar>
              <w:bottom w:w="0"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1765" w:type="dxa"/>
            <w:tcBorders/>
            <w:shd w:fill="CCEEFF" w:val="clear"/>
            <w:tcMar>
              <w:bottom w:w="0"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171,200</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326" w:type="dxa"/>
            <w:tcBorders/>
            <w:shd w:fill="CCEEFF" w:val="clear"/>
            <w:tcMar>
              <w:bottom w:w="0"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1763" w:type="dxa"/>
            <w:tcBorders/>
            <w:shd w:fill="CCEEFF" w:val="clear"/>
            <w:tcMar>
              <w:bottom w:w="0"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(151,700</w:t>
            </w:r>
          </w:p>
        </w:tc>
        <w:tc>
          <w:tcPr>
            <w:tcW w:w="80" w:type="dxa"/>
            <w:tcBorders/>
            <w:shd w:fill="CCEEFF" w:val="clear"/>
            <w:tcMar>
              <w:bottom w:w="0"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shd w:fill="CCEEFF" w:val="clear"/>
            <w:tcMar>
              <w:bottom w:w="0" w:type="dxa"/>
            </w:tcMar>
            <w:vAlign w:val="bottom"/>
          </w:tcPr>
          <w:p>
            <w:pPr>
              <w:pStyle w:val="TableContents"/>
              <w:bidi w:val="0"/>
              <w:spacing w:before="0" w:after="283"/>
              <w:jc w:val="right"/>
              <w:rPr/>
            </w:pPr>
            <w:r>
              <w:rPr/>
              <w:t> </w:t>
            </w:r>
          </w:p>
        </w:tc>
        <w:tc>
          <w:tcPr>
            <w:tcW w:w="209" w:type="dxa"/>
            <w:tcBorders/>
            <w:shd w:fill="CCEEFF" w:val="clear"/>
            <w:tcMar>
              <w:bottom w:w="0"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725" w:type="dxa"/>
            <w:tcBorders/>
            <w:shd w:fill="CCEEFF" w:val="clear"/>
            <w:tcMar>
              <w:bottom w:w="0"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1,368</w:t>
            </w:r>
          </w:p>
        </w:tc>
        <w:tc>
          <w:tcPr>
            <w:tcW w:w="110" w:type="dxa"/>
            <w:tcBorders/>
            <w:shd w:fill="CCEEFF" w:val="clear"/>
            <w:tcMar>
              <w:bottom w:w="0" w:type="dxa"/>
            </w:tcMar>
            <w:vAlign w:val="bottom"/>
          </w:tcPr>
          <w:p>
            <w:pPr>
              <w:pStyle w:val="TableContents"/>
              <w:bidi w:val="0"/>
              <w:spacing w:before="0" w:after="283"/>
              <w:jc w:val="left"/>
              <w:rPr/>
            </w:pPr>
            <w:r>
              <w:rPr/>
              <w:t> </w:t>
            </w:r>
          </w:p>
        </w:tc>
      </w:tr>
    </w:tbl>
    <w:p>
      <w:pPr>
        <w:pStyle w:val="TextBody"/>
        <w:bidi w:val="0"/>
        <w:spacing w:before="0" w:after="0"/>
        <w:jc w:val="left"/>
        <w:rPr/>
      </w:pPr>
      <w:r>
        <w:rPr/>
      </w:r>
    </w:p>
    <w:tbl>
      <w:tblPr>
        <w:tblW w:w="5440" w:type="dxa"/>
        <w:jc w:val="left"/>
        <w:tblInd w:w="0" w:type="dxa"/>
        <w:tblLayout w:type="fixed"/>
        <w:tblCellMar>
          <w:top w:w="0" w:type="dxa"/>
          <w:left w:w="0" w:type="dxa"/>
          <w:bottom w:w="0" w:type="dxa"/>
          <w:right w:w="0" w:type="dxa"/>
        </w:tblCellMar>
      </w:tblPr>
      <w:tblGrid>
        <w:gridCol w:w="275"/>
        <w:gridCol w:w="5165"/>
      </w:tblGrid>
      <w:tr>
        <w:trPr/>
        <w:tc>
          <w:tcPr>
            <w:tcW w:w="275" w:type="dxa"/>
            <w:tcBorders/>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w:t>
            </w:r>
          </w:p>
        </w:tc>
        <w:tc>
          <w:tcPr>
            <w:tcW w:w="5165"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Includes 10-year Ultra futures and Long Bond futures contracts.</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 xml:space="preserve">The Company did not have any U.S. Treasury futures options at June 30, 2026 and December 31, 2025. </w:t>
      </w:r>
    </w:p>
    <w:p>
      <w:pPr>
        <w:pStyle w:val="TextBody"/>
        <w:bidi w:val="0"/>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33</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 presents information about realized gain (loss) on derivatives, which is included on the consolidated statements of income (loss) for the periods indicated (dollars in thousands):</w:t>
      </w:r>
    </w:p>
    <w:p>
      <w:pPr>
        <w:pStyle w:val="TextBody"/>
        <w:bidi w:val="0"/>
        <w:spacing w:before="0" w:after="0"/>
        <w:jc w:val="left"/>
        <w:rPr/>
      </w:pPr>
      <w:r>
        <w:rPr/>
      </w:r>
    </w:p>
    <w:tbl>
      <w:tblPr>
        <w:tblW w:w="7952" w:type="dxa"/>
        <w:jc w:val="left"/>
        <w:tblInd w:w="0" w:type="dxa"/>
        <w:tblLayout w:type="fixed"/>
        <w:tblCellMar>
          <w:top w:w="0" w:type="dxa"/>
          <w:left w:w="0" w:type="dxa"/>
          <w:bottom w:w="0" w:type="dxa"/>
          <w:right w:w="0" w:type="dxa"/>
        </w:tblCellMar>
      </w:tblPr>
      <w:tblGrid>
        <w:gridCol w:w="2810"/>
        <w:gridCol w:w="60"/>
        <w:gridCol w:w="222"/>
        <w:gridCol w:w="891"/>
        <w:gridCol w:w="95"/>
        <w:gridCol w:w="95"/>
        <w:gridCol w:w="222"/>
        <w:gridCol w:w="1011"/>
        <w:gridCol w:w="95"/>
        <w:gridCol w:w="60"/>
        <w:gridCol w:w="201"/>
        <w:gridCol w:w="807"/>
        <w:gridCol w:w="86"/>
        <w:gridCol w:w="86"/>
        <w:gridCol w:w="201"/>
        <w:gridCol w:w="915"/>
        <w:gridCol w:w="95"/>
      </w:tblGrid>
      <w:tr>
        <w:trPr/>
        <w:tc>
          <w:tcPr>
            <w:tcW w:w="2810" w:type="dxa"/>
            <w:tcBorders/>
            <w:vAlign w:val="bottom"/>
          </w:tcPr>
          <w:p>
            <w:pPr>
              <w:pStyle w:val="TableContents"/>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2536"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Three Months Ended June 30,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96"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Six Months Ended June 30,</w:t>
            </w:r>
          </w:p>
        </w:tc>
        <w:tc>
          <w:tcPr>
            <w:tcW w:w="95" w:type="dxa"/>
            <w:tcBorders/>
            <w:vAlign w:val="bottom"/>
          </w:tcPr>
          <w:p>
            <w:pPr>
              <w:pStyle w:val="TableContents"/>
              <w:bidi w:val="0"/>
              <w:spacing w:before="0" w:after="283"/>
              <w:jc w:val="left"/>
              <w:rPr/>
            </w:pPr>
            <w:r>
              <w:rPr/>
              <w:t> </w:t>
            </w:r>
          </w:p>
        </w:tc>
      </w:tr>
      <w:tr>
        <w:trPr/>
        <w:tc>
          <w:tcPr>
            <w:tcW w:w="2810" w:type="dxa"/>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Derivatives</w:t>
            </w:r>
          </w:p>
        </w:tc>
        <w:tc>
          <w:tcPr>
            <w:tcW w:w="60" w:type="dxa"/>
            <w:tcBorders/>
            <w:vAlign w:val="bottom"/>
          </w:tcPr>
          <w:p>
            <w:pPr>
              <w:pStyle w:val="TableContents"/>
              <w:bidi w:val="0"/>
              <w:spacing w:before="0" w:after="283"/>
              <w:jc w:val="left"/>
              <w:rPr/>
            </w:pPr>
            <w:r>
              <w:rPr/>
              <w:t> </w:t>
            </w:r>
          </w:p>
        </w:tc>
        <w:tc>
          <w:tcPr>
            <w:tcW w:w="1113"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2026</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233"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8"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2026</w:t>
            </w:r>
          </w:p>
        </w:tc>
        <w:tc>
          <w:tcPr>
            <w:tcW w:w="86"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116"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2025</w:t>
            </w:r>
          </w:p>
        </w:tc>
        <w:tc>
          <w:tcPr>
            <w:tcW w:w="95" w:type="dxa"/>
            <w:tcBorders/>
            <w:vAlign w:val="bottom"/>
          </w:tcPr>
          <w:p>
            <w:pPr>
              <w:pStyle w:val="TableContents"/>
              <w:bidi w:val="0"/>
              <w:spacing w:before="0" w:after="283"/>
              <w:jc w:val="left"/>
              <w:rPr/>
            </w:pPr>
            <w:r>
              <w:rPr/>
              <w:t> </w:t>
            </w:r>
          </w:p>
        </w:tc>
      </w:tr>
      <w:tr>
        <w:trPr/>
        <w:tc>
          <w:tcPr>
            <w:tcW w:w="2810" w:type="dxa"/>
            <w:tcBorders/>
            <w:shd w:fill="CCEEFF" w:val="clear"/>
            <w:vAlign w:val="bottom"/>
          </w:tcPr>
          <w:p>
            <w:pPr>
              <w:pStyle w:val="TableContents"/>
              <w:bidi w:val="0"/>
              <w:spacing w:before="0" w:after="283"/>
              <w:jc w:val="left"/>
              <w:rPr/>
            </w:pPr>
            <w:r>
              <w:rPr/>
              <w:t>Interest rate swaps</w:t>
            </w:r>
            <w:r>
              <w:rPr>
                <w:position w:val="8"/>
                <w:sz w:val="19"/>
              </w:rPr>
              <w:t>(A)</w:t>
            </w:r>
          </w:p>
        </w:tc>
        <w:tc>
          <w:tcPr>
            <w:tcW w:w="60" w:type="dxa"/>
            <w:tcBorders/>
            <w:shd w:fill="CCEEFF" w:val="clear"/>
            <w:vAlign w:val="bottom"/>
          </w:tcPr>
          <w:p>
            <w:pPr>
              <w:pStyle w:val="TableContents"/>
              <w:bidi w:val="0"/>
              <w:spacing w:before="0" w:after="283"/>
              <w:jc w:val="right"/>
              <w:rPr/>
            </w:pPr>
            <w:r>
              <w:rPr/>
              <w:t> </w:t>
            </w:r>
          </w:p>
        </w:tc>
        <w:tc>
          <w:tcPr>
            <w:tcW w:w="222" w:type="dxa"/>
            <w:tcBorders/>
            <w:shd w:fill="CCEEFF" w:val="clear"/>
            <w:vAlign w:val="bottom"/>
          </w:tcPr>
          <w:p>
            <w:pPr>
              <w:pStyle w:val="TableContents"/>
              <w:bidi w:val="0"/>
              <w:spacing w:before="0" w:after="283"/>
              <w:jc w:val="left"/>
              <w:rPr/>
            </w:pPr>
            <w:r>
              <w:rPr/>
              <w:t>$</w:t>
            </w:r>
          </w:p>
        </w:tc>
        <w:tc>
          <w:tcPr>
            <w:tcW w:w="891" w:type="dxa"/>
            <w:tcBorders/>
            <w:shd w:fill="CCEEFF" w:val="clear"/>
            <w:vAlign w:val="bottom"/>
          </w:tcPr>
          <w:p>
            <w:pPr>
              <w:pStyle w:val="TableContents"/>
              <w:bidi w:val="0"/>
              <w:spacing w:before="0" w:after="283"/>
              <w:jc w:val="right"/>
              <w:rPr/>
            </w:pPr>
            <w:r>
              <w:rPr/>
              <w:t>-</w:t>
            </w:r>
          </w:p>
        </w:tc>
        <w:tc>
          <w:tcPr>
            <w:tcW w:w="9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right"/>
              <w:rPr/>
            </w:pPr>
            <w:r>
              <w:rPr/>
              <w:t> </w:t>
            </w:r>
          </w:p>
        </w:tc>
        <w:tc>
          <w:tcPr>
            <w:tcW w:w="222" w:type="dxa"/>
            <w:tcBorders/>
            <w:shd w:fill="CCEEFF" w:val="clear"/>
            <w:vAlign w:val="bottom"/>
          </w:tcPr>
          <w:p>
            <w:pPr>
              <w:pStyle w:val="TableContents"/>
              <w:bidi w:val="0"/>
              <w:spacing w:before="0" w:after="283"/>
              <w:jc w:val="left"/>
              <w:rPr/>
            </w:pPr>
            <w:r>
              <w:rPr/>
              <w:t>$</w:t>
            </w:r>
          </w:p>
        </w:tc>
        <w:tc>
          <w:tcPr>
            <w:tcW w:w="1011" w:type="dxa"/>
            <w:tcBorders/>
            <w:shd w:fill="CCEEFF" w:val="clear"/>
            <w:vAlign w:val="bottom"/>
          </w:tcPr>
          <w:p>
            <w:pPr>
              <w:pStyle w:val="TableContents"/>
              <w:bidi w:val="0"/>
              <w:spacing w:before="0" w:after="283"/>
              <w:jc w:val="right"/>
              <w:rPr/>
            </w:pPr>
            <w:r>
              <w:rPr/>
              <w:t>(1,167</w:t>
            </w:r>
          </w:p>
        </w:tc>
        <w:tc>
          <w:tcPr>
            <w:tcW w:w="95" w:type="dxa"/>
            <w:tcBorders/>
            <w:shd w:fill="CCEEFF" w:val="clear"/>
            <w:vAlign w:val="bottom"/>
          </w:tcPr>
          <w:p>
            <w:pPr>
              <w:pStyle w:val="TableContents"/>
              <w:bidi w:val="0"/>
              <w:spacing w:before="0" w:after="283"/>
              <w:jc w:val="left"/>
              <w:rPr/>
            </w:pPr>
            <w:r>
              <w:rPr/>
              <w:t>)</w:t>
            </w:r>
          </w:p>
        </w:tc>
        <w:tc>
          <w:tcPr>
            <w:tcW w:w="60" w:type="dxa"/>
            <w:tcBorders/>
            <w:shd w:fill="CCEEFF" w:val="clear"/>
            <w:vAlign w:val="bottom"/>
          </w:tcPr>
          <w:p>
            <w:pPr>
              <w:pStyle w:val="TableContents"/>
              <w:bidi w:val="0"/>
              <w:spacing w:before="0" w:after="283"/>
              <w:jc w:val="right"/>
              <w:rPr/>
            </w:pPr>
            <w:r>
              <w:rPr/>
              <w:t> </w:t>
            </w:r>
          </w:p>
        </w:tc>
        <w:tc>
          <w:tcPr>
            <w:tcW w:w="201" w:type="dxa"/>
            <w:tcBorders/>
            <w:shd w:fill="CCEEFF" w:val="clear"/>
            <w:vAlign w:val="bottom"/>
          </w:tcPr>
          <w:p>
            <w:pPr>
              <w:pStyle w:val="TableContents"/>
              <w:bidi w:val="0"/>
              <w:spacing w:before="0" w:after="283"/>
              <w:jc w:val="left"/>
              <w:rPr/>
            </w:pPr>
            <w:r>
              <w:rPr/>
              <w:t>$</w:t>
            </w:r>
          </w:p>
        </w:tc>
        <w:tc>
          <w:tcPr>
            <w:tcW w:w="807" w:type="dxa"/>
            <w:tcBorders/>
            <w:shd w:fill="CCEEFF" w:val="clear"/>
            <w:vAlign w:val="bottom"/>
          </w:tcPr>
          <w:p>
            <w:pPr>
              <w:pStyle w:val="TableContents"/>
              <w:bidi w:val="0"/>
              <w:spacing w:before="0" w:after="283"/>
              <w:jc w:val="right"/>
              <w:rPr/>
            </w:pPr>
            <w:r>
              <w:rPr/>
              <w:t>-</w:t>
            </w:r>
          </w:p>
        </w:tc>
        <w:tc>
          <w:tcPr>
            <w:tcW w:w="86"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right"/>
              <w:rPr/>
            </w:pPr>
            <w:r>
              <w:rPr/>
              <w:t> </w:t>
            </w:r>
          </w:p>
        </w:tc>
        <w:tc>
          <w:tcPr>
            <w:tcW w:w="201" w:type="dxa"/>
            <w:tcBorders/>
            <w:shd w:fill="CCEEFF" w:val="clear"/>
            <w:vAlign w:val="bottom"/>
          </w:tcPr>
          <w:p>
            <w:pPr>
              <w:pStyle w:val="TableContents"/>
              <w:bidi w:val="0"/>
              <w:spacing w:before="0" w:after="283"/>
              <w:jc w:val="left"/>
              <w:rPr/>
            </w:pPr>
            <w:r>
              <w:rPr/>
              <w:t>$</w:t>
            </w:r>
          </w:p>
        </w:tc>
        <w:tc>
          <w:tcPr>
            <w:tcW w:w="915" w:type="dxa"/>
            <w:tcBorders/>
            <w:shd w:fill="CCEEFF" w:val="clear"/>
            <w:vAlign w:val="bottom"/>
          </w:tcPr>
          <w:p>
            <w:pPr>
              <w:pStyle w:val="TableContents"/>
              <w:bidi w:val="0"/>
              <w:spacing w:before="0" w:after="283"/>
              <w:jc w:val="right"/>
              <w:rPr/>
            </w:pPr>
            <w:r>
              <w:rPr/>
              <w:t>(1,167</w:t>
            </w:r>
          </w:p>
        </w:tc>
        <w:tc>
          <w:tcPr>
            <w:tcW w:w="95" w:type="dxa"/>
            <w:tcBorders/>
            <w:shd w:fill="CCEEFF" w:val="clear"/>
            <w:vAlign w:val="bottom"/>
          </w:tcPr>
          <w:p>
            <w:pPr>
              <w:pStyle w:val="TableContents"/>
              <w:bidi w:val="0"/>
              <w:spacing w:before="0" w:after="283"/>
              <w:jc w:val="left"/>
              <w:rPr/>
            </w:pPr>
            <w:r>
              <w:rPr/>
              <w:t>)</w:t>
            </w:r>
          </w:p>
        </w:tc>
      </w:tr>
      <w:tr>
        <w:trPr/>
        <w:tc>
          <w:tcPr>
            <w:tcW w:w="281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TBAs</w:t>
            </w:r>
          </w:p>
        </w:tc>
        <w:tc>
          <w:tcPr>
            <w:tcW w:w="60" w:type="dxa"/>
            <w:tcBorders/>
            <w:vAlign w:val="bottom"/>
          </w:tcPr>
          <w:p>
            <w:pPr>
              <w:pStyle w:val="TableContents"/>
              <w:bidi w:val="0"/>
              <w:spacing w:before="0" w:after="283"/>
              <w:jc w:val="right"/>
              <w:rPr/>
            </w:pPr>
            <w:r>
              <w:rPr/>
              <w:t> </w:t>
            </w:r>
          </w:p>
        </w:tc>
        <w:tc>
          <w:tcPr>
            <w:tcW w:w="222" w:type="dxa"/>
            <w:tcBorders/>
            <w:vAlign w:val="bottom"/>
          </w:tcPr>
          <w:p>
            <w:pPr>
              <w:pStyle w:val="TableContents"/>
              <w:bidi w:val="0"/>
              <w:spacing w:before="0" w:after="283"/>
              <w:jc w:val="left"/>
              <w:rPr/>
            </w:pPr>
            <w:r>
              <w:rPr/>
              <w:t> </w:t>
            </w:r>
          </w:p>
        </w:tc>
        <w:tc>
          <w:tcPr>
            <w:tcW w:w="891"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5,050</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right"/>
              <w:rPr/>
            </w:pPr>
            <w:r>
              <w:rPr/>
              <w:t> </w:t>
            </w:r>
          </w:p>
        </w:tc>
        <w:tc>
          <w:tcPr>
            <w:tcW w:w="222" w:type="dxa"/>
            <w:tcBorders/>
            <w:vAlign w:val="bottom"/>
          </w:tcPr>
          <w:p>
            <w:pPr>
              <w:pStyle w:val="TableContents"/>
              <w:bidi w:val="0"/>
              <w:spacing w:before="0" w:after="283"/>
              <w:jc w:val="left"/>
              <w:rPr/>
            </w:pPr>
            <w:r>
              <w:rPr/>
              <w:t> </w:t>
            </w:r>
          </w:p>
        </w:tc>
        <w:tc>
          <w:tcPr>
            <w:tcW w:w="1011"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7,321</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1" w:type="dxa"/>
            <w:tcBorders/>
            <w:vAlign w:val="bottom"/>
          </w:tcPr>
          <w:p>
            <w:pPr>
              <w:pStyle w:val="TableContents"/>
              <w:bidi w:val="0"/>
              <w:spacing w:before="0" w:after="283"/>
              <w:jc w:val="left"/>
              <w:rPr/>
            </w:pPr>
            <w:r>
              <w:rPr/>
              <w:t> </w:t>
            </w:r>
          </w:p>
        </w:tc>
        <w:tc>
          <w:tcPr>
            <w:tcW w:w="80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2,034</w:t>
            </w:r>
          </w:p>
        </w:tc>
        <w:tc>
          <w:tcPr>
            <w:tcW w:w="86"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right"/>
              <w:rPr/>
            </w:pPr>
            <w:r>
              <w:rPr/>
              <w:t> </w:t>
            </w:r>
          </w:p>
        </w:tc>
        <w:tc>
          <w:tcPr>
            <w:tcW w:w="201" w:type="dxa"/>
            <w:tcBorders/>
            <w:vAlign w:val="bottom"/>
          </w:tcPr>
          <w:p>
            <w:pPr>
              <w:pStyle w:val="TableContents"/>
              <w:bidi w:val="0"/>
              <w:spacing w:before="0" w:after="283"/>
              <w:jc w:val="left"/>
              <w:rPr/>
            </w:pPr>
            <w:r>
              <w:rPr/>
              <w:t> </w:t>
            </w:r>
          </w:p>
        </w:tc>
        <w:tc>
          <w:tcPr>
            <w:tcW w:w="91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7,295</w:t>
            </w:r>
          </w:p>
        </w:tc>
        <w:tc>
          <w:tcPr>
            <w:tcW w:w="95" w:type="dxa"/>
            <w:tcBorders/>
            <w:vAlign w:val="bottom"/>
          </w:tcPr>
          <w:p>
            <w:pPr>
              <w:pStyle w:val="TableContents"/>
              <w:bidi w:val="0"/>
              <w:spacing w:before="0" w:after="283"/>
              <w:jc w:val="left"/>
              <w:rPr/>
            </w:pPr>
            <w:r>
              <w:rPr/>
              <w:t> </w:t>
            </w:r>
          </w:p>
        </w:tc>
      </w:tr>
      <w:tr>
        <w:trPr/>
        <w:tc>
          <w:tcPr>
            <w:tcW w:w="281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U.S. Treasury futures</w:t>
            </w:r>
          </w:p>
        </w:tc>
        <w:tc>
          <w:tcPr>
            <w:tcW w:w="60" w:type="dxa"/>
            <w:tcBorders/>
            <w:shd w:fill="CCEEFF" w:val="clear"/>
            <w:vAlign w:val="bottom"/>
          </w:tcPr>
          <w:p>
            <w:pPr>
              <w:pStyle w:val="TableContents"/>
              <w:bidi w:val="0"/>
              <w:spacing w:before="0" w:after="283"/>
              <w:jc w:val="right"/>
              <w:rPr/>
            </w:pPr>
            <w:r>
              <w:rPr/>
              <w:t> </w:t>
            </w:r>
          </w:p>
        </w:tc>
        <w:tc>
          <w:tcPr>
            <w:tcW w:w="222" w:type="dxa"/>
            <w:tcBorders/>
            <w:shd w:fill="CCEEFF" w:val="clear"/>
            <w:vAlign w:val="bottom"/>
          </w:tcPr>
          <w:p>
            <w:pPr>
              <w:pStyle w:val="TableContents"/>
              <w:bidi w:val="0"/>
              <w:spacing w:before="0" w:after="283"/>
              <w:jc w:val="left"/>
              <w:rPr/>
            </w:pPr>
            <w:r>
              <w:rPr/>
              <w:t> </w:t>
            </w:r>
          </w:p>
        </w:tc>
        <w:tc>
          <w:tcPr>
            <w:tcW w:w="891"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1,824</w:t>
            </w:r>
          </w:p>
        </w:tc>
        <w:tc>
          <w:tcPr>
            <w:tcW w:w="9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right"/>
              <w:rPr/>
            </w:pPr>
            <w:r>
              <w:rPr/>
              <w:t> </w:t>
            </w:r>
          </w:p>
        </w:tc>
        <w:tc>
          <w:tcPr>
            <w:tcW w:w="222" w:type="dxa"/>
            <w:tcBorders/>
            <w:shd w:fill="CCEEFF" w:val="clear"/>
            <w:vAlign w:val="bottom"/>
          </w:tcPr>
          <w:p>
            <w:pPr>
              <w:pStyle w:val="TableContents"/>
              <w:bidi w:val="0"/>
              <w:spacing w:before="0" w:after="283"/>
              <w:jc w:val="left"/>
              <w:rPr/>
            </w:pPr>
            <w:r>
              <w:rPr/>
              <w:t> </w:t>
            </w:r>
          </w:p>
        </w:tc>
        <w:tc>
          <w:tcPr>
            <w:tcW w:w="1011"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4,072</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1" w:type="dxa"/>
            <w:tcBorders/>
            <w:shd w:fill="CCEEFF" w:val="clear"/>
            <w:vAlign w:val="bottom"/>
          </w:tcPr>
          <w:p>
            <w:pPr>
              <w:pStyle w:val="TableContents"/>
              <w:bidi w:val="0"/>
              <w:spacing w:before="0" w:after="283"/>
              <w:jc w:val="left"/>
              <w:rPr/>
            </w:pPr>
            <w:r>
              <w:rPr/>
              <w:t> </w:t>
            </w:r>
          </w:p>
        </w:tc>
        <w:tc>
          <w:tcPr>
            <w:tcW w:w="80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1,030</w:t>
            </w:r>
          </w:p>
        </w:tc>
        <w:tc>
          <w:tcPr>
            <w:tcW w:w="86"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right"/>
              <w:rPr/>
            </w:pPr>
            <w:r>
              <w:rPr/>
              <w:t> </w:t>
            </w:r>
          </w:p>
        </w:tc>
        <w:tc>
          <w:tcPr>
            <w:tcW w:w="201" w:type="dxa"/>
            <w:tcBorders/>
            <w:shd w:fill="CCEEFF" w:val="clear"/>
            <w:vAlign w:val="bottom"/>
          </w:tcPr>
          <w:p>
            <w:pPr>
              <w:pStyle w:val="TableContents"/>
              <w:bidi w:val="0"/>
              <w:spacing w:before="0" w:after="283"/>
              <w:jc w:val="left"/>
              <w:rPr/>
            </w:pPr>
            <w:r>
              <w:rPr/>
              <w:t> </w:t>
            </w:r>
          </w:p>
        </w:tc>
        <w:tc>
          <w:tcPr>
            <w:tcW w:w="91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2,227</w:t>
            </w:r>
          </w:p>
        </w:tc>
        <w:tc>
          <w:tcPr>
            <w:tcW w:w="95" w:type="dxa"/>
            <w:tcBorders/>
            <w:shd w:fill="CCEEFF" w:val="clear"/>
            <w:vAlign w:val="bottom"/>
          </w:tcPr>
          <w:p>
            <w:pPr>
              <w:pStyle w:val="TableContents"/>
              <w:bidi w:val="0"/>
              <w:spacing w:before="0" w:after="283"/>
              <w:jc w:val="left"/>
              <w:rPr/>
            </w:pPr>
            <w:r>
              <w:rPr/>
              <w:t> </w:t>
            </w:r>
          </w:p>
        </w:tc>
      </w:tr>
      <w:tr>
        <w:trPr/>
        <w:tc>
          <w:tcPr>
            <w:tcW w:w="2810" w:type="dxa"/>
            <w:tcBorders/>
            <w:vAlign w:val="bottom"/>
          </w:tcPr>
          <w:p>
            <w:pPr>
              <w:pStyle w:val="TableContents"/>
              <w:bidi w:val="0"/>
              <w:spacing w:before="0" w:after="283"/>
              <w:jc w:val="left"/>
              <w:rPr/>
            </w:pPr>
            <w:r>
              <w:rPr/>
              <w:t>U.S. Treasury futures options</w:t>
            </w:r>
          </w:p>
        </w:tc>
        <w:tc>
          <w:tcPr>
            <w:tcW w:w="60" w:type="dxa"/>
            <w:tcBorders/>
            <w:vAlign w:val="bottom"/>
          </w:tcPr>
          <w:p>
            <w:pPr>
              <w:pStyle w:val="TableContents"/>
              <w:bidi w:val="0"/>
              <w:spacing w:before="0" w:after="283"/>
              <w:jc w:val="right"/>
              <w:rPr/>
            </w:pPr>
            <w:r>
              <w:rPr/>
              <w:t> </w:t>
            </w:r>
          </w:p>
        </w:tc>
        <w:tc>
          <w:tcPr>
            <w:tcW w:w="222" w:type="dxa"/>
            <w:tcBorders/>
            <w:vAlign w:val="bottom"/>
          </w:tcPr>
          <w:p>
            <w:pPr>
              <w:pStyle w:val="TableContents"/>
              <w:bidi w:val="0"/>
              <w:spacing w:before="0" w:after="283"/>
              <w:jc w:val="left"/>
              <w:rPr/>
            </w:pPr>
            <w:r>
              <w:rPr/>
              <w:t> </w:t>
            </w:r>
          </w:p>
        </w:tc>
        <w:tc>
          <w:tcPr>
            <w:tcW w:w="891" w:type="dxa"/>
            <w:tcBorders/>
            <w:vAlign w:val="bottom"/>
          </w:tcPr>
          <w:p>
            <w:pPr>
              <w:pStyle w:val="TableContents"/>
              <w:bidi w:val="0"/>
              <w:spacing w:before="0" w:after="283"/>
              <w:jc w:val="right"/>
              <w:rPr/>
            </w:pPr>
            <w:r>
              <w:rPr/>
              <w:t>-</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right"/>
              <w:rPr/>
            </w:pPr>
            <w:r>
              <w:rPr/>
              <w:t> </w:t>
            </w:r>
          </w:p>
        </w:tc>
        <w:tc>
          <w:tcPr>
            <w:tcW w:w="222" w:type="dxa"/>
            <w:tcBorders/>
            <w:vAlign w:val="bottom"/>
          </w:tcPr>
          <w:p>
            <w:pPr>
              <w:pStyle w:val="TableContents"/>
              <w:bidi w:val="0"/>
              <w:spacing w:before="0" w:after="283"/>
              <w:jc w:val="left"/>
              <w:rPr/>
            </w:pPr>
            <w:r>
              <w:rPr/>
              <w:t> </w:t>
            </w:r>
          </w:p>
        </w:tc>
        <w:tc>
          <w:tcPr>
            <w:tcW w:w="1011" w:type="dxa"/>
            <w:tcBorders/>
            <w:vAlign w:val="bottom"/>
          </w:tcPr>
          <w:p>
            <w:pPr>
              <w:pStyle w:val="TableContents"/>
              <w:bidi w:val="0"/>
              <w:spacing w:before="0" w:after="283"/>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1" w:type="dxa"/>
            <w:tcBorders/>
            <w:vAlign w:val="bottom"/>
          </w:tcPr>
          <w:p>
            <w:pPr>
              <w:pStyle w:val="TableContents"/>
              <w:bidi w:val="0"/>
              <w:spacing w:before="0" w:after="283"/>
              <w:jc w:val="left"/>
              <w:rPr/>
            </w:pPr>
            <w:r>
              <w:rPr/>
              <w:t> </w:t>
            </w:r>
          </w:p>
        </w:tc>
        <w:tc>
          <w:tcPr>
            <w:tcW w:w="807" w:type="dxa"/>
            <w:tcBorders/>
            <w:vAlign w:val="bottom"/>
          </w:tcPr>
          <w:p>
            <w:pPr>
              <w:pStyle w:val="TableContents"/>
              <w:bidi w:val="0"/>
              <w:spacing w:before="0" w:after="283"/>
              <w:jc w:val="right"/>
              <w:rPr/>
            </w:pPr>
            <w:r>
              <w:rPr/>
              <w:t>-</w:t>
            </w:r>
          </w:p>
        </w:tc>
        <w:tc>
          <w:tcPr>
            <w:tcW w:w="86"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right"/>
              <w:rPr/>
            </w:pPr>
            <w:r>
              <w:rPr/>
              <w:t> </w:t>
            </w:r>
          </w:p>
        </w:tc>
        <w:tc>
          <w:tcPr>
            <w:tcW w:w="201" w:type="dxa"/>
            <w:tcBorders/>
            <w:vAlign w:val="bottom"/>
          </w:tcPr>
          <w:p>
            <w:pPr>
              <w:pStyle w:val="TableContents"/>
              <w:bidi w:val="0"/>
              <w:spacing w:before="0" w:after="283"/>
              <w:jc w:val="left"/>
              <w:rPr/>
            </w:pPr>
            <w:r>
              <w:rPr/>
              <w:t> </w:t>
            </w:r>
          </w:p>
        </w:tc>
        <w:tc>
          <w:tcPr>
            <w:tcW w:w="915" w:type="dxa"/>
            <w:tcBorders/>
            <w:vAlign w:val="bottom"/>
          </w:tcPr>
          <w:p>
            <w:pPr>
              <w:pStyle w:val="TableContents"/>
              <w:bidi w:val="0"/>
              <w:spacing w:before="0" w:after="283"/>
              <w:jc w:val="right"/>
              <w:rPr/>
            </w:pPr>
            <w:r>
              <w:rPr/>
              <w:t>33</w:t>
            </w:r>
          </w:p>
        </w:tc>
        <w:tc>
          <w:tcPr>
            <w:tcW w:w="95" w:type="dxa"/>
            <w:tcBorders/>
            <w:vAlign w:val="bottom"/>
          </w:tcPr>
          <w:p>
            <w:pPr>
              <w:pStyle w:val="TableContents"/>
              <w:bidi w:val="0"/>
              <w:spacing w:before="0" w:after="283"/>
              <w:jc w:val="left"/>
              <w:rPr/>
            </w:pPr>
            <w:r>
              <w:rPr/>
              <w:t> </w:t>
            </w:r>
          </w:p>
        </w:tc>
      </w:tr>
      <w:tr>
        <w:trPr/>
        <w:tc>
          <w:tcPr>
            <w:tcW w:w="2810" w:type="dxa"/>
            <w:tcBorders/>
            <w:shd w:fill="CCEEFF" w:val="clear"/>
            <w:vAlign w:val="bottom"/>
          </w:tcPr>
          <w:p>
            <w:pPr>
              <w:pStyle w:val="TableContents"/>
              <w:bidi w:val="0"/>
              <w:spacing w:before="0" w:after="283"/>
              <w:jc w:val="left"/>
              <w:rPr/>
            </w:pPr>
            <w:r>
              <w:rPr/>
              <w:t>Eris SOFR swap futures</w:t>
            </w:r>
          </w:p>
        </w:tc>
        <w:tc>
          <w:tcPr>
            <w:tcW w:w="60" w:type="dxa"/>
            <w:tcBorders/>
            <w:shd w:fill="CCEEFF" w:val="clear"/>
            <w:vAlign w:val="bottom"/>
          </w:tcPr>
          <w:p>
            <w:pPr>
              <w:pStyle w:val="TableContents"/>
              <w:bidi w:val="0"/>
              <w:spacing w:before="0" w:after="283"/>
              <w:jc w:val="right"/>
              <w:rPr/>
            </w:pPr>
            <w:r>
              <w:rPr/>
              <w:t> </w:t>
            </w:r>
          </w:p>
        </w:tc>
        <w:tc>
          <w:tcPr>
            <w:tcW w:w="22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91" w:type="dxa"/>
            <w:tcBorders>
              <w:bottom w:val="single" w:sz="12" w:space="0" w:color="000000"/>
            </w:tcBorders>
            <w:shd w:fill="CCEEFF" w:val="clear"/>
            <w:tcMar>
              <w:bottom w:w="28" w:type="dxa"/>
            </w:tcMar>
            <w:vAlign w:val="bottom"/>
          </w:tcPr>
          <w:p>
            <w:pPr>
              <w:pStyle w:val="TableContents"/>
              <w:bidi w:val="0"/>
              <w:spacing w:before="0" w:after="283"/>
              <w:jc w:val="right"/>
              <w:rPr/>
            </w:pPr>
            <w:r>
              <w:rPr/>
              <w:t>1,525</w:t>
            </w:r>
          </w:p>
        </w:tc>
        <w:tc>
          <w:tcPr>
            <w:tcW w:w="9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right"/>
              <w:rPr/>
            </w:pPr>
            <w:r>
              <w:rPr/>
              <w:t> </w:t>
            </w:r>
          </w:p>
        </w:tc>
        <w:tc>
          <w:tcPr>
            <w:tcW w:w="22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11" w:type="dxa"/>
            <w:tcBorders>
              <w:bottom w:val="single" w:sz="12" w:space="0" w:color="000000"/>
            </w:tcBorders>
            <w:shd w:fill="CCEEFF" w:val="clear"/>
            <w:tcMar>
              <w:bottom w:w="28" w:type="dxa"/>
            </w:tcMar>
            <w:vAlign w:val="bottom"/>
          </w:tcPr>
          <w:p>
            <w:pPr>
              <w:pStyle w:val="TableContents"/>
              <w:bidi w:val="0"/>
              <w:spacing w:before="0" w:after="283"/>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7" w:type="dxa"/>
            <w:tcBorders>
              <w:bottom w:val="single" w:sz="12" w:space="0" w:color="000000"/>
            </w:tcBorders>
            <w:shd w:fill="CCEEFF" w:val="clear"/>
            <w:tcMar>
              <w:bottom w:w="28" w:type="dxa"/>
            </w:tcMar>
            <w:vAlign w:val="bottom"/>
          </w:tcPr>
          <w:p>
            <w:pPr>
              <w:pStyle w:val="TableContents"/>
              <w:bidi w:val="0"/>
              <w:spacing w:before="0" w:after="283"/>
              <w:jc w:val="right"/>
              <w:rPr/>
            </w:pPr>
            <w:r>
              <w:rPr/>
              <w:t>1,456</w:t>
            </w:r>
          </w:p>
        </w:tc>
        <w:tc>
          <w:tcPr>
            <w:tcW w:w="86"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right"/>
              <w:rPr/>
            </w:pPr>
            <w:r>
              <w:rPr/>
              <w:t> </w:t>
            </w:r>
          </w:p>
        </w:tc>
        <w:tc>
          <w:tcPr>
            <w:tcW w:w="20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15" w:type="dxa"/>
            <w:tcBorders>
              <w:bottom w:val="single" w:sz="12" w:space="0" w:color="000000"/>
            </w:tcBorders>
            <w:shd w:fill="CCEEFF" w:val="clear"/>
            <w:tcMar>
              <w:bottom w:w="28" w:type="dxa"/>
            </w:tcMar>
            <w:vAlign w:val="bottom"/>
          </w:tcPr>
          <w:p>
            <w:pPr>
              <w:pStyle w:val="TableContents"/>
              <w:bidi w:val="0"/>
              <w:spacing w:before="0" w:after="283"/>
              <w:jc w:val="right"/>
              <w:rPr/>
            </w:pPr>
            <w:r>
              <w:rPr/>
              <w:t>-</w:t>
            </w:r>
          </w:p>
        </w:tc>
        <w:tc>
          <w:tcPr>
            <w:tcW w:w="95" w:type="dxa"/>
            <w:tcBorders/>
            <w:shd w:fill="CCEEFF" w:val="clear"/>
            <w:vAlign w:val="bottom"/>
          </w:tcPr>
          <w:p>
            <w:pPr>
              <w:pStyle w:val="TableContents"/>
              <w:bidi w:val="0"/>
              <w:spacing w:before="0" w:after="283"/>
              <w:jc w:val="left"/>
              <w:rPr/>
            </w:pPr>
            <w:r>
              <w:rPr/>
              <w:t> </w:t>
            </w:r>
          </w:p>
        </w:tc>
      </w:tr>
      <w:tr>
        <w:trPr/>
        <w:tc>
          <w:tcPr>
            <w:tcW w:w="281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60" w:type="dxa"/>
            <w:tcBorders/>
            <w:vAlign w:val="bottom"/>
          </w:tcPr>
          <w:p>
            <w:pPr>
              <w:pStyle w:val="TableContents"/>
              <w:bidi w:val="0"/>
              <w:spacing w:before="0" w:after="283"/>
              <w:jc w:val="right"/>
              <w:rPr/>
            </w:pPr>
            <w:r>
              <w:rPr/>
              <w:t> </w:t>
            </w:r>
          </w:p>
        </w:tc>
        <w:tc>
          <w:tcPr>
            <w:tcW w:w="222"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891"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8,399</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right"/>
              <w:rPr/>
            </w:pPr>
            <w:r>
              <w:rPr/>
              <w:t> </w:t>
            </w:r>
          </w:p>
        </w:tc>
        <w:tc>
          <w:tcPr>
            <w:tcW w:w="222"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1011"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10,226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1"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807"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4,520</w:t>
            </w:r>
          </w:p>
        </w:tc>
        <w:tc>
          <w:tcPr>
            <w:tcW w:w="86"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right"/>
              <w:rPr/>
            </w:pPr>
            <w:r>
              <w:rPr/>
              <w:t> </w:t>
            </w:r>
          </w:p>
        </w:tc>
        <w:tc>
          <w:tcPr>
            <w:tcW w:w="201"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915"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8,388</w:t>
            </w:r>
          </w:p>
        </w:tc>
        <w:tc>
          <w:tcPr>
            <w:tcW w:w="95"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254"/>
        <w:gridCol w:w="9951"/>
      </w:tblGrid>
      <w:tr>
        <w:trPr/>
        <w:tc>
          <w:tcPr>
            <w:tcW w:w="254"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w:t>
            </w:r>
          </w:p>
        </w:tc>
        <w:tc>
          <w:tcPr>
            <w:tcW w:w="9951"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Excludes interest rate swap periodic interest income of $3.7 million and $4.6 million, for the three-month periods ended June</w:t>
            </w:r>
            <w:r>
              <w:rPr>
                <w:rFonts w:ascii="Times New Roman" w:hAnsi="Times New Roman"/>
                <w:caps w:val="false"/>
                <w:smallCaps w:val="false"/>
                <w:color w:val="000000"/>
                <w:sz w:val="20"/>
              </w:rPr>
              <w:t xml:space="preserve"> </w:t>
            </w:r>
            <w:r>
              <w:rPr>
                <w:rFonts w:ascii="Times New Roman" w:hAnsi="Times New Roman"/>
                <w:b w:val="false"/>
                <w:i w:val="false"/>
                <w:caps w:val="false"/>
                <w:smallCaps w:val="false"/>
                <w:color w:val="000000"/>
                <w:sz w:val="20"/>
              </w:rPr>
              <w:t>30</w:t>
            </w:r>
            <w:r>
              <w:rPr>
                <w:rFonts w:ascii="Times New Roman" w:hAnsi="Times New Roman"/>
                <w:sz w:val="20"/>
              </w:rPr>
              <w:t>, 2026 and June</w:t>
            </w:r>
            <w:r>
              <w:rPr>
                <w:rFonts w:ascii="Times New Roman" w:hAnsi="Times New Roman"/>
                <w:caps w:val="false"/>
                <w:smallCaps w:val="false"/>
                <w:color w:val="000000"/>
                <w:sz w:val="20"/>
              </w:rPr>
              <w:t xml:space="preserve"> </w:t>
            </w:r>
            <w:r>
              <w:rPr>
                <w:rFonts w:ascii="Times New Roman" w:hAnsi="Times New Roman"/>
                <w:b w:val="false"/>
                <w:i w:val="false"/>
                <w:caps w:val="false"/>
                <w:smallCaps w:val="false"/>
                <w:color w:val="000000"/>
                <w:sz w:val="20"/>
              </w:rPr>
              <w:t>30</w:t>
            </w:r>
            <w:r>
              <w:rPr>
                <w:rFonts w:ascii="Times New Roman" w:hAnsi="Times New Roman"/>
                <w:sz w:val="20"/>
              </w:rPr>
              <w:t>, 2025, respectively and $7.5 million and $11.1 million, for the six-month periods ended June</w:t>
            </w:r>
            <w:r>
              <w:rPr>
                <w:rFonts w:ascii="Times New Roman" w:hAnsi="Times New Roman"/>
                <w:caps w:val="false"/>
                <w:smallCaps w:val="false"/>
                <w:color w:val="000000"/>
                <w:sz w:val="20"/>
              </w:rPr>
              <w:t xml:space="preserve"> </w:t>
            </w:r>
            <w:r>
              <w:rPr>
                <w:rFonts w:ascii="Times New Roman" w:hAnsi="Times New Roman"/>
                <w:b w:val="false"/>
                <w:i w:val="false"/>
                <w:caps w:val="false"/>
                <w:smallCaps w:val="false"/>
                <w:color w:val="000000"/>
                <w:sz w:val="20"/>
              </w:rPr>
              <w:t>30</w:t>
            </w:r>
            <w:r>
              <w:rPr>
                <w:rFonts w:ascii="Times New Roman" w:hAnsi="Times New Roman"/>
                <w:sz w:val="20"/>
              </w:rPr>
              <w:t>, 2026 and June</w:t>
            </w:r>
            <w:r>
              <w:rPr>
                <w:rFonts w:ascii="Times New Roman" w:hAnsi="Times New Roman"/>
                <w:caps w:val="false"/>
                <w:smallCaps w:val="false"/>
                <w:color w:val="000000"/>
                <w:sz w:val="20"/>
              </w:rPr>
              <w:t xml:space="preserve"> </w:t>
            </w:r>
            <w:r>
              <w:rPr>
                <w:rFonts w:ascii="Times New Roman" w:hAnsi="Times New Roman"/>
                <w:b w:val="false"/>
                <w:i w:val="false"/>
                <w:caps w:val="false"/>
                <w:smallCaps w:val="false"/>
                <w:color w:val="000000"/>
                <w:sz w:val="20"/>
              </w:rPr>
              <w:t>30</w:t>
            </w:r>
            <w:r>
              <w:rPr>
                <w:rFonts w:ascii="Times New Roman" w:hAnsi="Times New Roman"/>
                <w:sz w:val="20"/>
              </w:rPr>
              <w:t>, 2025, respectively.</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b w:val="false"/>
          <w:i w:val="false"/>
          <w:caps w:val="false"/>
          <w:smallCaps w:val="false"/>
          <w:color w:val="000000"/>
          <w:sz w:val="20"/>
          <w:shd w:fill="FFFFFF" w:val="clear"/>
        </w:rPr>
        <w:t>The following table presents information about unrealized gain (loss) on derivatives, which is included on the consolidated statements of income (loss) for the periods indicated (dollars in</w:t>
      </w:r>
      <w:r>
        <w:rPr>
          <w:rFonts w:ascii="Times New Roman" w:hAnsi="Times New Roman"/>
          <w:caps w:val="false"/>
          <w:smallCaps w:val="false"/>
          <w:color w:val="000000"/>
          <w:sz w:val="20"/>
          <w:shd w:fill="FFFFFF" w:val="clear"/>
        </w:rPr>
        <w:t xml:space="preserve"> </w:t>
      </w:r>
      <w:r>
        <w:rPr>
          <w:rFonts w:ascii="Times New Roman" w:hAnsi="Times New Roman"/>
          <w:b w:val="false"/>
          <w:i w:val="false"/>
          <w:caps w:val="false"/>
          <w:smallCaps w:val="false"/>
          <w:color w:val="000000"/>
          <w:sz w:val="20"/>
          <w:shd w:fill="FFFFFF" w:val="clear"/>
        </w:rPr>
        <w:t>thousands):</w:t>
      </w:r>
      <w:r>
        <w:rPr>
          <w:rFonts w:ascii="Times New Roman" w:hAnsi="Times New Roman"/>
          <w:color w:val="000000"/>
          <w:sz w:val="20"/>
          <w:shd w:fill="FFFFFF" w:val="clear"/>
        </w:rPr>
        <w:t xml:space="preserve"> </w:t>
      </w:r>
    </w:p>
    <w:p>
      <w:pPr>
        <w:pStyle w:val="TextBody"/>
        <w:bidi w:val="0"/>
        <w:spacing w:before="0" w:after="0"/>
        <w:jc w:val="left"/>
        <w:rPr/>
      </w:pPr>
      <w:r>
        <w:rPr/>
      </w:r>
    </w:p>
    <w:tbl>
      <w:tblPr>
        <w:tblW w:w="8463" w:type="dxa"/>
        <w:jc w:val="left"/>
        <w:tblInd w:w="0" w:type="dxa"/>
        <w:tblLayout w:type="fixed"/>
        <w:tblCellMar>
          <w:top w:w="0" w:type="dxa"/>
          <w:left w:w="0" w:type="dxa"/>
          <w:bottom w:w="0" w:type="dxa"/>
          <w:right w:w="0" w:type="dxa"/>
        </w:tblCellMar>
      </w:tblPr>
      <w:tblGrid>
        <w:gridCol w:w="2810"/>
        <w:gridCol w:w="60"/>
        <w:gridCol w:w="198"/>
        <w:gridCol w:w="865"/>
        <w:gridCol w:w="150"/>
        <w:gridCol w:w="95"/>
        <w:gridCol w:w="198"/>
        <w:gridCol w:w="1031"/>
        <w:gridCol w:w="80"/>
        <w:gridCol w:w="60"/>
        <w:gridCol w:w="216"/>
        <w:gridCol w:w="982"/>
        <w:gridCol w:w="147"/>
        <w:gridCol w:w="92"/>
        <w:gridCol w:w="216"/>
        <w:gridCol w:w="1168"/>
        <w:gridCol w:w="95"/>
      </w:tblGrid>
      <w:tr>
        <w:trPr/>
        <w:tc>
          <w:tcPr>
            <w:tcW w:w="2810" w:type="dxa"/>
            <w:tcBorders/>
            <w:vAlign w:val="bottom"/>
          </w:tcPr>
          <w:p>
            <w:pPr>
              <w:pStyle w:val="TableContents"/>
              <w:bidi w:val="0"/>
              <w:spacing w:before="0" w:after="283"/>
              <w:jc w:val="left"/>
              <w:rPr/>
            </w:pPr>
            <w:r>
              <w:rPr/>
            </w:r>
          </w:p>
        </w:tc>
        <w:tc>
          <w:tcPr>
            <w:tcW w:w="60" w:type="dxa"/>
            <w:tcBorders/>
            <w:vAlign w:val="bottom"/>
          </w:tcPr>
          <w:p>
            <w:pPr>
              <w:pStyle w:val="TableContents"/>
              <w:bidi w:val="0"/>
              <w:spacing w:before="0" w:after="283"/>
              <w:jc w:val="left"/>
              <w:rPr/>
            </w:pPr>
            <w:r>
              <w:rPr/>
              <w:t> </w:t>
            </w:r>
          </w:p>
        </w:tc>
        <w:tc>
          <w:tcPr>
            <w:tcW w:w="2537"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Three Months Ended June 30,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2821" w:type="dxa"/>
            <w:gridSpan w:val="6"/>
            <w:tcBorders>
              <w:bottom w:val="single" w:sz="12" w:space="0" w:color="000000"/>
            </w:tcBorders>
            <w:tcMar>
              <w:bottom w:w="28" w:type="dxa"/>
            </w:tcMar>
            <w:vAlign w:val="bottom"/>
          </w:tcPr>
          <w:p>
            <w:pPr>
              <w:pStyle w:val="TableContents"/>
              <w:bidi w:val="0"/>
              <w:spacing w:before="0" w:after="283"/>
              <w:jc w:val="center"/>
              <w:rPr>
                <w:b/>
              </w:rPr>
            </w:pPr>
            <w:r>
              <w:rPr>
                <w:b/>
              </w:rPr>
              <w:t>Six Months Ended June 30,</w:t>
            </w:r>
          </w:p>
        </w:tc>
        <w:tc>
          <w:tcPr>
            <w:tcW w:w="95" w:type="dxa"/>
            <w:tcBorders/>
            <w:vAlign w:val="bottom"/>
          </w:tcPr>
          <w:p>
            <w:pPr>
              <w:pStyle w:val="TableContents"/>
              <w:bidi w:val="0"/>
              <w:spacing w:before="0" w:after="283"/>
              <w:jc w:val="left"/>
              <w:rPr/>
            </w:pPr>
            <w:r>
              <w:rPr/>
              <w:t> </w:t>
            </w:r>
          </w:p>
        </w:tc>
      </w:tr>
      <w:tr>
        <w:trPr/>
        <w:tc>
          <w:tcPr>
            <w:tcW w:w="2810" w:type="dxa"/>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Derivatives</w:t>
            </w:r>
          </w:p>
        </w:tc>
        <w:tc>
          <w:tcPr>
            <w:tcW w:w="60" w:type="dxa"/>
            <w:tcBorders/>
            <w:vAlign w:val="bottom"/>
          </w:tcPr>
          <w:p>
            <w:pPr>
              <w:pStyle w:val="TableContents"/>
              <w:bidi w:val="0"/>
              <w:spacing w:before="0" w:after="283"/>
              <w:jc w:val="left"/>
              <w:rPr/>
            </w:pPr>
            <w:r>
              <w:rPr/>
              <w:t> </w:t>
            </w:r>
          </w:p>
        </w:tc>
        <w:tc>
          <w:tcPr>
            <w:tcW w:w="1063"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2026</w:t>
            </w:r>
          </w:p>
        </w:tc>
        <w:tc>
          <w:tcPr>
            <w:tcW w:w="150"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22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1198" w:type="dxa"/>
            <w:gridSpan w:val="2"/>
            <w:tcBorders>
              <w:bottom w:val="single" w:sz="12" w:space="0" w:color="000000"/>
            </w:tcBorders>
            <w:tcMar>
              <w:bottom w:w="28" w:type="dxa"/>
            </w:tcMar>
            <w:vAlign w:val="bottom"/>
          </w:tcPr>
          <w:p>
            <w:pPr>
              <w:pStyle w:val="TableContents"/>
              <w:bidi w:val="0"/>
              <w:spacing w:before="0" w:after="283"/>
              <w:jc w:val="center"/>
              <w:rPr>
                <w:b/>
              </w:rPr>
            </w:pPr>
            <w:r>
              <w:rPr>
                <w:b/>
              </w:rPr>
              <w:t>2026</w:t>
            </w:r>
          </w:p>
        </w:tc>
        <w:tc>
          <w:tcPr>
            <w:tcW w:w="147"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center"/>
              <w:rPr/>
            </w:pPr>
            <w:r>
              <w:rPr/>
              <w:t> </w:t>
            </w:r>
          </w:p>
        </w:tc>
        <w:tc>
          <w:tcPr>
            <w:tcW w:w="1384" w:type="dxa"/>
            <w:gridSpan w:val="2"/>
            <w:tcBorders>
              <w:bottom w:val="single" w:sz="12" w:space="0" w:color="000000"/>
            </w:tcBorders>
            <w:tcMar>
              <w:bottom w:w="28" w:type="dxa"/>
            </w:tcMar>
            <w:vAlign w:val="bottom"/>
          </w:tcPr>
          <w:p>
            <w:pPr>
              <w:pStyle w:val="TableContents"/>
              <w:bidi w:val="0"/>
              <w:spacing w:before="0" w:after="283"/>
              <w:jc w:val="center"/>
              <w:rPr>
                <w:b/>
              </w:rPr>
            </w:pPr>
            <w:r>
              <w:rPr>
                <w:b/>
              </w:rPr>
              <w:t>2025</w:t>
            </w:r>
          </w:p>
        </w:tc>
        <w:tc>
          <w:tcPr>
            <w:tcW w:w="95" w:type="dxa"/>
            <w:tcBorders/>
            <w:vAlign w:val="bottom"/>
          </w:tcPr>
          <w:p>
            <w:pPr>
              <w:pStyle w:val="TableContents"/>
              <w:bidi w:val="0"/>
              <w:spacing w:before="0" w:after="283"/>
              <w:jc w:val="left"/>
              <w:rPr/>
            </w:pPr>
            <w:r>
              <w:rPr/>
              <w:t> </w:t>
            </w:r>
          </w:p>
        </w:tc>
      </w:tr>
      <w:tr>
        <w:trPr/>
        <w:tc>
          <w:tcPr>
            <w:tcW w:w="2810"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Interest rate swaps</w:t>
            </w:r>
          </w:p>
        </w:tc>
        <w:tc>
          <w:tcPr>
            <w:tcW w:w="60" w:type="dxa"/>
            <w:tcBorders/>
            <w:shd w:fill="CCEEFF" w:val="clear"/>
            <w:vAlign w:val="bottom"/>
          </w:tcPr>
          <w:p>
            <w:pPr>
              <w:pStyle w:val="TableContents"/>
              <w:bidi w:val="0"/>
              <w:spacing w:before="0" w:after="283"/>
              <w:jc w:val="right"/>
              <w:rPr/>
            </w:pPr>
            <w:r>
              <w:rPr/>
              <w:t> </w:t>
            </w:r>
          </w:p>
        </w:tc>
        <w:tc>
          <w:tcPr>
            <w:tcW w:w="19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6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22</w:t>
            </w:r>
          </w:p>
        </w:tc>
        <w:tc>
          <w:tcPr>
            <w:tcW w:w="150"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right"/>
              <w:rPr/>
            </w:pPr>
            <w:r>
              <w:rPr/>
              <w:t> </w:t>
            </w:r>
          </w:p>
        </w:tc>
        <w:tc>
          <w:tcPr>
            <w:tcW w:w="19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31"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(6,072</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216" w:type="dxa"/>
            <w:tcBorders/>
            <w:shd w:fill="CCEEFF" w:val="clear"/>
            <w:vAlign w:val="bottom"/>
          </w:tcPr>
          <w:p>
            <w:pPr>
              <w:pStyle w:val="TableContents"/>
              <w:bidi w:val="0"/>
              <w:spacing w:before="0" w:after="283"/>
              <w:jc w:val="left"/>
              <w:rPr/>
            </w:pPr>
            <w:r>
              <w:rPr/>
              <w:t>$</w:t>
            </w:r>
          </w:p>
        </w:tc>
        <w:tc>
          <w:tcPr>
            <w:tcW w:w="982" w:type="dxa"/>
            <w:tcBorders/>
            <w:shd w:fill="CCEEFF" w:val="clear"/>
            <w:vAlign w:val="bottom"/>
          </w:tcPr>
          <w:p>
            <w:pPr>
              <w:pStyle w:val="TableContents"/>
              <w:bidi w:val="0"/>
              <w:spacing w:before="0" w:after="283"/>
              <w:jc w:val="right"/>
              <w:rPr/>
            </w:pPr>
            <w:r>
              <w:rPr/>
              <w:t>(717</w:t>
            </w:r>
          </w:p>
        </w:tc>
        <w:tc>
          <w:tcPr>
            <w:tcW w:w="147" w:type="dxa"/>
            <w:tcBorders/>
            <w:shd w:fill="CCEEFF" w:val="clear"/>
            <w:vAlign w:val="bottom"/>
          </w:tcPr>
          <w:p>
            <w:pPr>
              <w:pStyle w:val="TableContents"/>
              <w:bidi w:val="0"/>
              <w:spacing w:before="0" w:after="283"/>
              <w:jc w:val="left"/>
              <w:rPr/>
            </w:pPr>
            <w:r>
              <w:rPr/>
              <w:t>)</w:t>
            </w:r>
          </w:p>
        </w:tc>
        <w:tc>
          <w:tcPr>
            <w:tcW w:w="92" w:type="dxa"/>
            <w:tcBorders/>
            <w:shd w:fill="CCEEFF" w:val="clear"/>
            <w:vAlign w:val="bottom"/>
          </w:tcPr>
          <w:p>
            <w:pPr>
              <w:pStyle w:val="TableContents"/>
              <w:bidi w:val="0"/>
              <w:spacing w:before="0" w:after="283"/>
              <w:jc w:val="right"/>
              <w:rPr/>
            </w:pPr>
            <w:r>
              <w:rPr/>
              <w:t> </w:t>
            </w:r>
          </w:p>
        </w:tc>
        <w:tc>
          <w:tcPr>
            <w:tcW w:w="216" w:type="dxa"/>
            <w:tcBorders/>
            <w:shd w:fill="CCEEFF" w:val="clear"/>
            <w:vAlign w:val="bottom"/>
          </w:tcPr>
          <w:p>
            <w:pPr>
              <w:pStyle w:val="TableContents"/>
              <w:bidi w:val="0"/>
              <w:spacing w:before="0" w:after="283"/>
              <w:jc w:val="left"/>
              <w:rPr/>
            </w:pPr>
            <w:r>
              <w:rPr/>
              <w:t>$</w:t>
            </w:r>
          </w:p>
        </w:tc>
        <w:tc>
          <w:tcPr>
            <w:tcW w:w="1168" w:type="dxa"/>
            <w:tcBorders/>
            <w:shd w:fill="CCEEFF" w:val="clear"/>
            <w:vAlign w:val="bottom"/>
          </w:tcPr>
          <w:p>
            <w:pPr>
              <w:pStyle w:val="TableContents"/>
              <w:bidi w:val="0"/>
              <w:spacing w:before="0" w:after="283"/>
              <w:jc w:val="right"/>
              <w:rPr/>
            </w:pPr>
            <w:r>
              <w:rPr/>
              <w:t>(19,714</w:t>
            </w:r>
          </w:p>
        </w:tc>
        <w:tc>
          <w:tcPr>
            <w:tcW w:w="95" w:type="dxa"/>
            <w:tcBorders/>
            <w:shd w:fill="CCEEFF" w:val="clear"/>
            <w:vAlign w:val="bottom"/>
          </w:tcPr>
          <w:p>
            <w:pPr>
              <w:pStyle w:val="TableContents"/>
              <w:bidi w:val="0"/>
              <w:spacing w:before="0" w:after="283"/>
              <w:jc w:val="left"/>
              <w:rPr/>
            </w:pPr>
            <w:r>
              <w:rPr/>
              <w:t>)</w:t>
            </w:r>
          </w:p>
        </w:tc>
      </w:tr>
      <w:tr>
        <w:trPr/>
        <w:tc>
          <w:tcPr>
            <w:tcW w:w="2810"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TBAs</w:t>
            </w:r>
          </w:p>
        </w:tc>
        <w:tc>
          <w:tcPr>
            <w:tcW w:w="60" w:type="dxa"/>
            <w:tcBorders/>
            <w:vAlign w:val="bottom"/>
          </w:tcPr>
          <w:p>
            <w:pPr>
              <w:pStyle w:val="TableContents"/>
              <w:bidi w:val="0"/>
              <w:spacing w:before="0" w:after="283"/>
              <w:jc w:val="right"/>
              <w:rPr/>
            </w:pPr>
            <w:r>
              <w:rPr/>
              <w:t> </w:t>
            </w:r>
          </w:p>
        </w:tc>
        <w:tc>
          <w:tcPr>
            <w:tcW w:w="198" w:type="dxa"/>
            <w:tcBorders/>
            <w:vAlign w:val="bottom"/>
          </w:tcPr>
          <w:p>
            <w:pPr>
              <w:pStyle w:val="TableContents"/>
              <w:bidi w:val="0"/>
              <w:spacing w:before="0" w:after="283"/>
              <w:jc w:val="left"/>
              <w:rPr/>
            </w:pPr>
            <w:r>
              <w:rPr/>
              <w:t> </w:t>
            </w:r>
          </w:p>
        </w:tc>
        <w:tc>
          <w:tcPr>
            <w:tcW w:w="86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(6,100</w:t>
            </w:r>
          </w:p>
        </w:tc>
        <w:tc>
          <w:tcPr>
            <w:tcW w:w="15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 w:type="dxa"/>
            <w:tcBorders/>
            <w:vAlign w:val="bottom"/>
          </w:tcPr>
          <w:p>
            <w:pPr>
              <w:pStyle w:val="TableContents"/>
              <w:bidi w:val="0"/>
              <w:spacing w:before="0" w:after="283"/>
              <w:jc w:val="right"/>
              <w:rPr/>
            </w:pPr>
            <w:r>
              <w:rPr/>
              <w:t> </w:t>
            </w:r>
          </w:p>
        </w:tc>
        <w:tc>
          <w:tcPr>
            <w:tcW w:w="198" w:type="dxa"/>
            <w:tcBorders/>
            <w:vAlign w:val="bottom"/>
          </w:tcPr>
          <w:p>
            <w:pPr>
              <w:pStyle w:val="TableContents"/>
              <w:bidi w:val="0"/>
              <w:spacing w:before="0" w:after="283"/>
              <w:jc w:val="left"/>
              <w:rPr/>
            </w:pPr>
            <w:r>
              <w:rPr/>
              <w:t> </w:t>
            </w:r>
          </w:p>
        </w:tc>
        <w:tc>
          <w:tcPr>
            <w:tcW w:w="1031"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(9,622</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216" w:type="dxa"/>
            <w:tcBorders/>
            <w:vAlign w:val="bottom"/>
          </w:tcPr>
          <w:p>
            <w:pPr>
              <w:pStyle w:val="TableContents"/>
              <w:bidi w:val="0"/>
              <w:spacing w:before="0" w:after="283"/>
              <w:jc w:val="left"/>
              <w:rPr/>
            </w:pPr>
            <w:r>
              <w:rPr/>
              <w:t> </w:t>
            </w:r>
          </w:p>
        </w:tc>
        <w:tc>
          <w:tcPr>
            <w:tcW w:w="982" w:type="dxa"/>
            <w:tcBorders/>
            <w:vAlign w:val="bottom"/>
          </w:tcPr>
          <w:p>
            <w:pPr>
              <w:pStyle w:val="TableContents"/>
              <w:bidi w:val="0"/>
              <w:spacing w:before="0" w:after="283"/>
              <w:jc w:val="right"/>
              <w:rPr/>
            </w:pPr>
            <w:r>
              <w:rPr/>
              <w:t>356</w:t>
            </w:r>
          </w:p>
        </w:tc>
        <w:tc>
          <w:tcPr>
            <w:tcW w:w="147"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right"/>
              <w:rPr/>
            </w:pPr>
            <w:r>
              <w:rPr/>
              <w:t> </w:t>
            </w:r>
          </w:p>
        </w:tc>
        <w:tc>
          <w:tcPr>
            <w:tcW w:w="216" w:type="dxa"/>
            <w:tcBorders/>
            <w:vAlign w:val="bottom"/>
          </w:tcPr>
          <w:p>
            <w:pPr>
              <w:pStyle w:val="TableContents"/>
              <w:bidi w:val="0"/>
              <w:spacing w:before="0" w:after="283"/>
              <w:jc w:val="left"/>
              <w:rPr/>
            </w:pPr>
            <w:r>
              <w:rPr/>
              <w:t> </w:t>
            </w:r>
          </w:p>
        </w:tc>
        <w:tc>
          <w:tcPr>
            <w:tcW w:w="1168" w:type="dxa"/>
            <w:tcBorders/>
            <w:vAlign w:val="bottom"/>
          </w:tcPr>
          <w:p>
            <w:pPr>
              <w:pStyle w:val="TableContents"/>
              <w:bidi w:val="0"/>
              <w:spacing w:before="0" w:after="283"/>
              <w:jc w:val="right"/>
              <w:rPr/>
            </w:pPr>
            <w:r>
              <w:rPr/>
              <w:t>(18,140</w:t>
            </w:r>
          </w:p>
        </w:tc>
        <w:tc>
          <w:tcPr>
            <w:tcW w:w="95" w:type="dxa"/>
            <w:tcBorders/>
            <w:vAlign w:val="bottom"/>
          </w:tcPr>
          <w:p>
            <w:pPr>
              <w:pStyle w:val="TableContents"/>
              <w:bidi w:val="0"/>
              <w:spacing w:before="0" w:after="283"/>
              <w:jc w:val="left"/>
              <w:rPr/>
            </w:pPr>
            <w:r>
              <w:rPr/>
              <w:t>)</w:t>
            </w:r>
          </w:p>
        </w:tc>
      </w:tr>
      <w:tr>
        <w:trPr/>
        <w:tc>
          <w:tcPr>
            <w:tcW w:w="2810"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U.S. Treasury futures</w:t>
            </w:r>
          </w:p>
        </w:tc>
        <w:tc>
          <w:tcPr>
            <w:tcW w:w="60" w:type="dxa"/>
            <w:tcBorders/>
            <w:shd w:fill="CCEEFF" w:val="clear"/>
            <w:vAlign w:val="bottom"/>
          </w:tcPr>
          <w:p>
            <w:pPr>
              <w:pStyle w:val="TableContents"/>
              <w:bidi w:val="0"/>
              <w:spacing w:before="0" w:after="283"/>
              <w:jc w:val="right"/>
              <w:rPr/>
            </w:pPr>
            <w:r>
              <w:rPr/>
              <w:t> </w:t>
            </w:r>
          </w:p>
        </w:tc>
        <w:tc>
          <w:tcPr>
            <w:tcW w:w="198" w:type="dxa"/>
            <w:tcBorders/>
            <w:shd w:fill="CCEEFF" w:val="clear"/>
            <w:vAlign w:val="bottom"/>
          </w:tcPr>
          <w:p>
            <w:pPr>
              <w:pStyle w:val="TableContents"/>
              <w:bidi w:val="0"/>
              <w:spacing w:before="0" w:after="283"/>
              <w:jc w:val="left"/>
              <w:rPr/>
            </w:pPr>
            <w:r>
              <w:rPr/>
              <w:t> </w:t>
            </w:r>
          </w:p>
        </w:tc>
        <w:tc>
          <w:tcPr>
            <w:tcW w:w="86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(2,389</w:t>
            </w:r>
          </w:p>
        </w:tc>
        <w:tc>
          <w:tcPr>
            <w:tcW w:w="15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 w:type="dxa"/>
            <w:tcBorders/>
            <w:shd w:fill="CCEEFF" w:val="clear"/>
            <w:vAlign w:val="bottom"/>
          </w:tcPr>
          <w:p>
            <w:pPr>
              <w:pStyle w:val="TableContents"/>
              <w:bidi w:val="0"/>
              <w:spacing w:before="0" w:after="283"/>
              <w:jc w:val="right"/>
              <w:rPr/>
            </w:pPr>
            <w:r>
              <w:rPr/>
              <w:t> </w:t>
            </w:r>
          </w:p>
        </w:tc>
        <w:tc>
          <w:tcPr>
            <w:tcW w:w="198" w:type="dxa"/>
            <w:tcBorders/>
            <w:shd w:fill="CCEEFF" w:val="clear"/>
            <w:vAlign w:val="bottom"/>
          </w:tcPr>
          <w:p>
            <w:pPr>
              <w:pStyle w:val="TableContents"/>
              <w:bidi w:val="0"/>
              <w:spacing w:before="0" w:after="283"/>
              <w:jc w:val="left"/>
              <w:rPr/>
            </w:pPr>
            <w:r>
              <w:rPr/>
              <w:t> </w:t>
            </w:r>
          </w:p>
        </w:tc>
        <w:tc>
          <w:tcPr>
            <w:tcW w:w="1031"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(3,453</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216" w:type="dxa"/>
            <w:tcBorders/>
            <w:shd w:fill="CCEEFF" w:val="clear"/>
            <w:vAlign w:val="bottom"/>
          </w:tcPr>
          <w:p>
            <w:pPr>
              <w:pStyle w:val="TableContents"/>
              <w:bidi w:val="0"/>
              <w:spacing w:before="0" w:after="283"/>
              <w:jc w:val="left"/>
              <w:rPr/>
            </w:pPr>
            <w:r>
              <w:rPr/>
              <w:t> </w:t>
            </w:r>
          </w:p>
        </w:tc>
        <w:tc>
          <w:tcPr>
            <w:tcW w:w="982" w:type="dxa"/>
            <w:tcBorders/>
            <w:shd w:fill="CCEEFF" w:val="clear"/>
            <w:vAlign w:val="bottom"/>
          </w:tcPr>
          <w:p>
            <w:pPr>
              <w:pStyle w:val="TableContents"/>
              <w:bidi w:val="0"/>
              <w:spacing w:before="0" w:after="283"/>
              <w:jc w:val="right"/>
              <w:rPr/>
            </w:pPr>
            <w:r>
              <w:rPr/>
              <w:t>(2,260</w:t>
            </w:r>
          </w:p>
        </w:tc>
        <w:tc>
          <w:tcPr>
            <w:tcW w:w="147" w:type="dxa"/>
            <w:tcBorders/>
            <w:shd w:fill="CCEEFF" w:val="clear"/>
            <w:vAlign w:val="bottom"/>
          </w:tcPr>
          <w:p>
            <w:pPr>
              <w:pStyle w:val="TableContents"/>
              <w:bidi w:val="0"/>
              <w:spacing w:before="0" w:after="283"/>
              <w:jc w:val="left"/>
              <w:rPr/>
            </w:pPr>
            <w:r>
              <w:rPr/>
              <w:t>)</w:t>
            </w:r>
          </w:p>
        </w:tc>
        <w:tc>
          <w:tcPr>
            <w:tcW w:w="92" w:type="dxa"/>
            <w:tcBorders/>
            <w:shd w:fill="CCEEFF" w:val="clear"/>
            <w:vAlign w:val="bottom"/>
          </w:tcPr>
          <w:p>
            <w:pPr>
              <w:pStyle w:val="TableContents"/>
              <w:bidi w:val="0"/>
              <w:spacing w:before="0" w:after="283"/>
              <w:jc w:val="right"/>
              <w:rPr/>
            </w:pPr>
            <w:r>
              <w:rPr/>
              <w:t> </w:t>
            </w:r>
          </w:p>
        </w:tc>
        <w:tc>
          <w:tcPr>
            <w:tcW w:w="216" w:type="dxa"/>
            <w:tcBorders/>
            <w:shd w:fill="CCEEFF" w:val="clear"/>
            <w:vAlign w:val="bottom"/>
          </w:tcPr>
          <w:p>
            <w:pPr>
              <w:pStyle w:val="TableContents"/>
              <w:bidi w:val="0"/>
              <w:spacing w:before="0" w:after="283"/>
              <w:jc w:val="left"/>
              <w:rPr/>
            </w:pPr>
            <w:r>
              <w:rPr/>
              <w:t> </w:t>
            </w:r>
          </w:p>
        </w:tc>
        <w:tc>
          <w:tcPr>
            <w:tcW w:w="1168" w:type="dxa"/>
            <w:tcBorders/>
            <w:shd w:fill="CCEEFF" w:val="clear"/>
            <w:vAlign w:val="bottom"/>
          </w:tcPr>
          <w:p>
            <w:pPr>
              <w:pStyle w:val="TableContents"/>
              <w:bidi w:val="0"/>
              <w:spacing w:before="0" w:after="283"/>
              <w:jc w:val="right"/>
              <w:rPr/>
            </w:pPr>
            <w:r>
              <w:rPr/>
              <w:t>(4,001</w:t>
            </w:r>
          </w:p>
        </w:tc>
        <w:tc>
          <w:tcPr>
            <w:tcW w:w="95" w:type="dxa"/>
            <w:tcBorders/>
            <w:shd w:fill="CCEEFF" w:val="clear"/>
            <w:vAlign w:val="bottom"/>
          </w:tcPr>
          <w:p>
            <w:pPr>
              <w:pStyle w:val="TableContents"/>
              <w:bidi w:val="0"/>
              <w:spacing w:before="0" w:after="283"/>
              <w:jc w:val="left"/>
              <w:rPr/>
            </w:pPr>
            <w:r>
              <w:rPr/>
              <w:t>)</w:t>
            </w:r>
          </w:p>
        </w:tc>
      </w:tr>
      <w:tr>
        <w:trPr/>
        <w:tc>
          <w:tcPr>
            <w:tcW w:w="2810" w:type="dxa"/>
            <w:tcBorders/>
            <w:vAlign w:val="bottom"/>
          </w:tcPr>
          <w:p>
            <w:pPr>
              <w:pStyle w:val="TableContents"/>
              <w:bidi w:val="0"/>
              <w:spacing w:before="0" w:after="0"/>
              <w:ind w:left="180" w:right="0" w:hanging="180"/>
              <w:jc w:val="left"/>
              <w:rPr/>
            </w:pPr>
            <w:r>
              <w:rPr/>
              <w:t>U.S. Treasury futures options</w:t>
            </w:r>
          </w:p>
        </w:tc>
        <w:tc>
          <w:tcPr>
            <w:tcW w:w="60" w:type="dxa"/>
            <w:tcBorders/>
            <w:vAlign w:val="bottom"/>
          </w:tcPr>
          <w:p>
            <w:pPr>
              <w:pStyle w:val="TableContents"/>
              <w:bidi w:val="0"/>
              <w:spacing w:before="0" w:after="283"/>
              <w:jc w:val="right"/>
              <w:rPr/>
            </w:pPr>
            <w:r>
              <w:rPr/>
              <w:t> </w:t>
            </w:r>
          </w:p>
        </w:tc>
        <w:tc>
          <w:tcPr>
            <w:tcW w:w="198" w:type="dxa"/>
            <w:tcBorders/>
            <w:vAlign w:val="bottom"/>
          </w:tcPr>
          <w:p>
            <w:pPr>
              <w:pStyle w:val="TableContents"/>
              <w:bidi w:val="0"/>
              <w:spacing w:before="0" w:after="283"/>
              <w:jc w:val="left"/>
              <w:rPr/>
            </w:pPr>
            <w:r>
              <w:rPr/>
              <w:t> </w:t>
            </w:r>
          </w:p>
        </w:tc>
        <w:tc>
          <w:tcPr>
            <w:tcW w:w="865" w:type="dxa"/>
            <w:tcBorders/>
            <w:vAlign w:val="bottom"/>
          </w:tcPr>
          <w:p>
            <w:pPr>
              <w:pStyle w:val="TableContents"/>
              <w:bidi w:val="0"/>
              <w:spacing w:before="0" w:after="283"/>
              <w:jc w:val="right"/>
              <w:rPr/>
            </w:pPr>
            <w:r>
              <w:rPr/>
              <w:t>-</w:t>
            </w:r>
          </w:p>
        </w:tc>
        <w:tc>
          <w:tcPr>
            <w:tcW w:w="150"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right"/>
              <w:rPr/>
            </w:pPr>
            <w:r>
              <w:rPr/>
              <w:t> </w:t>
            </w:r>
          </w:p>
        </w:tc>
        <w:tc>
          <w:tcPr>
            <w:tcW w:w="198" w:type="dxa"/>
            <w:tcBorders/>
            <w:vAlign w:val="bottom"/>
          </w:tcPr>
          <w:p>
            <w:pPr>
              <w:pStyle w:val="TableContents"/>
              <w:bidi w:val="0"/>
              <w:spacing w:before="0" w:after="283"/>
              <w:jc w:val="left"/>
              <w:rPr/>
            </w:pPr>
            <w:r>
              <w:rPr/>
              <w:t> </w:t>
            </w:r>
          </w:p>
        </w:tc>
        <w:tc>
          <w:tcPr>
            <w:tcW w:w="1031" w:type="dxa"/>
            <w:tcBorders/>
            <w:vAlign w:val="bottom"/>
          </w:tcPr>
          <w:p>
            <w:pPr>
              <w:pStyle w:val="TableContents"/>
              <w:bidi w:val="0"/>
              <w:spacing w:before="0" w:after="283"/>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6" w:type="dxa"/>
            <w:tcBorders/>
            <w:vAlign w:val="bottom"/>
          </w:tcPr>
          <w:p>
            <w:pPr>
              <w:pStyle w:val="TableContents"/>
              <w:bidi w:val="0"/>
              <w:spacing w:before="0" w:after="283"/>
              <w:jc w:val="left"/>
              <w:rPr/>
            </w:pPr>
            <w:r>
              <w:rPr/>
              <w:t> </w:t>
            </w:r>
          </w:p>
        </w:tc>
        <w:tc>
          <w:tcPr>
            <w:tcW w:w="982" w:type="dxa"/>
            <w:tcBorders/>
            <w:vAlign w:val="bottom"/>
          </w:tcPr>
          <w:p>
            <w:pPr>
              <w:pStyle w:val="TableContents"/>
              <w:bidi w:val="0"/>
              <w:spacing w:before="0" w:after="283"/>
              <w:jc w:val="right"/>
              <w:rPr/>
            </w:pPr>
            <w:r>
              <w:rPr/>
              <w:t>-</w:t>
            </w:r>
          </w:p>
        </w:tc>
        <w:tc>
          <w:tcPr>
            <w:tcW w:w="147"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right"/>
              <w:rPr/>
            </w:pPr>
            <w:r>
              <w:rPr/>
              <w:t> </w:t>
            </w:r>
          </w:p>
        </w:tc>
        <w:tc>
          <w:tcPr>
            <w:tcW w:w="216" w:type="dxa"/>
            <w:tcBorders/>
            <w:vAlign w:val="bottom"/>
          </w:tcPr>
          <w:p>
            <w:pPr>
              <w:pStyle w:val="TableContents"/>
              <w:bidi w:val="0"/>
              <w:spacing w:before="0" w:after="283"/>
              <w:jc w:val="left"/>
              <w:rPr/>
            </w:pPr>
            <w:r>
              <w:rPr/>
              <w:t> </w:t>
            </w:r>
          </w:p>
        </w:tc>
        <w:tc>
          <w:tcPr>
            <w:tcW w:w="1168" w:type="dxa"/>
            <w:tcBorders/>
            <w:vAlign w:val="bottom"/>
          </w:tcPr>
          <w:p>
            <w:pPr>
              <w:pStyle w:val="TableContents"/>
              <w:bidi w:val="0"/>
              <w:spacing w:before="0" w:after="283"/>
              <w:jc w:val="right"/>
              <w:rPr/>
            </w:pPr>
            <w:r>
              <w:rPr/>
              <w:t>(33</w:t>
            </w:r>
          </w:p>
        </w:tc>
        <w:tc>
          <w:tcPr>
            <w:tcW w:w="95" w:type="dxa"/>
            <w:tcBorders/>
            <w:vAlign w:val="bottom"/>
          </w:tcPr>
          <w:p>
            <w:pPr>
              <w:pStyle w:val="TableContents"/>
              <w:bidi w:val="0"/>
              <w:spacing w:before="0" w:after="283"/>
              <w:jc w:val="left"/>
              <w:rPr/>
            </w:pPr>
            <w:r>
              <w:rPr/>
              <w:t>)</w:t>
            </w:r>
          </w:p>
        </w:tc>
      </w:tr>
      <w:tr>
        <w:trPr/>
        <w:tc>
          <w:tcPr>
            <w:tcW w:w="2810" w:type="dxa"/>
            <w:tcBorders/>
            <w:shd w:fill="CCEEFF" w:val="clear"/>
            <w:vAlign w:val="bottom"/>
          </w:tcPr>
          <w:p>
            <w:pPr>
              <w:pStyle w:val="TableContents"/>
              <w:bidi w:val="0"/>
              <w:spacing w:before="0" w:after="283"/>
              <w:jc w:val="left"/>
              <w:rPr/>
            </w:pPr>
            <w:r>
              <w:rPr/>
              <w:t>Eris SOFR swap futures</w:t>
            </w:r>
          </w:p>
        </w:tc>
        <w:tc>
          <w:tcPr>
            <w:tcW w:w="60" w:type="dxa"/>
            <w:tcBorders/>
            <w:shd w:fill="CCEEFF" w:val="clear"/>
            <w:vAlign w:val="bottom"/>
          </w:tcPr>
          <w:p>
            <w:pPr>
              <w:pStyle w:val="TableContents"/>
              <w:bidi w:val="0"/>
              <w:spacing w:before="0" w:after="283"/>
              <w:jc w:val="right"/>
              <w:rPr/>
            </w:pPr>
            <w:r>
              <w:rPr/>
              <w:t> </w:t>
            </w:r>
          </w:p>
        </w:tc>
        <w:tc>
          <w:tcPr>
            <w:tcW w:w="19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65" w:type="dxa"/>
            <w:tcBorders>
              <w:bottom w:val="single" w:sz="12" w:space="0" w:color="000000"/>
            </w:tcBorders>
            <w:shd w:fill="CCEEFF" w:val="clear"/>
            <w:tcMar>
              <w:bottom w:w="28" w:type="dxa"/>
            </w:tcMar>
            <w:vAlign w:val="bottom"/>
          </w:tcPr>
          <w:p>
            <w:pPr>
              <w:pStyle w:val="TableContents"/>
              <w:bidi w:val="0"/>
              <w:spacing w:before="0" w:after="283"/>
              <w:jc w:val="right"/>
              <w:rPr/>
            </w:pPr>
            <w:r>
              <w:rPr/>
              <w:t>(832</w:t>
            </w:r>
          </w:p>
        </w:tc>
        <w:tc>
          <w:tcPr>
            <w:tcW w:w="150" w:type="dxa"/>
            <w:tcBorders/>
            <w:shd w:fill="CCEEFF" w:val="clear"/>
            <w:vAlign w:val="bottom"/>
          </w:tcPr>
          <w:p>
            <w:pPr>
              <w:pStyle w:val="TableContents"/>
              <w:bidi w:val="0"/>
              <w:spacing w:before="0" w:after="283"/>
              <w:jc w:val="left"/>
              <w:rPr/>
            </w:pPr>
            <w:r>
              <w:rPr/>
              <w:t>)</w:t>
            </w:r>
          </w:p>
        </w:tc>
        <w:tc>
          <w:tcPr>
            <w:tcW w:w="95" w:type="dxa"/>
            <w:tcBorders/>
            <w:shd w:fill="CCEEFF" w:val="clear"/>
            <w:vAlign w:val="bottom"/>
          </w:tcPr>
          <w:p>
            <w:pPr>
              <w:pStyle w:val="TableContents"/>
              <w:bidi w:val="0"/>
              <w:spacing w:before="0" w:after="283"/>
              <w:jc w:val="right"/>
              <w:rPr/>
            </w:pPr>
            <w:r>
              <w:rPr/>
              <w:t> </w:t>
            </w:r>
          </w:p>
        </w:tc>
        <w:tc>
          <w:tcPr>
            <w:tcW w:w="19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31" w:type="dxa"/>
            <w:tcBorders>
              <w:bottom w:val="single" w:sz="12" w:space="0" w:color="000000"/>
            </w:tcBorders>
            <w:shd w:fill="CCEEFF" w:val="clear"/>
            <w:tcMar>
              <w:bottom w:w="28" w:type="dxa"/>
            </w:tcMar>
            <w:vAlign w:val="bottom"/>
          </w:tcPr>
          <w:p>
            <w:pPr>
              <w:pStyle w:val="TableContents"/>
              <w:bidi w:val="0"/>
              <w:spacing w:before="0" w:after="283"/>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2" w:type="dxa"/>
            <w:tcBorders>
              <w:bottom w:val="single" w:sz="12" w:space="0" w:color="000000"/>
            </w:tcBorders>
            <w:shd w:fill="CCEEFF" w:val="clear"/>
            <w:tcMar>
              <w:bottom w:w="28" w:type="dxa"/>
            </w:tcMar>
            <w:vAlign w:val="bottom"/>
          </w:tcPr>
          <w:p>
            <w:pPr>
              <w:pStyle w:val="TableContents"/>
              <w:bidi w:val="0"/>
              <w:spacing w:before="0" w:after="283"/>
              <w:jc w:val="right"/>
              <w:rPr/>
            </w:pPr>
            <w:r>
              <w:rPr/>
              <w:t>(557</w:t>
            </w:r>
          </w:p>
        </w:tc>
        <w:tc>
          <w:tcPr>
            <w:tcW w:w="147" w:type="dxa"/>
            <w:tcBorders/>
            <w:shd w:fill="CCEEFF" w:val="clear"/>
            <w:vAlign w:val="bottom"/>
          </w:tcPr>
          <w:p>
            <w:pPr>
              <w:pStyle w:val="TableContents"/>
              <w:bidi w:val="0"/>
              <w:spacing w:before="0" w:after="283"/>
              <w:jc w:val="left"/>
              <w:rPr/>
            </w:pPr>
            <w:r>
              <w:rPr/>
              <w:t>)</w:t>
            </w:r>
          </w:p>
        </w:tc>
        <w:tc>
          <w:tcPr>
            <w:tcW w:w="92" w:type="dxa"/>
            <w:tcBorders/>
            <w:shd w:fill="CCEEFF" w:val="clear"/>
            <w:vAlign w:val="bottom"/>
          </w:tcPr>
          <w:p>
            <w:pPr>
              <w:pStyle w:val="TableContents"/>
              <w:bidi w:val="0"/>
              <w:spacing w:before="0" w:after="283"/>
              <w:jc w:val="right"/>
              <w:rPr/>
            </w:pPr>
            <w:r>
              <w:rPr/>
              <w:t> </w:t>
            </w:r>
          </w:p>
        </w:tc>
        <w:tc>
          <w:tcPr>
            <w:tcW w:w="21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68" w:type="dxa"/>
            <w:tcBorders>
              <w:bottom w:val="single" w:sz="12" w:space="0" w:color="000000"/>
            </w:tcBorders>
            <w:shd w:fill="CCEEFF" w:val="clear"/>
            <w:tcMar>
              <w:bottom w:w="28" w:type="dxa"/>
            </w:tcMar>
            <w:vAlign w:val="bottom"/>
          </w:tcPr>
          <w:p>
            <w:pPr>
              <w:pStyle w:val="TableContents"/>
              <w:bidi w:val="0"/>
              <w:spacing w:before="0" w:after="283"/>
              <w:jc w:val="right"/>
              <w:rPr/>
            </w:pPr>
            <w:r>
              <w:rPr/>
              <w:t>-</w:t>
            </w:r>
          </w:p>
        </w:tc>
        <w:tc>
          <w:tcPr>
            <w:tcW w:w="95" w:type="dxa"/>
            <w:tcBorders/>
            <w:shd w:fill="CCEEFF" w:val="clear"/>
            <w:vAlign w:val="bottom"/>
          </w:tcPr>
          <w:p>
            <w:pPr>
              <w:pStyle w:val="TableContents"/>
              <w:bidi w:val="0"/>
              <w:spacing w:before="0" w:after="283"/>
              <w:jc w:val="left"/>
              <w:rPr/>
            </w:pPr>
            <w:r>
              <w:rPr/>
              <w:t> </w:t>
            </w:r>
          </w:p>
        </w:tc>
      </w:tr>
      <w:tr>
        <w:trPr/>
        <w:tc>
          <w:tcPr>
            <w:tcW w:w="281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60" w:type="dxa"/>
            <w:tcBorders/>
            <w:vAlign w:val="bottom"/>
          </w:tcPr>
          <w:p>
            <w:pPr>
              <w:pStyle w:val="TableContents"/>
              <w:bidi w:val="0"/>
              <w:spacing w:before="0" w:after="283"/>
              <w:jc w:val="right"/>
              <w:rPr/>
            </w:pPr>
            <w:r>
              <w:rPr/>
              <w:t> </w:t>
            </w:r>
          </w:p>
        </w:tc>
        <w:tc>
          <w:tcPr>
            <w:tcW w:w="198"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865"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(9,299</w:t>
            </w:r>
          </w:p>
        </w:tc>
        <w:tc>
          <w:tcPr>
            <w:tcW w:w="15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95" w:type="dxa"/>
            <w:tcBorders/>
            <w:vAlign w:val="bottom"/>
          </w:tcPr>
          <w:p>
            <w:pPr>
              <w:pStyle w:val="TableContents"/>
              <w:bidi w:val="0"/>
              <w:spacing w:before="0" w:after="283"/>
              <w:jc w:val="right"/>
              <w:rPr/>
            </w:pPr>
            <w:r>
              <w:rPr/>
              <w:t> </w:t>
            </w:r>
          </w:p>
        </w:tc>
        <w:tc>
          <w:tcPr>
            <w:tcW w:w="198"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1031"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(19,147</w:t>
            </w:r>
          </w:p>
        </w:tc>
        <w:tc>
          <w:tcPr>
            <w:tcW w:w="8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vAlign w:val="bottom"/>
          </w:tcPr>
          <w:p>
            <w:pPr>
              <w:pStyle w:val="TableContents"/>
              <w:bidi w:val="0"/>
              <w:spacing w:before="0" w:after="283"/>
              <w:jc w:val="right"/>
              <w:rPr/>
            </w:pPr>
            <w:r>
              <w:rPr/>
              <w:t> </w:t>
            </w:r>
          </w:p>
        </w:tc>
        <w:tc>
          <w:tcPr>
            <w:tcW w:w="216" w:type="dxa"/>
            <w:tcBorders/>
            <w:vAlign w:val="bottom"/>
          </w:tcPr>
          <w:p>
            <w:pPr>
              <w:pStyle w:val="TableContents"/>
              <w:bidi w:val="0"/>
              <w:spacing w:before="0" w:after="283"/>
              <w:jc w:val="left"/>
              <w:rPr/>
            </w:pPr>
            <w:r>
              <w:rPr/>
              <w:t>$</w:t>
            </w:r>
          </w:p>
        </w:tc>
        <w:tc>
          <w:tcPr>
            <w:tcW w:w="982" w:type="dxa"/>
            <w:tcBorders/>
            <w:vAlign w:val="bottom"/>
          </w:tcPr>
          <w:p>
            <w:pPr>
              <w:pStyle w:val="TableContents"/>
              <w:bidi w:val="0"/>
              <w:spacing w:before="0" w:after="283"/>
              <w:jc w:val="right"/>
              <w:rPr>
                <w:b/>
              </w:rPr>
            </w:pPr>
            <w:r>
              <w:rPr>
                <w:b/>
              </w:rPr>
              <w:t>(3,178</w:t>
            </w:r>
          </w:p>
        </w:tc>
        <w:tc>
          <w:tcPr>
            <w:tcW w:w="147" w:type="dxa"/>
            <w:tcBorders/>
            <w:vAlign w:val="bottom"/>
          </w:tcPr>
          <w:p>
            <w:pPr>
              <w:pStyle w:val="TableContents"/>
              <w:bidi w:val="0"/>
              <w:spacing w:before="0" w:after="283"/>
              <w:jc w:val="left"/>
              <w:rPr>
                <w:b/>
              </w:rPr>
            </w:pPr>
            <w:r>
              <w:rPr>
                <w:b/>
              </w:rPr>
              <w:t>)</w:t>
            </w:r>
          </w:p>
        </w:tc>
        <w:tc>
          <w:tcPr>
            <w:tcW w:w="92" w:type="dxa"/>
            <w:tcBorders/>
            <w:vAlign w:val="bottom"/>
          </w:tcPr>
          <w:p>
            <w:pPr>
              <w:pStyle w:val="TableContents"/>
              <w:bidi w:val="0"/>
              <w:spacing w:before="0" w:after="283"/>
              <w:jc w:val="right"/>
              <w:rPr/>
            </w:pPr>
            <w:r>
              <w:rPr/>
              <w:t> </w:t>
            </w:r>
          </w:p>
        </w:tc>
        <w:tc>
          <w:tcPr>
            <w:tcW w:w="216" w:type="dxa"/>
            <w:tcBorders/>
            <w:vAlign w:val="bottom"/>
          </w:tcPr>
          <w:p>
            <w:pPr>
              <w:pStyle w:val="TableContents"/>
              <w:bidi w:val="0"/>
              <w:spacing w:before="0" w:after="283"/>
              <w:jc w:val="left"/>
              <w:rPr/>
            </w:pPr>
            <w:r>
              <w:rPr/>
              <w:t>$</w:t>
            </w:r>
          </w:p>
        </w:tc>
        <w:tc>
          <w:tcPr>
            <w:tcW w:w="1168" w:type="dxa"/>
            <w:tcBorders/>
            <w:vAlign w:val="bottom"/>
          </w:tcPr>
          <w:p>
            <w:pPr>
              <w:pStyle w:val="TableContents"/>
              <w:bidi w:val="0"/>
              <w:spacing w:before="0" w:after="283"/>
              <w:jc w:val="right"/>
              <w:rPr>
                <w:b/>
              </w:rPr>
            </w:pPr>
            <w:r>
              <w:rPr>
                <w:b/>
              </w:rPr>
              <w:t>(41,888</w:t>
            </w:r>
          </w:p>
        </w:tc>
        <w:tc>
          <w:tcPr>
            <w:tcW w:w="95" w:type="dxa"/>
            <w:tcBorders/>
            <w:vAlign w:val="bottom"/>
          </w:tcPr>
          <w:p>
            <w:pPr>
              <w:pStyle w:val="TableContents"/>
              <w:bidi w:val="0"/>
              <w:spacing w:before="0" w:after="283"/>
              <w:jc w:val="left"/>
              <w:rPr>
                <w:b/>
              </w:rPr>
            </w:pPr>
            <w:r>
              <w:rPr>
                <w:b/>
              </w:rPr>
              <w:t>)</w:t>
            </w:r>
          </w:p>
        </w:tc>
      </w:tr>
    </w:tbl>
    <w:p>
      <w:pPr>
        <w:pStyle w:val="TextBody"/>
        <w:bidi w:val="0"/>
        <w:spacing w:before="0" w:after="0"/>
        <w:jc w:val="both"/>
        <w:rPr>
          <w:rFonts w:ascii="Times New Roman" w:hAnsi="Times New Roman"/>
          <w:b/>
          <w:i/>
          <w:sz w:val="20"/>
        </w:rPr>
      </w:pPr>
      <w:r>
        <w:rPr>
          <w:rFonts w:ascii="Times New Roman" w:hAnsi="Times New Roman"/>
          <w:b/>
          <w:i/>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34</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Offsetting Assets and Liabilities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Certain of the Company’s repurchase agreements are governed by underlying agreements that provide for a right of setoff in the event of default by either party to the agreement. The Company presents repurchase transactions in this section even though they are not derivatives because they are subject to master netting arrangements. The Company also has netting arrangements in place with all of its derivative counterparties pursuant to standard documentation developed by the International Swaps and Derivatives Association and the SIFMA. We present our assets and liabilities subject to such arrangements on a gross basis in our consolidated balance sheets.</w:t>
      </w:r>
    </w:p>
    <w:p>
      <w:pPr>
        <w:pStyle w:val="TextBody"/>
        <w:bidi w:val="0"/>
        <w:spacing w:before="0" w:after="0"/>
        <w:ind w:left="0" w:right="0" w:firstLine="720"/>
        <w:jc w:val="both"/>
        <w:rPr/>
      </w:pPr>
      <w:r>
        <w:rPr/>
      </w:r>
    </w:p>
    <w:p>
      <w:pPr>
        <w:pStyle w:val="TextBody"/>
        <w:bidi w:val="0"/>
        <w:spacing w:before="0" w:after="0"/>
        <w:jc w:val="both"/>
        <w:rPr/>
      </w:pPr>
      <w:r>
        <w:rPr/>
      </w:r>
    </w:p>
    <w:p>
      <w:pPr>
        <w:pStyle w:val="TextBody"/>
        <w:bidi w:val="0"/>
        <w:spacing w:before="0" w:after="0"/>
        <w:ind w:left="0" w:right="0" w:firstLine="72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 xml:space="preserve">Under U.S. GAAP, if the Company has a valid right of setoff, it may offset the related asset and liability and report the net amount. The Company’s centrally cleared interest rate swaps require that the Company post an “initial margin” amount determined by the clearing exchange, which is generally intended to be set at a level sufficient to protect the exchange from the interest rate swap’s maximum estimated single-day price movement. The Company also exchanges “variation margin” based upon daily changes in fair value, as measured by the exchange. As a result of amendments to rules governing certain central clearing activities, the exchange of variation margin is a settlement of the interest rate swap, as opposed to pledged collateral. The Company has accounted for the receipt or payment of variation margin on interest rate swaps as a direct reduction or increase to the carrying value of the interest rate swap asset or liability. The receipt or payment of initial margin is accounted for separate from the derivative asset or liability.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tables present information about the Company’s assets and liabilities that are subject to master netting arrangements or similar agreements and can potentially be offset on the Company’s consolidated balance sheets as of the dates indicated (dollars in thousands):</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Offsetting Assets and Liabilities</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As of June 30, 2026</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2165"/>
        <w:gridCol w:w="60"/>
        <w:gridCol w:w="140"/>
        <w:gridCol w:w="1055"/>
        <w:gridCol w:w="95"/>
        <w:gridCol w:w="60"/>
        <w:gridCol w:w="709"/>
        <w:gridCol w:w="481"/>
        <w:gridCol w:w="60"/>
        <w:gridCol w:w="60"/>
        <w:gridCol w:w="156"/>
        <w:gridCol w:w="1182"/>
        <w:gridCol w:w="95"/>
        <w:gridCol w:w="60"/>
        <w:gridCol w:w="182"/>
        <w:gridCol w:w="1279"/>
        <w:gridCol w:w="123"/>
        <w:gridCol w:w="78"/>
        <w:gridCol w:w="194"/>
        <w:gridCol w:w="769"/>
        <w:gridCol w:w="60"/>
        <w:gridCol w:w="60"/>
        <w:gridCol w:w="226"/>
        <w:gridCol w:w="740"/>
        <w:gridCol w:w="116"/>
      </w:tblGrid>
      <w:tr>
        <w:trPr/>
        <w:tc>
          <w:tcPr>
            <w:tcW w:w="216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195"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38" w:type="dxa"/>
            <w:gridSpan w:val="2"/>
            <w:tcBorders/>
            <w:vAlign w:val="bottom"/>
          </w:tcPr>
          <w:p>
            <w:pPr>
              <w:pStyle w:val="TableContents"/>
              <w:bidi w:val="0"/>
              <w:spacing w:before="0" w:after="0"/>
              <w:jc w:val="center"/>
              <w:rPr>
                <w:b/>
              </w:rPr>
            </w:pPr>
            <w:r>
              <w:rPr>
                <w:b/>
              </w:rPr>
              <w:t>Net Amounts</w:t>
            </w:r>
          </w:p>
          <w:p>
            <w:pPr>
              <w:pStyle w:val="TableContents"/>
              <w:bidi w:val="0"/>
              <w:spacing w:before="0" w:after="0"/>
              <w:jc w:val="center"/>
              <w:rPr>
                <w:b/>
              </w:rPr>
            </w:pPr>
            <w:r>
              <w:rPr>
                <w:b/>
              </w:rPr>
              <w:t>of Assets and</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5"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Gross Amounts Not Offset in the</w:t>
            </w:r>
          </w:p>
          <w:p>
            <w:pPr>
              <w:pStyle w:val="TableContents"/>
              <w:bidi w:val="0"/>
              <w:spacing w:before="0" w:after="0"/>
              <w:jc w:val="center"/>
              <w:rPr>
                <w:rFonts w:ascii="Times New Roman" w:hAnsi="Times New Roman"/>
                <w:b/>
                <w:sz w:val="20"/>
              </w:rPr>
            </w:pPr>
            <w:r>
              <w:rPr>
                <w:rFonts w:ascii="Times New Roman" w:hAnsi="Times New Roman"/>
                <w:b/>
                <w:sz w:val="20"/>
              </w:rPr>
              <w:t>Consolidated Balance Sheet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6" w:type="dxa"/>
            <w:gridSpan w:val="2"/>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r>
      <w:tr>
        <w:trPr/>
        <w:tc>
          <w:tcPr>
            <w:tcW w:w="2165"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Gross</w:t>
            </w:r>
          </w:p>
          <w:p>
            <w:pPr>
              <w:pStyle w:val="TableContents"/>
              <w:bidi w:val="0"/>
              <w:spacing w:before="0" w:after="0"/>
              <w:jc w:val="center"/>
              <w:rPr>
                <w:rFonts w:ascii="Times New Roman" w:hAnsi="Times New Roman"/>
                <w:b/>
                <w:sz w:val="20"/>
              </w:rPr>
            </w:pPr>
            <w:r>
              <w:rPr>
                <w:rFonts w:ascii="Times New Roman" w:hAnsi="Times New Roman"/>
                <w:b/>
                <w:sz w:val="20"/>
              </w:rPr>
              <w:t>Amounts of</w:t>
            </w:r>
          </w:p>
          <w:p>
            <w:pPr>
              <w:pStyle w:val="TableContents"/>
              <w:bidi w:val="0"/>
              <w:spacing w:before="0" w:after="0"/>
              <w:jc w:val="center"/>
              <w:rPr>
                <w:rFonts w:ascii="Times New Roman" w:hAnsi="Times New Roman"/>
                <w:b/>
                <w:sz w:val="20"/>
              </w:rPr>
            </w:pPr>
            <w:r>
              <w:rPr>
                <w:rFonts w:ascii="Times New Roman" w:hAnsi="Times New Roman"/>
                <w:b/>
                <w:sz w:val="20"/>
              </w:rPr>
              <w:t>Recognized</w:t>
            </w:r>
          </w:p>
          <w:p>
            <w:pPr>
              <w:pStyle w:val="TableContents"/>
              <w:bidi w:val="0"/>
              <w:spacing w:before="0" w:after="0"/>
              <w:jc w:val="center"/>
              <w:rPr>
                <w:rFonts w:ascii="Times New Roman" w:hAnsi="Times New Roman"/>
                <w:b/>
                <w:sz w:val="20"/>
              </w:rPr>
            </w:pPr>
            <w:r>
              <w:rPr>
                <w:rFonts w:ascii="Times New Roman" w:hAnsi="Times New Roman"/>
                <w:b/>
                <w:sz w:val="20"/>
              </w:rPr>
              <w:t>Assets or</w:t>
            </w:r>
          </w:p>
          <w:p>
            <w:pPr>
              <w:pStyle w:val="TableContents"/>
              <w:bidi w:val="0"/>
              <w:spacing w:before="0" w:after="0"/>
              <w:jc w:val="center"/>
              <w:rPr>
                <w:rFonts w:ascii="Times New Roman" w:hAnsi="Times New Roman"/>
                <w:b/>
                <w:sz w:val="20"/>
              </w:rPr>
            </w:pPr>
            <w:r>
              <w:rPr>
                <w:rFonts w:ascii="Times New Roman" w:hAnsi="Times New Roman"/>
                <w:b/>
                <w:sz w:val="20"/>
              </w:rPr>
              <w:t>Liabilities</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 xml:space="preserve">Gross </w:t>
            </w:r>
          </w:p>
          <w:p>
            <w:pPr>
              <w:pStyle w:val="TableContents"/>
              <w:bidi w:val="0"/>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 xml:space="preserve">Amounts </w:t>
            </w:r>
          </w:p>
          <w:p>
            <w:pPr>
              <w:pStyle w:val="TableContents"/>
              <w:bidi w:val="0"/>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Offset in the</w:t>
            </w:r>
          </w:p>
          <w:p>
            <w:pPr>
              <w:pStyle w:val="TableContents"/>
              <w:bidi w:val="0"/>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Consolidated</w:t>
            </w:r>
          </w:p>
          <w:p>
            <w:pPr>
              <w:pStyle w:val="TableContents"/>
              <w:bidi w:val="0"/>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Balance Sheet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38"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Liabilities</w:t>
            </w:r>
          </w:p>
          <w:p>
            <w:pPr>
              <w:pStyle w:val="TableContents"/>
              <w:bidi w:val="0"/>
              <w:spacing w:before="0" w:after="0"/>
              <w:jc w:val="center"/>
              <w:rPr>
                <w:rFonts w:ascii="Times New Roman" w:hAnsi="Times New Roman"/>
                <w:b/>
                <w:sz w:val="20"/>
              </w:rPr>
            </w:pPr>
            <w:r>
              <w:rPr>
                <w:rFonts w:ascii="Times New Roman" w:hAnsi="Times New Roman"/>
                <w:b/>
                <w:sz w:val="20"/>
              </w:rPr>
              <w:t xml:space="preserve">Presented in </w:t>
            </w:r>
          </w:p>
          <w:p>
            <w:pPr>
              <w:pStyle w:val="TableContents"/>
              <w:bidi w:val="0"/>
              <w:spacing w:before="0" w:after="0"/>
              <w:jc w:val="center"/>
              <w:rPr>
                <w:rFonts w:ascii="Times New Roman" w:hAnsi="Times New Roman"/>
                <w:b/>
                <w:sz w:val="20"/>
              </w:rPr>
            </w:pPr>
            <w:r>
              <w:rPr>
                <w:rFonts w:ascii="Times New Roman" w:hAnsi="Times New Roman"/>
                <w:b/>
                <w:sz w:val="20"/>
              </w:rPr>
              <w:t>the</w:t>
            </w:r>
          </w:p>
          <w:p>
            <w:pPr>
              <w:pStyle w:val="TableContents"/>
              <w:bidi w:val="0"/>
              <w:spacing w:before="0" w:after="0"/>
              <w:jc w:val="center"/>
              <w:rPr>
                <w:rFonts w:ascii="Times New Roman" w:hAnsi="Times New Roman"/>
                <w:b/>
                <w:sz w:val="20"/>
              </w:rPr>
            </w:pPr>
            <w:r>
              <w:rPr>
                <w:rFonts w:ascii="Times New Roman" w:hAnsi="Times New Roman"/>
                <w:b/>
                <w:sz w:val="20"/>
              </w:rPr>
              <w:t>Consolidated</w:t>
            </w:r>
          </w:p>
          <w:p>
            <w:pPr>
              <w:pStyle w:val="TableContents"/>
              <w:bidi w:val="0"/>
              <w:spacing w:before="0" w:after="0"/>
              <w:jc w:val="center"/>
              <w:rPr>
                <w:rFonts w:ascii="Times New Roman" w:hAnsi="Times New Roman"/>
                <w:b/>
                <w:sz w:val="20"/>
              </w:rPr>
            </w:pPr>
            <w:r>
              <w:rPr>
                <w:rFonts w:ascii="Times New Roman" w:hAnsi="Times New Roman"/>
                <w:b/>
                <w:sz w:val="20"/>
              </w:rPr>
              <w:t>Balance Sheet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1"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 xml:space="preserve">Financial </w:t>
            </w:r>
          </w:p>
          <w:p>
            <w:pPr>
              <w:pStyle w:val="TableContents"/>
              <w:bidi w:val="0"/>
              <w:spacing w:before="0" w:after="0"/>
              <w:jc w:val="center"/>
              <w:rPr>
                <w:rFonts w:ascii="Times New Roman" w:hAnsi="Times New Roman"/>
                <w:b/>
                <w:sz w:val="20"/>
              </w:rPr>
            </w:pPr>
            <w:r>
              <w:rPr>
                <w:rFonts w:ascii="Times New Roman" w:hAnsi="Times New Roman"/>
                <w:b/>
                <w:sz w:val="20"/>
              </w:rPr>
              <w:t>Instruments</w:t>
            </w:r>
          </w:p>
        </w:tc>
        <w:tc>
          <w:tcPr>
            <w:tcW w:w="123"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963"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Cash</w:t>
            </w:r>
          </w:p>
          <w:p>
            <w:pPr>
              <w:pStyle w:val="TableContents"/>
              <w:bidi w:val="0"/>
              <w:spacing w:before="0" w:after="0"/>
              <w:jc w:val="center"/>
              <w:rPr>
                <w:rFonts w:ascii="Times New Roman" w:hAnsi="Times New Roman"/>
                <w:b/>
                <w:sz w:val="20"/>
              </w:rPr>
            </w:pPr>
            <w:r>
              <w:rPr>
                <w:rFonts w:ascii="Times New Roman" w:hAnsi="Times New Roman"/>
                <w:b/>
                <w:sz w:val="20"/>
              </w:rPr>
              <w:t>Collateral</w:t>
            </w:r>
          </w:p>
          <w:p>
            <w:pPr>
              <w:pStyle w:val="TableContents"/>
              <w:bidi w:val="0"/>
              <w:spacing w:before="0" w:after="0"/>
              <w:jc w:val="center"/>
              <w:rPr>
                <w:rFonts w:ascii="Times New Roman" w:hAnsi="Times New Roman"/>
                <w:b/>
                <w:sz w:val="20"/>
              </w:rPr>
            </w:pPr>
            <w:r>
              <w:rPr>
                <w:rFonts w:ascii="Times New Roman" w:hAnsi="Times New Roman"/>
                <w:b/>
                <w:sz w:val="20"/>
              </w:rPr>
              <w:t>Received/</w:t>
            </w:r>
          </w:p>
          <w:p>
            <w:pPr>
              <w:pStyle w:val="TableContents"/>
              <w:bidi w:val="0"/>
              <w:spacing w:before="0" w:after="0"/>
              <w:jc w:val="center"/>
              <w:rPr>
                <w:rFonts w:ascii="Times New Roman" w:hAnsi="Times New Roman"/>
                <w:b/>
                <w:sz w:val="20"/>
              </w:rPr>
            </w:pPr>
            <w:r>
              <w:rPr>
                <w:rFonts w:ascii="Times New Roman" w:hAnsi="Times New Roman"/>
                <w:b/>
                <w:sz w:val="20"/>
              </w:rPr>
              <w:t xml:space="preserve">Pledged </w:t>
            </w:r>
            <w:r>
              <w:rPr>
                <w:rFonts w:ascii="Times New Roman" w:hAnsi="Times New Roman"/>
                <w:b/>
                <w:position w:val="7"/>
                <w:sz w:val="16"/>
                <w:sz w:val="20"/>
              </w:rPr>
              <w:t>(A)</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6"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Net Amount</w:t>
            </w:r>
          </w:p>
        </w:tc>
        <w:tc>
          <w:tcPr>
            <w:tcW w:w="116" w:type="dxa"/>
            <w:tcBorders/>
            <w:vAlign w:val="bottom"/>
          </w:tcPr>
          <w:p>
            <w:pPr>
              <w:pStyle w:val="TableContents"/>
              <w:bidi w:val="0"/>
              <w:spacing w:before="0" w:after="283"/>
              <w:jc w:val="left"/>
              <w:rPr/>
            </w:pPr>
            <w:r>
              <w:rPr/>
              <w:t> </w:t>
            </w:r>
          </w:p>
        </w:tc>
      </w:tr>
      <w:tr>
        <w:trPr/>
        <w:tc>
          <w:tcPr>
            <w:tcW w:w="216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60" w:type="dxa"/>
            <w:tcBorders/>
            <w:vAlign w:val="bottom"/>
          </w:tcPr>
          <w:p>
            <w:pPr>
              <w:pStyle w:val="TableContents"/>
              <w:bidi w:val="0"/>
              <w:spacing w:before="0" w:after="283"/>
              <w:jc w:val="left"/>
              <w:rPr/>
            </w:pPr>
            <w:r>
              <w:rPr/>
              <w:t> </w:t>
            </w:r>
          </w:p>
        </w:tc>
        <w:tc>
          <w:tcPr>
            <w:tcW w:w="1195"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38"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1" w:type="dxa"/>
            <w:gridSpan w:val="2"/>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963"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6" w:type="dxa"/>
            <w:gridSpan w:val="2"/>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r>
      <w:tr>
        <w:trPr/>
        <w:tc>
          <w:tcPr>
            <w:tcW w:w="2165" w:type="dxa"/>
            <w:tcBorders/>
            <w:shd w:fill="CCEEFF" w:val="clear"/>
            <w:vAlign w:val="bottom"/>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TBAs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5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1,490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709"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481"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8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1,490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27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(1,490</w:t>
            </w:r>
          </w:p>
        </w:tc>
        <w:tc>
          <w:tcPr>
            <w:tcW w:w="12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8" w:type="dxa"/>
            <w:tcBorders/>
            <w:shd w:fill="CCEEFF" w:val="clear"/>
            <w:vAlign w:val="bottom"/>
          </w:tcPr>
          <w:p>
            <w:pPr>
              <w:pStyle w:val="TableContents"/>
              <w:bidi w:val="0"/>
              <w:spacing w:before="0" w:after="283"/>
              <w:jc w:val="right"/>
              <w:rPr/>
            </w:pPr>
            <w:r>
              <w:rPr/>
              <w:t> </w:t>
            </w:r>
          </w:p>
        </w:tc>
        <w:tc>
          <w:tcPr>
            <w:tcW w:w="19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6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2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4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116" w:type="dxa"/>
            <w:tcBorders/>
            <w:shd w:fill="CCEEFF" w:val="clear"/>
            <w:vAlign w:val="bottom"/>
          </w:tcPr>
          <w:p>
            <w:pPr>
              <w:pStyle w:val="TableContents"/>
              <w:bidi w:val="0"/>
              <w:spacing w:before="0" w:after="283"/>
              <w:jc w:val="left"/>
              <w:rPr/>
            </w:pPr>
            <w:r>
              <w:rPr/>
              <w:t> </w:t>
            </w:r>
          </w:p>
        </w:tc>
      </w:tr>
      <w:tr>
        <w:trPr/>
        <w:tc>
          <w:tcPr>
            <w:tcW w:w="2165" w:type="dxa"/>
            <w:tcBorders/>
            <w:vAlign w:val="bottom"/>
          </w:tcPr>
          <w:p>
            <w:pPr>
              <w:pStyle w:val="TableContents"/>
              <w:bidi w:val="0"/>
              <w:spacing w:before="0" w:after="0"/>
              <w:ind w:left="0" w:right="0" w:firstLine="180"/>
              <w:jc w:val="left"/>
              <w:rPr/>
            </w:pPr>
            <w:r>
              <w:rPr/>
              <w:t>U.S. treasury futures</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55" w:type="dxa"/>
            <w:tcBorders>
              <w:bottom w:val="single" w:sz="12" w:space="0" w:color="000000"/>
            </w:tcBorders>
            <w:tcMar>
              <w:bottom w:w="28" w:type="dxa"/>
            </w:tcMar>
            <w:vAlign w:val="bottom"/>
          </w:tcPr>
          <w:p>
            <w:pPr>
              <w:pStyle w:val="TableContents"/>
              <w:bidi w:val="0"/>
              <w:spacing w:before="0" w:after="283"/>
              <w:jc w:val="right"/>
              <w:rPr/>
            </w:pPr>
            <w:r>
              <w:rPr/>
              <w:t>132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709" w:type="dxa"/>
            <w:tcBorders>
              <w:bottom w:val="single" w:sz="12" w:space="0" w:color="000000"/>
            </w:tcBorders>
            <w:tcMar>
              <w:bottom w:w="28" w:type="dxa"/>
            </w:tcMar>
            <w:vAlign w:val="bottom"/>
          </w:tcPr>
          <w:p>
            <w:pPr>
              <w:pStyle w:val="TableContents"/>
              <w:bidi w:val="0"/>
              <w:spacing w:before="0" w:after="283"/>
              <w:jc w:val="left"/>
              <w:rPr/>
            </w:pPr>
            <w:r>
              <w:rPr/>
              <w:t> </w:t>
            </w:r>
          </w:p>
        </w:tc>
        <w:tc>
          <w:tcPr>
            <w:tcW w:w="481" w:type="dxa"/>
            <w:tcBorders>
              <w:bottom w:val="single" w:sz="12" w:space="0" w:color="000000"/>
            </w:tcBorders>
            <w:tcMar>
              <w:bottom w:w="28" w:type="dxa"/>
            </w:tcMar>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6" w:type="dxa"/>
            <w:tcBorders>
              <w:bottom w:val="single" w:sz="12" w:space="0" w:color="000000"/>
            </w:tcBorders>
            <w:tcMar>
              <w:bottom w:w="28" w:type="dxa"/>
            </w:tcMar>
            <w:vAlign w:val="bottom"/>
          </w:tcPr>
          <w:p>
            <w:pPr>
              <w:pStyle w:val="TableContents"/>
              <w:bidi w:val="0"/>
              <w:spacing w:before="0" w:after="283"/>
              <w:jc w:val="left"/>
              <w:rPr/>
            </w:pPr>
            <w:r>
              <w:rPr/>
              <w:t> </w:t>
            </w:r>
          </w:p>
        </w:tc>
        <w:tc>
          <w:tcPr>
            <w:tcW w:w="1182" w:type="dxa"/>
            <w:tcBorders>
              <w:bottom w:val="single" w:sz="12" w:space="0" w:color="000000"/>
            </w:tcBorders>
            <w:tcMar>
              <w:bottom w:w="28" w:type="dxa"/>
            </w:tcMar>
            <w:vAlign w:val="bottom"/>
          </w:tcPr>
          <w:p>
            <w:pPr>
              <w:pStyle w:val="TableContents"/>
              <w:bidi w:val="0"/>
              <w:spacing w:before="0" w:after="283"/>
              <w:jc w:val="right"/>
              <w:rPr/>
            </w:pPr>
            <w:r>
              <w:rPr/>
              <w:t>132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2" w:type="dxa"/>
            <w:tcBorders>
              <w:bottom w:val="single" w:sz="12" w:space="0" w:color="000000"/>
            </w:tcBorders>
            <w:tcMar>
              <w:bottom w:w="28" w:type="dxa"/>
            </w:tcMar>
            <w:vAlign w:val="bottom"/>
          </w:tcPr>
          <w:p>
            <w:pPr>
              <w:pStyle w:val="TableContents"/>
              <w:bidi w:val="0"/>
              <w:spacing w:before="0" w:after="283"/>
              <w:jc w:val="left"/>
              <w:rPr/>
            </w:pPr>
            <w:r>
              <w:rPr/>
              <w:t> </w:t>
            </w:r>
          </w:p>
        </w:tc>
        <w:tc>
          <w:tcPr>
            <w:tcW w:w="1279" w:type="dxa"/>
            <w:tcBorders>
              <w:bottom w:val="single" w:sz="12" w:space="0" w:color="000000"/>
            </w:tcBorders>
            <w:tcMar>
              <w:bottom w:w="28" w:type="dxa"/>
            </w:tcMar>
            <w:vAlign w:val="bottom"/>
          </w:tcPr>
          <w:p>
            <w:pPr>
              <w:pStyle w:val="TableContents"/>
              <w:bidi w:val="0"/>
              <w:spacing w:before="0" w:after="283"/>
              <w:jc w:val="right"/>
              <w:rPr/>
            </w:pPr>
            <w:r>
              <w:rPr/>
              <w:t>(132</w:t>
            </w:r>
          </w:p>
        </w:tc>
        <w:tc>
          <w:tcPr>
            <w:tcW w:w="123" w:type="dxa"/>
            <w:tcBorders/>
            <w:vAlign w:val="bottom"/>
          </w:tcPr>
          <w:p>
            <w:pPr>
              <w:pStyle w:val="TableContents"/>
              <w:bidi w:val="0"/>
              <w:spacing w:before="0" w:after="283"/>
              <w:jc w:val="left"/>
              <w:rPr/>
            </w:pPr>
            <w:r>
              <w:rPr/>
              <w:t>)</w:t>
            </w:r>
          </w:p>
        </w:tc>
        <w:tc>
          <w:tcPr>
            <w:tcW w:w="78" w:type="dxa"/>
            <w:tcBorders/>
            <w:vAlign w:val="bottom"/>
          </w:tcPr>
          <w:p>
            <w:pPr>
              <w:pStyle w:val="TableContents"/>
              <w:bidi w:val="0"/>
              <w:spacing w:before="0" w:after="283"/>
              <w:jc w:val="right"/>
              <w:rPr/>
            </w:pPr>
            <w:r>
              <w:rPr/>
              <w:t> </w:t>
            </w:r>
          </w:p>
        </w:tc>
        <w:tc>
          <w:tcPr>
            <w:tcW w:w="194" w:type="dxa"/>
            <w:tcBorders>
              <w:bottom w:val="single" w:sz="12" w:space="0" w:color="000000"/>
            </w:tcBorders>
            <w:tcMar>
              <w:bottom w:w="28" w:type="dxa"/>
            </w:tcMar>
            <w:vAlign w:val="bottom"/>
          </w:tcPr>
          <w:p>
            <w:pPr>
              <w:pStyle w:val="TableContents"/>
              <w:bidi w:val="0"/>
              <w:spacing w:before="0" w:after="283"/>
              <w:jc w:val="left"/>
              <w:rPr/>
            </w:pPr>
            <w:r>
              <w:rPr/>
              <w:t> </w:t>
            </w:r>
          </w:p>
        </w:tc>
        <w:tc>
          <w:tcPr>
            <w:tcW w:w="769" w:type="dxa"/>
            <w:tcBorders>
              <w:bottom w:val="single" w:sz="12" w:space="0" w:color="000000"/>
            </w:tcBorders>
            <w:tcMar>
              <w:bottom w:w="28" w:type="dxa"/>
            </w:tcMar>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26" w:type="dxa"/>
            <w:tcBorders>
              <w:bottom w:val="single" w:sz="12" w:space="0" w:color="000000"/>
            </w:tcBorders>
            <w:tcMar>
              <w:bottom w:w="28" w:type="dxa"/>
            </w:tcMar>
            <w:vAlign w:val="bottom"/>
          </w:tcPr>
          <w:p>
            <w:pPr>
              <w:pStyle w:val="TableContents"/>
              <w:bidi w:val="0"/>
              <w:spacing w:before="0" w:after="283"/>
              <w:jc w:val="left"/>
              <w:rPr/>
            </w:pPr>
            <w:r>
              <w:rPr/>
              <w:t> </w:t>
            </w:r>
          </w:p>
        </w:tc>
        <w:tc>
          <w:tcPr>
            <w:tcW w:w="740" w:type="dxa"/>
            <w:tcBorders>
              <w:bottom w:val="single" w:sz="12" w:space="0" w:color="000000"/>
            </w:tcBorders>
            <w:tcMar>
              <w:bottom w:w="28" w:type="dxa"/>
            </w:tcMar>
            <w:vAlign w:val="bottom"/>
          </w:tcPr>
          <w:p>
            <w:pPr>
              <w:pStyle w:val="TableContents"/>
              <w:bidi w:val="0"/>
              <w:spacing w:before="0" w:after="283"/>
              <w:jc w:val="right"/>
              <w:rPr/>
            </w:pPr>
            <w:r>
              <w:rPr/>
              <w:t>-</w:t>
            </w:r>
          </w:p>
        </w:tc>
        <w:tc>
          <w:tcPr>
            <w:tcW w:w="116" w:type="dxa"/>
            <w:tcBorders/>
            <w:vAlign w:val="bottom"/>
          </w:tcPr>
          <w:p>
            <w:pPr>
              <w:pStyle w:val="TableContents"/>
              <w:bidi w:val="0"/>
              <w:spacing w:before="0" w:after="283"/>
              <w:jc w:val="left"/>
              <w:rPr/>
            </w:pPr>
            <w:r>
              <w:rPr/>
              <w:t> </w:t>
            </w:r>
          </w:p>
        </w:tc>
      </w:tr>
      <w:tr>
        <w:trPr/>
        <w:tc>
          <w:tcPr>
            <w:tcW w:w="216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Assets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1055"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1,622</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709"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481"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6"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1182"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1,622</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2"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1279"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(1,622</w:t>
            </w:r>
          </w:p>
        </w:tc>
        <w:tc>
          <w:tcPr>
            <w:tcW w:w="123"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78" w:type="dxa"/>
            <w:tcBorders/>
            <w:shd w:fill="CCEEFF" w:val="clear"/>
            <w:vAlign w:val="bottom"/>
          </w:tcPr>
          <w:p>
            <w:pPr>
              <w:pStyle w:val="TableContents"/>
              <w:bidi w:val="0"/>
              <w:spacing w:before="0" w:after="283"/>
              <w:jc w:val="right"/>
              <w:rPr/>
            </w:pPr>
            <w:r>
              <w:rPr/>
              <w:t> </w:t>
            </w:r>
          </w:p>
        </w:tc>
        <w:tc>
          <w:tcPr>
            <w:tcW w:w="194"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769"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26"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740"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w:t>
            </w:r>
          </w:p>
        </w:tc>
        <w:tc>
          <w:tcPr>
            <w:tcW w:w="116" w:type="dxa"/>
            <w:tcBorders/>
            <w:shd w:fill="CCEEFF" w:val="clear"/>
            <w:vAlign w:val="bottom"/>
          </w:tcPr>
          <w:p>
            <w:pPr>
              <w:pStyle w:val="TableContents"/>
              <w:bidi w:val="0"/>
              <w:spacing w:before="0" w:after="283"/>
              <w:jc w:val="left"/>
              <w:rPr/>
            </w:pPr>
            <w:r>
              <w:rPr/>
              <w:t> </w:t>
            </w:r>
          </w:p>
        </w:tc>
      </w:tr>
      <w:tr>
        <w:trPr/>
        <w:tc>
          <w:tcPr>
            <w:tcW w:w="2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709" w:type="dxa"/>
            <w:tcBorders/>
            <w:vAlign w:val="bottom"/>
          </w:tcPr>
          <w:p>
            <w:pPr>
              <w:pStyle w:val="TableContents"/>
              <w:bidi w:val="0"/>
              <w:spacing w:before="0" w:after="283"/>
              <w:jc w:val="left"/>
              <w:rPr/>
            </w:pPr>
            <w:r>
              <w:rPr/>
              <w:t> </w:t>
            </w:r>
          </w:p>
        </w:tc>
        <w:tc>
          <w:tcPr>
            <w:tcW w:w="48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6"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2" w:type="dxa"/>
            <w:tcBorders/>
            <w:vAlign w:val="bottom"/>
          </w:tcPr>
          <w:p>
            <w:pPr>
              <w:pStyle w:val="TableContents"/>
              <w:bidi w:val="0"/>
              <w:spacing w:before="0" w:after="283"/>
              <w:jc w:val="left"/>
              <w:rPr/>
            </w:pPr>
            <w:r>
              <w:rPr/>
              <w:t> </w:t>
            </w:r>
          </w:p>
        </w:tc>
        <w:tc>
          <w:tcPr>
            <w:tcW w:w="1279" w:type="dxa"/>
            <w:tcBorders/>
            <w:vAlign w:val="bottom"/>
          </w:tcPr>
          <w:p>
            <w:pPr>
              <w:pStyle w:val="TableContents"/>
              <w:bidi w:val="0"/>
              <w:spacing w:before="0" w:after="283"/>
              <w:jc w:val="right"/>
              <w:rPr/>
            </w:pPr>
            <w:r>
              <w:rPr/>
              <w:t> </w:t>
            </w:r>
          </w:p>
        </w:tc>
        <w:tc>
          <w:tcPr>
            <w:tcW w:w="123"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right"/>
              <w:rPr/>
            </w:pPr>
            <w:r>
              <w:rPr/>
              <w:t> </w:t>
            </w:r>
          </w:p>
        </w:tc>
        <w:tc>
          <w:tcPr>
            <w:tcW w:w="194" w:type="dxa"/>
            <w:tcBorders/>
            <w:vAlign w:val="bottom"/>
          </w:tcPr>
          <w:p>
            <w:pPr>
              <w:pStyle w:val="TableContents"/>
              <w:bidi w:val="0"/>
              <w:spacing w:before="0" w:after="283"/>
              <w:jc w:val="left"/>
              <w:rPr/>
            </w:pPr>
            <w:r>
              <w:rPr/>
              <w:t> </w:t>
            </w:r>
          </w:p>
        </w:tc>
        <w:tc>
          <w:tcPr>
            <w:tcW w:w="76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26"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 </w:t>
            </w:r>
          </w:p>
        </w:tc>
        <w:tc>
          <w:tcPr>
            <w:tcW w:w="116" w:type="dxa"/>
            <w:tcBorders/>
            <w:vAlign w:val="bottom"/>
          </w:tcPr>
          <w:p>
            <w:pPr>
              <w:pStyle w:val="TableContents"/>
              <w:bidi w:val="0"/>
              <w:spacing w:before="0" w:after="283"/>
              <w:jc w:val="left"/>
              <w:rPr/>
            </w:pPr>
            <w:r>
              <w:rPr/>
              <w:t> </w:t>
            </w:r>
          </w:p>
        </w:tc>
      </w:tr>
      <w:tr>
        <w:trPr/>
        <w:tc>
          <w:tcPr>
            <w:tcW w:w="2165" w:type="dxa"/>
            <w:tcBorders/>
            <w:shd w:fill="CCEEFF" w:val="clear"/>
            <w:vAlign w:val="bottom"/>
          </w:tcPr>
          <w:p>
            <w:pPr>
              <w:pStyle w:val="TableContents"/>
              <w:bidi w:val="0"/>
              <w:spacing w:before="0" w:after="283"/>
              <w:jc w:val="left"/>
              <w:rPr>
                <w:b/>
              </w:rPr>
            </w:pPr>
            <w:r>
              <w:rPr>
                <w:b/>
              </w:rPr>
              <w:t xml:space="preserve">Liabilities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709" w:type="dxa"/>
            <w:tcBorders/>
            <w:shd w:fill="CCEEFF" w:val="clear"/>
            <w:vAlign w:val="bottom"/>
          </w:tcPr>
          <w:p>
            <w:pPr>
              <w:pStyle w:val="TableContents"/>
              <w:bidi w:val="0"/>
              <w:spacing w:before="0" w:after="283"/>
              <w:jc w:val="left"/>
              <w:rPr/>
            </w:pPr>
            <w:r>
              <w:rPr/>
              <w:t> </w:t>
            </w:r>
          </w:p>
        </w:tc>
        <w:tc>
          <w:tcPr>
            <w:tcW w:w="48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6"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2" w:type="dxa"/>
            <w:tcBorders/>
            <w:shd w:fill="CCEEFF" w:val="clear"/>
            <w:vAlign w:val="bottom"/>
          </w:tcPr>
          <w:p>
            <w:pPr>
              <w:pStyle w:val="TableContents"/>
              <w:bidi w:val="0"/>
              <w:spacing w:before="0" w:after="283"/>
              <w:jc w:val="left"/>
              <w:rPr/>
            </w:pPr>
            <w:r>
              <w:rPr/>
              <w:t> </w:t>
            </w:r>
          </w:p>
        </w:tc>
        <w:tc>
          <w:tcPr>
            <w:tcW w:w="1279" w:type="dxa"/>
            <w:tcBorders/>
            <w:shd w:fill="CCEEFF" w:val="clear"/>
            <w:vAlign w:val="bottom"/>
          </w:tcPr>
          <w:p>
            <w:pPr>
              <w:pStyle w:val="TableContents"/>
              <w:bidi w:val="0"/>
              <w:spacing w:before="0" w:after="283"/>
              <w:jc w:val="right"/>
              <w:rPr/>
            </w:pPr>
            <w:r>
              <w:rPr/>
              <w:t> </w:t>
            </w:r>
          </w:p>
        </w:tc>
        <w:tc>
          <w:tcPr>
            <w:tcW w:w="123"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right"/>
              <w:rPr/>
            </w:pPr>
            <w:r>
              <w:rPr/>
              <w:t> </w:t>
            </w:r>
          </w:p>
        </w:tc>
        <w:tc>
          <w:tcPr>
            <w:tcW w:w="194" w:type="dxa"/>
            <w:tcBorders/>
            <w:shd w:fill="CCEEFF" w:val="clear"/>
            <w:vAlign w:val="bottom"/>
          </w:tcPr>
          <w:p>
            <w:pPr>
              <w:pStyle w:val="TableContents"/>
              <w:bidi w:val="0"/>
              <w:spacing w:before="0" w:after="283"/>
              <w:jc w:val="left"/>
              <w:rPr/>
            </w:pPr>
            <w:r>
              <w:rPr/>
              <w:t> </w:t>
            </w:r>
          </w:p>
        </w:tc>
        <w:tc>
          <w:tcPr>
            <w:tcW w:w="76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26"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 </w:t>
            </w:r>
          </w:p>
        </w:tc>
        <w:tc>
          <w:tcPr>
            <w:tcW w:w="116" w:type="dxa"/>
            <w:tcBorders/>
            <w:shd w:fill="CCEEFF" w:val="clear"/>
            <w:vAlign w:val="bottom"/>
          </w:tcPr>
          <w:p>
            <w:pPr>
              <w:pStyle w:val="TableContents"/>
              <w:bidi w:val="0"/>
              <w:spacing w:before="0" w:after="283"/>
              <w:jc w:val="left"/>
              <w:rPr/>
            </w:pPr>
            <w:r>
              <w:rPr/>
              <w:t> </w:t>
            </w:r>
          </w:p>
        </w:tc>
      </w:tr>
      <w:tr>
        <w:trPr/>
        <w:tc>
          <w:tcPr>
            <w:tcW w:w="2165" w:type="dxa"/>
            <w:tcBorders/>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Repurchase agreements</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w:t>
            </w:r>
          </w:p>
        </w:tc>
        <w:tc>
          <w:tcPr>
            <w:tcW w:w="1055" w:type="dxa"/>
            <w:tcBorders/>
            <w:vAlign w:val="bottom"/>
          </w:tcPr>
          <w:p>
            <w:pPr>
              <w:pStyle w:val="TableContents"/>
              <w:bidi w:val="0"/>
              <w:spacing w:before="0" w:after="283"/>
              <w:jc w:val="right"/>
              <w:rPr/>
            </w:pPr>
            <w:r>
              <w:rPr/>
              <w:t>(1,008,738</w:t>
            </w:r>
          </w:p>
        </w:tc>
        <w:tc>
          <w:tcPr>
            <w:tcW w:w="95" w:type="dxa"/>
            <w:tcBorders/>
            <w:vAlign w:val="bottom"/>
          </w:tcPr>
          <w:p>
            <w:pPr>
              <w:pStyle w:val="TableContents"/>
              <w:bidi w:val="0"/>
              <w:spacing w:before="0" w:after="283"/>
              <w:jc w:val="left"/>
              <w:rPr/>
            </w:pPr>
            <w:r>
              <w:rPr/>
              <w:t>)</w:t>
            </w:r>
          </w:p>
        </w:tc>
        <w:tc>
          <w:tcPr>
            <w:tcW w:w="60" w:type="dxa"/>
            <w:tcBorders/>
            <w:vAlign w:val="bottom"/>
          </w:tcPr>
          <w:p>
            <w:pPr>
              <w:pStyle w:val="TableContents"/>
              <w:bidi w:val="0"/>
              <w:spacing w:before="0" w:after="283"/>
              <w:jc w:val="right"/>
              <w:rPr/>
            </w:pPr>
            <w:r>
              <w:rPr/>
              <w:t> </w:t>
            </w:r>
          </w:p>
        </w:tc>
        <w:tc>
          <w:tcPr>
            <w:tcW w:w="709" w:type="dxa"/>
            <w:tcBorders/>
            <w:vAlign w:val="bottom"/>
          </w:tcPr>
          <w:p>
            <w:pPr>
              <w:pStyle w:val="TableContents"/>
              <w:bidi w:val="0"/>
              <w:spacing w:before="0" w:after="283"/>
              <w:jc w:val="left"/>
              <w:rPr/>
            </w:pPr>
            <w:r>
              <w:rPr/>
              <w:t>$</w:t>
            </w:r>
          </w:p>
        </w:tc>
        <w:tc>
          <w:tcPr>
            <w:tcW w:w="481"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6" w:type="dxa"/>
            <w:tcBorders/>
            <w:vAlign w:val="bottom"/>
          </w:tcPr>
          <w:p>
            <w:pPr>
              <w:pStyle w:val="TableContents"/>
              <w:bidi w:val="0"/>
              <w:spacing w:before="0" w:after="283"/>
              <w:jc w:val="left"/>
              <w:rPr/>
            </w:pPr>
            <w:r>
              <w:rPr/>
              <w:t>$</w:t>
            </w:r>
          </w:p>
        </w:tc>
        <w:tc>
          <w:tcPr>
            <w:tcW w:w="1182" w:type="dxa"/>
            <w:tcBorders/>
            <w:vAlign w:val="bottom"/>
          </w:tcPr>
          <w:p>
            <w:pPr>
              <w:pStyle w:val="TableContents"/>
              <w:bidi w:val="0"/>
              <w:spacing w:before="0" w:after="283"/>
              <w:jc w:val="right"/>
              <w:rPr/>
            </w:pPr>
            <w:r>
              <w:rPr/>
              <w:t>(1,008,738</w:t>
            </w:r>
          </w:p>
        </w:tc>
        <w:tc>
          <w:tcPr>
            <w:tcW w:w="95" w:type="dxa"/>
            <w:tcBorders/>
            <w:vAlign w:val="bottom"/>
          </w:tcPr>
          <w:p>
            <w:pPr>
              <w:pStyle w:val="TableContents"/>
              <w:bidi w:val="0"/>
              <w:spacing w:before="0" w:after="283"/>
              <w:jc w:val="left"/>
              <w:rPr/>
            </w:pPr>
            <w:r>
              <w:rPr/>
              <w:t>)</w:t>
            </w:r>
          </w:p>
        </w:tc>
        <w:tc>
          <w:tcPr>
            <w:tcW w:w="60" w:type="dxa"/>
            <w:tcBorders/>
            <w:vAlign w:val="bottom"/>
          </w:tcPr>
          <w:p>
            <w:pPr>
              <w:pStyle w:val="TableContents"/>
              <w:bidi w:val="0"/>
              <w:spacing w:before="0" w:after="283"/>
              <w:jc w:val="right"/>
              <w:rPr/>
            </w:pPr>
            <w:r>
              <w:rPr/>
              <w:t> </w:t>
            </w:r>
          </w:p>
        </w:tc>
        <w:tc>
          <w:tcPr>
            <w:tcW w:w="182" w:type="dxa"/>
            <w:tcBorders/>
            <w:vAlign w:val="bottom"/>
          </w:tcPr>
          <w:p>
            <w:pPr>
              <w:pStyle w:val="TableContents"/>
              <w:bidi w:val="0"/>
              <w:spacing w:before="0" w:after="283"/>
              <w:jc w:val="left"/>
              <w:rPr/>
            </w:pPr>
            <w:r>
              <w:rPr/>
              <w:t>$</w:t>
            </w:r>
          </w:p>
        </w:tc>
        <w:tc>
          <w:tcPr>
            <w:tcW w:w="1279" w:type="dxa"/>
            <w:tcBorders/>
            <w:vAlign w:val="bottom"/>
          </w:tcPr>
          <w:p>
            <w:pPr>
              <w:pStyle w:val="TableContents"/>
              <w:bidi w:val="0"/>
              <w:spacing w:before="0" w:after="283"/>
              <w:jc w:val="right"/>
              <w:rPr/>
            </w:pPr>
            <w:r>
              <w:rPr/>
              <w:t>1,008,738</w:t>
            </w:r>
          </w:p>
        </w:tc>
        <w:tc>
          <w:tcPr>
            <w:tcW w:w="123"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right"/>
              <w:rPr/>
            </w:pPr>
            <w:r>
              <w:rPr/>
              <w:t> </w:t>
            </w:r>
          </w:p>
        </w:tc>
        <w:tc>
          <w:tcPr>
            <w:tcW w:w="194" w:type="dxa"/>
            <w:tcBorders/>
            <w:vAlign w:val="bottom"/>
          </w:tcPr>
          <w:p>
            <w:pPr>
              <w:pStyle w:val="TableContents"/>
              <w:bidi w:val="0"/>
              <w:spacing w:before="0" w:after="283"/>
              <w:jc w:val="left"/>
              <w:rPr/>
            </w:pPr>
            <w:r>
              <w:rPr/>
              <w:t>$</w:t>
            </w:r>
          </w:p>
        </w:tc>
        <w:tc>
          <w:tcPr>
            <w:tcW w:w="769"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26" w:type="dxa"/>
            <w:tcBorders/>
            <w:vAlign w:val="bottom"/>
          </w:tcPr>
          <w:p>
            <w:pPr>
              <w:pStyle w:val="TableContents"/>
              <w:bidi w:val="0"/>
              <w:spacing w:before="0" w:after="283"/>
              <w:jc w:val="left"/>
              <w:rPr/>
            </w:pPr>
            <w:r>
              <w:rPr/>
              <w:t>$</w:t>
            </w:r>
          </w:p>
        </w:tc>
        <w:tc>
          <w:tcPr>
            <w:tcW w:w="740" w:type="dxa"/>
            <w:tcBorders/>
            <w:vAlign w:val="bottom"/>
          </w:tcPr>
          <w:p>
            <w:pPr>
              <w:pStyle w:val="TableContents"/>
              <w:bidi w:val="0"/>
              <w:spacing w:before="0" w:after="283"/>
              <w:jc w:val="right"/>
              <w:rPr/>
            </w:pPr>
            <w:r>
              <w:rPr/>
              <w:t>-</w:t>
            </w:r>
          </w:p>
        </w:tc>
        <w:tc>
          <w:tcPr>
            <w:tcW w:w="116" w:type="dxa"/>
            <w:tcBorders/>
            <w:vAlign w:val="bottom"/>
          </w:tcPr>
          <w:p>
            <w:pPr>
              <w:pStyle w:val="TableContents"/>
              <w:bidi w:val="0"/>
              <w:spacing w:before="0" w:after="283"/>
              <w:jc w:val="left"/>
              <w:rPr/>
            </w:pPr>
            <w:r>
              <w:rPr/>
              <w:t> </w:t>
            </w:r>
          </w:p>
        </w:tc>
      </w:tr>
      <w:tr>
        <w:trPr/>
        <w:tc>
          <w:tcPr>
            <w:tcW w:w="2165" w:type="dxa"/>
            <w:tcBorders/>
            <w:shd w:fill="CCEEFF" w:val="clear"/>
            <w:vAlign w:val="bottom"/>
          </w:tcPr>
          <w:p>
            <w:pPr>
              <w:pStyle w:val="TableContents"/>
              <w:bidi w:val="0"/>
              <w:spacing w:before="0" w:after="0"/>
              <w:ind w:left="180" w:right="0" w:hanging="0"/>
              <w:jc w:val="left"/>
              <w:rPr/>
            </w:pPr>
            <w:r>
              <w:rPr/>
              <w:t xml:space="preserve">TBAs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(2,211</w:t>
            </w:r>
          </w:p>
        </w:tc>
        <w:tc>
          <w:tcPr>
            <w:tcW w:w="95" w:type="dxa"/>
            <w:tcBorders/>
            <w:shd w:fill="CCEEFF" w:val="clear"/>
            <w:vAlign w:val="bottom"/>
          </w:tcPr>
          <w:p>
            <w:pPr>
              <w:pStyle w:val="TableContents"/>
              <w:bidi w:val="0"/>
              <w:spacing w:before="0" w:after="283"/>
              <w:jc w:val="left"/>
              <w:rPr/>
            </w:pPr>
            <w:r>
              <w:rPr/>
              <w:t>)</w:t>
            </w:r>
          </w:p>
        </w:tc>
        <w:tc>
          <w:tcPr>
            <w:tcW w:w="60" w:type="dxa"/>
            <w:tcBorders/>
            <w:shd w:fill="CCEEFF" w:val="clear"/>
            <w:vAlign w:val="bottom"/>
          </w:tcPr>
          <w:p>
            <w:pPr>
              <w:pStyle w:val="TableContents"/>
              <w:bidi w:val="0"/>
              <w:spacing w:before="0" w:after="283"/>
              <w:jc w:val="right"/>
              <w:rPr/>
            </w:pPr>
            <w:r>
              <w:rPr/>
              <w:t> </w:t>
            </w:r>
          </w:p>
        </w:tc>
        <w:tc>
          <w:tcPr>
            <w:tcW w:w="709" w:type="dxa"/>
            <w:tcBorders/>
            <w:shd w:fill="CCEEFF" w:val="clear"/>
            <w:vAlign w:val="bottom"/>
          </w:tcPr>
          <w:p>
            <w:pPr>
              <w:pStyle w:val="TableContents"/>
              <w:bidi w:val="0"/>
              <w:spacing w:before="0" w:after="283"/>
              <w:jc w:val="left"/>
              <w:rPr/>
            </w:pPr>
            <w:r>
              <w:rPr/>
              <w:t> </w:t>
            </w:r>
          </w:p>
        </w:tc>
        <w:tc>
          <w:tcPr>
            <w:tcW w:w="481"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6"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(2,211</w:t>
            </w:r>
          </w:p>
        </w:tc>
        <w:tc>
          <w:tcPr>
            <w:tcW w:w="95" w:type="dxa"/>
            <w:tcBorders/>
            <w:shd w:fill="CCEEFF" w:val="clear"/>
            <w:vAlign w:val="bottom"/>
          </w:tcPr>
          <w:p>
            <w:pPr>
              <w:pStyle w:val="TableContents"/>
              <w:bidi w:val="0"/>
              <w:spacing w:before="0" w:after="283"/>
              <w:jc w:val="left"/>
              <w:rPr/>
            </w:pPr>
            <w:r>
              <w:rPr/>
              <w:t>)</w:t>
            </w:r>
          </w:p>
        </w:tc>
        <w:tc>
          <w:tcPr>
            <w:tcW w:w="60" w:type="dxa"/>
            <w:tcBorders/>
            <w:shd w:fill="CCEEFF" w:val="clear"/>
            <w:vAlign w:val="bottom"/>
          </w:tcPr>
          <w:p>
            <w:pPr>
              <w:pStyle w:val="TableContents"/>
              <w:bidi w:val="0"/>
              <w:spacing w:before="0" w:after="283"/>
              <w:jc w:val="right"/>
              <w:rPr/>
            </w:pPr>
            <w:r>
              <w:rPr/>
              <w:t> </w:t>
            </w:r>
          </w:p>
        </w:tc>
        <w:tc>
          <w:tcPr>
            <w:tcW w:w="182" w:type="dxa"/>
            <w:tcBorders/>
            <w:shd w:fill="CCEEFF" w:val="clear"/>
            <w:vAlign w:val="bottom"/>
          </w:tcPr>
          <w:p>
            <w:pPr>
              <w:pStyle w:val="TableContents"/>
              <w:bidi w:val="0"/>
              <w:spacing w:before="0" w:after="283"/>
              <w:jc w:val="left"/>
              <w:rPr/>
            </w:pPr>
            <w:r>
              <w:rPr/>
              <w:t> </w:t>
            </w:r>
          </w:p>
        </w:tc>
        <w:tc>
          <w:tcPr>
            <w:tcW w:w="1279" w:type="dxa"/>
            <w:tcBorders/>
            <w:shd w:fill="CCEEFF" w:val="clear"/>
            <w:vAlign w:val="bottom"/>
          </w:tcPr>
          <w:p>
            <w:pPr>
              <w:pStyle w:val="TableContents"/>
              <w:bidi w:val="0"/>
              <w:spacing w:before="0" w:after="283"/>
              <w:jc w:val="right"/>
              <w:rPr/>
            </w:pPr>
            <w:r>
              <w:rPr/>
              <w:t>1,490</w:t>
            </w:r>
          </w:p>
        </w:tc>
        <w:tc>
          <w:tcPr>
            <w:tcW w:w="123"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right"/>
              <w:rPr/>
            </w:pPr>
            <w:r>
              <w:rPr/>
              <w:t> </w:t>
            </w:r>
          </w:p>
        </w:tc>
        <w:tc>
          <w:tcPr>
            <w:tcW w:w="194" w:type="dxa"/>
            <w:tcBorders/>
            <w:shd w:fill="CCEEFF" w:val="clear"/>
            <w:vAlign w:val="bottom"/>
          </w:tcPr>
          <w:p>
            <w:pPr>
              <w:pStyle w:val="TableContents"/>
              <w:bidi w:val="0"/>
              <w:spacing w:before="0" w:after="283"/>
              <w:jc w:val="left"/>
              <w:rPr/>
            </w:pPr>
            <w:r>
              <w:rPr/>
              <w:t> </w:t>
            </w:r>
          </w:p>
        </w:tc>
        <w:tc>
          <w:tcPr>
            <w:tcW w:w="769" w:type="dxa"/>
            <w:tcBorders/>
            <w:shd w:fill="CCEEFF" w:val="clear"/>
            <w:vAlign w:val="bottom"/>
          </w:tcPr>
          <w:p>
            <w:pPr>
              <w:pStyle w:val="TableContents"/>
              <w:bidi w:val="0"/>
              <w:spacing w:before="0" w:after="283"/>
              <w:jc w:val="right"/>
              <w:rPr/>
            </w:pPr>
            <w:r>
              <w:rPr/>
              <w:t>701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26"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(20</w:t>
            </w:r>
          </w:p>
        </w:tc>
        <w:tc>
          <w:tcPr>
            <w:tcW w:w="116" w:type="dxa"/>
            <w:tcBorders/>
            <w:shd w:fill="CCEEFF" w:val="clear"/>
            <w:vAlign w:val="bottom"/>
          </w:tcPr>
          <w:p>
            <w:pPr>
              <w:pStyle w:val="TableContents"/>
              <w:bidi w:val="0"/>
              <w:spacing w:before="0" w:after="283"/>
              <w:jc w:val="left"/>
              <w:rPr/>
            </w:pPr>
            <w:r>
              <w:rPr/>
              <w:t>)</w:t>
            </w:r>
          </w:p>
        </w:tc>
      </w:tr>
      <w:tr>
        <w:trPr/>
        <w:tc>
          <w:tcPr>
            <w:tcW w:w="2165" w:type="dxa"/>
            <w:tcBorders/>
            <w:vAlign w:val="bottom"/>
          </w:tcPr>
          <w:p>
            <w:pPr>
              <w:pStyle w:val="TableContents"/>
              <w:bidi w:val="0"/>
              <w:spacing w:before="0" w:after="0"/>
              <w:ind w:left="180" w:right="0" w:hanging="0"/>
              <w:jc w:val="left"/>
              <w:rPr/>
            </w:pPr>
            <w:r>
              <w:rPr/>
              <w:t xml:space="preserve">Eris SOFR swap futures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(505</w:t>
            </w:r>
          </w:p>
        </w:tc>
        <w:tc>
          <w:tcPr>
            <w:tcW w:w="95" w:type="dxa"/>
            <w:tcBorders/>
            <w:vAlign w:val="bottom"/>
          </w:tcPr>
          <w:p>
            <w:pPr>
              <w:pStyle w:val="TableContents"/>
              <w:bidi w:val="0"/>
              <w:spacing w:before="0" w:after="283"/>
              <w:jc w:val="left"/>
              <w:rPr/>
            </w:pPr>
            <w:r>
              <w:rPr/>
              <w:t>)</w:t>
            </w:r>
          </w:p>
        </w:tc>
        <w:tc>
          <w:tcPr>
            <w:tcW w:w="60" w:type="dxa"/>
            <w:tcBorders/>
            <w:vAlign w:val="bottom"/>
          </w:tcPr>
          <w:p>
            <w:pPr>
              <w:pStyle w:val="TableContents"/>
              <w:bidi w:val="0"/>
              <w:spacing w:before="0" w:after="283"/>
              <w:jc w:val="right"/>
              <w:rPr/>
            </w:pPr>
            <w:r>
              <w:rPr/>
              <w:t> </w:t>
            </w:r>
          </w:p>
        </w:tc>
        <w:tc>
          <w:tcPr>
            <w:tcW w:w="709" w:type="dxa"/>
            <w:tcBorders/>
            <w:vAlign w:val="bottom"/>
          </w:tcPr>
          <w:p>
            <w:pPr>
              <w:pStyle w:val="TableContents"/>
              <w:bidi w:val="0"/>
              <w:spacing w:before="0" w:after="283"/>
              <w:jc w:val="left"/>
              <w:rPr/>
            </w:pPr>
            <w:r>
              <w:rPr/>
              <w:t> </w:t>
            </w:r>
          </w:p>
        </w:tc>
        <w:tc>
          <w:tcPr>
            <w:tcW w:w="481"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6"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(505</w:t>
            </w:r>
          </w:p>
        </w:tc>
        <w:tc>
          <w:tcPr>
            <w:tcW w:w="95" w:type="dxa"/>
            <w:tcBorders/>
            <w:vAlign w:val="bottom"/>
          </w:tcPr>
          <w:p>
            <w:pPr>
              <w:pStyle w:val="TableContents"/>
              <w:bidi w:val="0"/>
              <w:spacing w:before="0" w:after="283"/>
              <w:jc w:val="left"/>
              <w:rPr/>
            </w:pPr>
            <w:r>
              <w:rPr/>
              <w:t>)</w:t>
            </w:r>
          </w:p>
        </w:tc>
        <w:tc>
          <w:tcPr>
            <w:tcW w:w="60" w:type="dxa"/>
            <w:tcBorders/>
            <w:vAlign w:val="bottom"/>
          </w:tcPr>
          <w:p>
            <w:pPr>
              <w:pStyle w:val="TableContents"/>
              <w:bidi w:val="0"/>
              <w:spacing w:before="0" w:after="283"/>
              <w:jc w:val="right"/>
              <w:rPr/>
            </w:pPr>
            <w:r>
              <w:rPr/>
              <w:t> </w:t>
            </w:r>
          </w:p>
        </w:tc>
        <w:tc>
          <w:tcPr>
            <w:tcW w:w="182" w:type="dxa"/>
            <w:tcBorders/>
            <w:vAlign w:val="bottom"/>
          </w:tcPr>
          <w:p>
            <w:pPr>
              <w:pStyle w:val="TableContents"/>
              <w:bidi w:val="0"/>
              <w:spacing w:before="0" w:after="283"/>
              <w:jc w:val="left"/>
              <w:rPr/>
            </w:pPr>
            <w:r>
              <w:rPr/>
              <w:t> </w:t>
            </w:r>
          </w:p>
        </w:tc>
        <w:tc>
          <w:tcPr>
            <w:tcW w:w="1279" w:type="dxa"/>
            <w:tcBorders/>
            <w:vAlign w:val="bottom"/>
          </w:tcPr>
          <w:p>
            <w:pPr>
              <w:pStyle w:val="TableContents"/>
              <w:bidi w:val="0"/>
              <w:spacing w:before="0" w:after="283"/>
              <w:jc w:val="right"/>
              <w:rPr/>
            </w:pPr>
            <w:r>
              <w:rPr/>
              <w:t>-</w:t>
            </w:r>
          </w:p>
        </w:tc>
        <w:tc>
          <w:tcPr>
            <w:tcW w:w="123"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right"/>
              <w:rPr/>
            </w:pPr>
            <w:r>
              <w:rPr/>
              <w:t> </w:t>
            </w:r>
          </w:p>
        </w:tc>
        <w:tc>
          <w:tcPr>
            <w:tcW w:w="194" w:type="dxa"/>
            <w:tcBorders/>
            <w:vAlign w:val="bottom"/>
          </w:tcPr>
          <w:p>
            <w:pPr>
              <w:pStyle w:val="TableContents"/>
              <w:bidi w:val="0"/>
              <w:spacing w:before="0" w:after="283"/>
              <w:jc w:val="left"/>
              <w:rPr/>
            </w:pPr>
            <w:r>
              <w:rPr/>
              <w:t> </w:t>
            </w:r>
          </w:p>
        </w:tc>
        <w:tc>
          <w:tcPr>
            <w:tcW w:w="769"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26"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(505</w:t>
            </w:r>
          </w:p>
        </w:tc>
        <w:tc>
          <w:tcPr>
            <w:tcW w:w="116" w:type="dxa"/>
            <w:tcBorders/>
            <w:vAlign w:val="bottom"/>
          </w:tcPr>
          <w:p>
            <w:pPr>
              <w:pStyle w:val="TableContents"/>
              <w:bidi w:val="0"/>
              <w:spacing w:before="0" w:after="283"/>
              <w:jc w:val="left"/>
              <w:rPr/>
            </w:pPr>
            <w:r>
              <w:rPr/>
              <w:t>)</w:t>
            </w:r>
          </w:p>
        </w:tc>
      </w:tr>
      <w:tr>
        <w:trPr/>
        <w:tc>
          <w:tcPr>
            <w:tcW w:w="2165" w:type="dxa"/>
            <w:tcBorders/>
            <w:shd w:fill="CCEEFF" w:val="clear"/>
            <w:vAlign w:val="bottom"/>
          </w:tcPr>
          <w:p>
            <w:pPr>
              <w:pStyle w:val="TableContents"/>
              <w:bidi w:val="0"/>
              <w:spacing w:before="0" w:after="0"/>
              <w:ind w:left="180" w:right="0" w:hanging="0"/>
              <w:jc w:val="left"/>
              <w:rPr/>
            </w:pPr>
            <w:r>
              <w:rPr/>
              <w:t>U.S. treasury futures</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bottom"/>
          </w:tcPr>
          <w:p>
            <w:pPr>
              <w:pStyle w:val="TableContents"/>
              <w:bidi w:val="0"/>
              <w:spacing w:before="0" w:after="283"/>
              <w:jc w:val="right"/>
              <w:rPr/>
            </w:pPr>
            <w:r>
              <w:rPr/>
              <w:t>(1,023</w:t>
            </w:r>
          </w:p>
        </w:tc>
        <w:tc>
          <w:tcPr>
            <w:tcW w:w="95" w:type="dxa"/>
            <w:tcBorders/>
            <w:shd w:fill="CCEEFF" w:val="clear"/>
            <w:vAlign w:val="bottom"/>
          </w:tcPr>
          <w:p>
            <w:pPr>
              <w:pStyle w:val="TableContents"/>
              <w:bidi w:val="0"/>
              <w:spacing w:before="0" w:after="283"/>
              <w:jc w:val="left"/>
              <w:rPr/>
            </w:pPr>
            <w:r>
              <w:rPr/>
              <w:t>)</w:t>
            </w:r>
          </w:p>
        </w:tc>
        <w:tc>
          <w:tcPr>
            <w:tcW w:w="60" w:type="dxa"/>
            <w:tcBorders/>
            <w:shd w:fill="CCEEFF" w:val="clear"/>
            <w:vAlign w:val="bottom"/>
          </w:tcPr>
          <w:p>
            <w:pPr>
              <w:pStyle w:val="TableContents"/>
              <w:bidi w:val="0"/>
              <w:spacing w:before="0" w:after="283"/>
              <w:jc w:val="right"/>
              <w:rPr/>
            </w:pPr>
            <w:r>
              <w:rPr/>
              <w:t> </w:t>
            </w:r>
          </w:p>
        </w:tc>
        <w:tc>
          <w:tcPr>
            <w:tcW w:w="70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481" w:type="dxa"/>
            <w:tcBorders>
              <w:bottom w:val="single" w:sz="12" w:space="0" w:color="000000"/>
            </w:tcBorders>
            <w:shd w:fill="CCEEFF" w:val="clear"/>
            <w:tcMar>
              <w:bottom w:w="28" w:type="dxa"/>
            </w:tcM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82" w:type="dxa"/>
            <w:tcBorders>
              <w:bottom w:val="single" w:sz="12" w:space="0" w:color="000000"/>
            </w:tcBorders>
            <w:shd w:fill="CCEEFF" w:val="clear"/>
            <w:tcMar>
              <w:bottom w:w="28" w:type="dxa"/>
            </w:tcMar>
            <w:vAlign w:val="bottom"/>
          </w:tcPr>
          <w:p>
            <w:pPr>
              <w:pStyle w:val="TableContents"/>
              <w:bidi w:val="0"/>
              <w:spacing w:before="0" w:after="283"/>
              <w:jc w:val="right"/>
              <w:rPr/>
            </w:pPr>
            <w:r>
              <w:rPr/>
              <w:t>(1,023</w:t>
            </w:r>
          </w:p>
        </w:tc>
        <w:tc>
          <w:tcPr>
            <w:tcW w:w="95" w:type="dxa"/>
            <w:tcBorders/>
            <w:shd w:fill="CCEEFF" w:val="clear"/>
            <w:vAlign w:val="bottom"/>
          </w:tcPr>
          <w:p>
            <w:pPr>
              <w:pStyle w:val="TableContents"/>
              <w:bidi w:val="0"/>
              <w:spacing w:before="0" w:after="283"/>
              <w:jc w:val="left"/>
              <w:rPr/>
            </w:pPr>
            <w:r>
              <w:rPr/>
              <w:t>)</w:t>
            </w:r>
          </w:p>
        </w:tc>
        <w:tc>
          <w:tcPr>
            <w:tcW w:w="60" w:type="dxa"/>
            <w:tcBorders/>
            <w:shd w:fill="CCEEFF" w:val="clear"/>
            <w:vAlign w:val="bottom"/>
          </w:tcPr>
          <w:p>
            <w:pPr>
              <w:pStyle w:val="TableContents"/>
              <w:bidi w:val="0"/>
              <w:spacing w:before="0" w:after="283"/>
              <w:jc w:val="right"/>
              <w:rPr/>
            </w:pPr>
            <w:r>
              <w:rPr/>
              <w:t> </w:t>
            </w:r>
          </w:p>
        </w:tc>
        <w:tc>
          <w:tcPr>
            <w:tcW w:w="18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79" w:type="dxa"/>
            <w:tcBorders>
              <w:bottom w:val="single" w:sz="12" w:space="0" w:color="000000"/>
            </w:tcBorders>
            <w:shd w:fill="CCEEFF" w:val="clear"/>
            <w:tcMar>
              <w:bottom w:w="28" w:type="dxa"/>
            </w:tcMar>
            <w:vAlign w:val="bottom"/>
          </w:tcPr>
          <w:p>
            <w:pPr>
              <w:pStyle w:val="TableContents"/>
              <w:bidi w:val="0"/>
              <w:spacing w:before="0" w:after="283"/>
              <w:jc w:val="right"/>
              <w:rPr/>
            </w:pPr>
            <w:r>
              <w:rPr/>
              <w:t>132</w:t>
            </w:r>
          </w:p>
        </w:tc>
        <w:tc>
          <w:tcPr>
            <w:tcW w:w="123"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right"/>
              <w:rPr/>
            </w:pPr>
            <w:r>
              <w:rPr/>
              <w:t> </w:t>
            </w:r>
          </w:p>
        </w:tc>
        <w:tc>
          <w:tcPr>
            <w:tcW w:w="19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69" w:type="dxa"/>
            <w:tcBorders>
              <w:bottom w:val="single" w:sz="12" w:space="0" w:color="000000"/>
            </w:tcBorders>
            <w:shd w:fill="CCEEFF" w:val="clear"/>
            <w:tcMar>
              <w:bottom w:w="28" w:type="dxa"/>
            </w:tcMar>
            <w:vAlign w:val="bottom"/>
          </w:tcPr>
          <w:p>
            <w:pPr>
              <w:pStyle w:val="TableContents"/>
              <w:bidi w:val="0"/>
              <w:spacing w:before="0" w:after="283"/>
              <w:jc w:val="right"/>
              <w:rPr/>
            </w:pPr>
            <w:r>
              <w:rPr/>
              <w:t>891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2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40" w:type="dxa"/>
            <w:tcBorders>
              <w:bottom w:val="single" w:sz="12" w:space="0" w:color="000000"/>
            </w:tcBorders>
            <w:shd w:fill="CCEEFF" w:val="clear"/>
            <w:tcMar>
              <w:bottom w:w="28" w:type="dxa"/>
            </w:tcMar>
            <w:vAlign w:val="bottom"/>
          </w:tcPr>
          <w:p>
            <w:pPr>
              <w:pStyle w:val="TableContents"/>
              <w:bidi w:val="0"/>
              <w:spacing w:before="0" w:after="283"/>
              <w:jc w:val="right"/>
              <w:rPr/>
            </w:pPr>
            <w:r>
              <w:rPr/>
              <w:t>-</w:t>
            </w:r>
          </w:p>
        </w:tc>
        <w:tc>
          <w:tcPr>
            <w:tcW w:w="116" w:type="dxa"/>
            <w:tcBorders/>
            <w:shd w:fill="CCEEFF" w:val="clear"/>
            <w:vAlign w:val="bottom"/>
          </w:tcPr>
          <w:p>
            <w:pPr>
              <w:pStyle w:val="TableContents"/>
              <w:bidi w:val="0"/>
              <w:spacing w:before="0" w:after="283"/>
              <w:jc w:val="left"/>
              <w:rPr/>
            </w:pPr>
            <w:r>
              <w:rPr/>
              <w:t> </w:t>
            </w:r>
          </w:p>
        </w:tc>
      </w:tr>
      <w:tr>
        <w:trPr/>
        <w:tc>
          <w:tcPr>
            <w:tcW w:w="216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Liabilities</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b/>
              </w:rPr>
            </w:pPr>
            <w:r>
              <w:rPr>
                <w:b/>
              </w:rPr>
              <w:t>$</w:t>
            </w:r>
          </w:p>
        </w:tc>
        <w:tc>
          <w:tcPr>
            <w:tcW w:w="1055" w:type="dxa"/>
            <w:tcBorders/>
            <w:vAlign w:val="bottom"/>
          </w:tcPr>
          <w:p>
            <w:pPr>
              <w:pStyle w:val="TableContents"/>
              <w:bidi w:val="0"/>
              <w:spacing w:before="0" w:after="283"/>
              <w:jc w:val="right"/>
              <w:rPr>
                <w:b/>
              </w:rPr>
            </w:pPr>
            <w:r>
              <w:rPr>
                <w:b/>
              </w:rPr>
              <w:t>(1,012,477</w:t>
            </w:r>
          </w:p>
        </w:tc>
        <w:tc>
          <w:tcPr>
            <w:tcW w:w="95" w:type="dxa"/>
            <w:tcBorders/>
            <w:vAlign w:val="bottom"/>
          </w:tcPr>
          <w:p>
            <w:pPr>
              <w:pStyle w:val="TableContents"/>
              <w:bidi w:val="0"/>
              <w:spacing w:before="0" w:after="283"/>
              <w:jc w:val="left"/>
              <w:rPr>
                <w:b/>
              </w:rPr>
            </w:pPr>
            <w:r>
              <w:rPr>
                <w:b/>
              </w:rPr>
              <w:t>)</w:t>
            </w:r>
          </w:p>
        </w:tc>
        <w:tc>
          <w:tcPr>
            <w:tcW w:w="60" w:type="dxa"/>
            <w:tcBorders/>
            <w:vAlign w:val="bottom"/>
          </w:tcPr>
          <w:p>
            <w:pPr>
              <w:pStyle w:val="TableContents"/>
              <w:bidi w:val="0"/>
              <w:spacing w:before="0" w:after="283"/>
              <w:jc w:val="right"/>
              <w:rPr/>
            </w:pPr>
            <w:r>
              <w:rPr/>
              <w:t> </w:t>
            </w:r>
          </w:p>
        </w:tc>
        <w:tc>
          <w:tcPr>
            <w:tcW w:w="709" w:type="dxa"/>
            <w:tcBorders/>
            <w:vAlign w:val="bottom"/>
          </w:tcPr>
          <w:p>
            <w:pPr>
              <w:pStyle w:val="TableContents"/>
              <w:bidi w:val="0"/>
              <w:spacing w:before="0" w:after="283"/>
              <w:jc w:val="left"/>
              <w:rPr>
                <w:b/>
              </w:rPr>
            </w:pPr>
            <w:r>
              <w:rPr>
                <w:b/>
              </w:rPr>
              <w:t>$</w:t>
            </w:r>
          </w:p>
        </w:tc>
        <w:tc>
          <w:tcPr>
            <w:tcW w:w="481" w:type="dxa"/>
            <w:tcBorders/>
            <w:vAlign w:val="bottom"/>
          </w:tcPr>
          <w:p>
            <w:pPr>
              <w:pStyle w:val="TableContents"/>
              <w:bidi w:val="0"/>
              <w:spacing w:before="0" w:after="283"/>
              <w:jc w:val="right"/>
              <w:rPr>
                <w:b/>
              </w:rPr>
            </w:pPr>
            <w:r>
              <w:rPr>
                <w:b/>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6" w:type="dxa"/>
            <w:tcBorders/>
            <w:vAlign w:val="bottom"/>
          </w:tcPr>
          <w:p>
            <w:pPr>
              <w:pStyle w:val="TableContents"/>
              <w:bidi w:val="0"/>
              <w:spacing w:before="0" w:after="283"/>
              <w:jc w:val="left"/>
              <w:rPr>
                <w:b/>
              </w:rPr>
            </w:pPr>
            <w:r>
              <w:rPr>
                <w:b/>
              </w:rPr>
              <w:t>$</w:t>
            </w:r>
          </w:p>
        </w:tc>
        <w:tc>
          <w:tcPr>
            <w:tcW w:w="1182" w:type="dxa"/>
            <w:tcBorders/>
            <w:vAlign w:val="bottom"/>
          </w:tcPr>
          <w:p>
            <w:pPr>
              <w:pStyle w:val="TableContents"/>
              <w:bidi w:val="0"/>
              <w:spacing w:before="0" w:after="283"/>
              <w:jc w:val="right"/>
              <w:rPr>
                <w:b/>
              </w:rPr>
            </w:pPr>
            <w:r>
              <w:rPr>
                <w:b/>
              </w:rPr>
              <w:t>(1,012,477</w:t>
            </w:r>
          </w:p>
        </w:tc>
        <w:tc>
          <w:tcPr>
            <w:tcW w:w="95" w:type="dxa"/>
            <w:tcBorders/>
            <w:vAlign w:val="bottom"/>
          </w:tcPr>
          <w:p>
            <w:pPr>
              <w:pStyle w:val="TableContents"/>
              <w:bidi w:val="0"/>
              <w:spacing w:before="0" w:after="283"/>
              <w:jc w:val="left"/>
              <w:rPr>
                <w:b/>
              </w:rPr>
            </w:pPr>
            <w:r>
              <w:rPr>
                <w:b/>
              </w:rPr>
              <w:t>)</w:t>
            </w:r>
          </w:p>
        </w:tc>
        <w:tc>
          <w:tcPr>
            <w:tcW w:w="60" w:type="dxa"/>
            <w:tcBorders/>
            <w:vAlign w:val="bottom"/>
          </w:tcPr>
          <w:p>
            <w:pPr>
              <w:pStyle w:val="TableContents"/>
              <w:bidi w:val="0"/>
              <w:spacing w:before="0" w:after="283"/>
              <w:jc w:val="right"/>
              <w:rPr/>
            </w:pPr>
            <w:r>
              <w:rPr/>
              <w:t> </w:t>
            </w:r>
          </w:p>
        </w:tc>
        <w:tc>
          <w:tcPr>
            <w:tcW w:w="182" w:type="dxa"/>
            <w:tcBorders/>
            <w:vAlign w:val="bottom"/>
          </w:tcPr>
          <w:p>
            <w:pPr>
              <w:pStyle w:val="TableContents"/>
              <w:bidi w:val="0"/>
              <w:spacing w:before="0" w:after="283"/>
              <w:jc w:val="left"/>
              <w:rPr>
                <w:b/>
              </w:rPr>
            </w:pPr>
            <w:r>
              <w:rPr>
                <w:b/>
              </w:rPr>
              <w:t>$</w:t>
            </w:r>
          </w:p>
        </w:tc>
        <w:tc>
          <w:tcPr>
            <w:tcW w:w="1279" w:type="dxa"/>
            <w:tcBorders/>
            <w:vAlign w:val="bottom"/>
          </w:tcPr>
          <w:p>
            <w:pPr>
              <w:pStyle w:val="TableContents"/>
              <w:bidi w:val="0"/>
              <w:spacing w:before="0" w:after="283"/>
              <w:jc w:val="right"/>
              <w:rPr>
                <w:b/>
              </w:rPr>
            </w:pPr>
            <w:r>
              <w:rPr>
                <w:b/>
              </w:rPr>
              <w:t>1,010,360</w:t>
            </w:r>
          </w:p>
        </w:tc>
        <w:tc>
          <w:tcPr>
            <w:tcW w:w="123"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right"/>
              <w:rPr/>
            </w:pPr>
            <w:r>
              <w:rPr/>
              <w:t> </w:t>
            </w:r>
          </w:p>
        </w:tc>
        <w:tc>
          <w:tcPr>
            <w:tcW w:w="194" w:type="dxa"/>
            <w:tcBorders/>
            <w:vAlign w:val="bottom"/>
          </w:tcPr>
          <w:p>
            <w:pPr>
              <w:pStyle w:val="TableContents"/>
              <w:bidi w:val="0"/>
              <w:spacing w:before="0" w:after="283"/>
              <w:jc w:val="left"/>
              <w:rPr>
                <w:b/>
              </w:rPr>
            </w:pPr>
            <w:r>
              <w:rPr>
                <w:b/>
              </w:rPr>
              <w:t>$</w:t>
            </w:r>
          </w:p>
        </w:tc>
        <w:tc>
          <w:tcPr>
            <w:tcW w:w="769" w:type="dxa"/>
            <w:tcBorders/>
            <w:vAlign w:val="bottom"/>
          </w:tcPr>
          <w:p>
            <w:pPr>
              <w:pStyle w:val="TableContents"/>
              <w:bidi w:val="0"/>
              <w:spacing w:before="0" w:after="283"/>
              <w:jc w:val="right"/>
              <w:rPr>
                <w:b/>
              </w:rPr>
            </w:pPr>
            <w:r>
              <w:rPr>
                <w:b/>
              </w:rPr>
              <w:t>1,592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26" w:type="dxa"/>
            <w:tcBorders/>
            <w:vAlign w:val="bottom"/>
          </w:tcPr>
          <w:p>
            <w:pPr>
              <w:pStyle w:val="TableContents"/>
              <w:bidi w:val="0"/>
              <w:spacing w:before="0" w:after="283"/>
              <w:jc w:val="left"/>
              <w:rPr>
                <w:b/>
              </w:rPr>
            </w:pPr>
            <w:r>
              <w:rPr>
                <w:b/>
              </w:rPr>
              <w:t>$</w:t>
            </w:r>
          </w:p>
        </w:tc>
        <w:tc>
          <w:tcPr>
            <w:tcW w:w="740" w:type="dxa"/>
            <w:tcBorders/>
            <w:vAlign w:val="bottom"/>
          </w:tcPr>
          <w:p>
            <w:pPr>
              <w:pStyle w:val="TableContents"/>
              <w:bidi w:val="0"/>
              <w:spacing w:before="0" w:after="283"/>
              <w:jc w:val="right"/>
              <w:rPr>
                <w:b/>
              </w:rPr>
            </w:pPr>
            <w:r>
              <w:rPr>
                <w:b/>
              </w:rPr>
              <w:t>(525</w:t>
            </w:r>
          </w:p>
        </w:tc>
        <w:tc>
          <w:tcPr>
            <w:tcW w:w="116" w:type="dxa"/>
            <w:tcBorders/>
            <w:vAlign w:val="bottom"/>
          </w:tcPr>
          <w:p>
            <w:pPr>
              <w:pStyle w:val="TableContents"/>
              <w:bidi w:val="0"/>
              <w:spacing w:before="0" w:after="283"/>
              <w:jc w:val="left"/>
              <w:rPr>
                <w:b/>
              </w:rPr>
            </w:pPr>
            <w:r>
              <w:rPr>
                <w:b/>
              </w:rPr>
              <w:t>)</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35</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As of December 31, 2025</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2041"/>
        <w:gridCol w:w="60"/>
        <w:gridCol w:w="140"/>
        <w:gridCol w:w="1055"/>
        <w:gridCol w:w="95"/>
        <w:gridCol w:w="60"/>
        <w:gridCol w:w="210"/>
        <w:gridCol w:w="976"/>
        <w:gridCol w:w="80"/>
        <w:gridCol w:w="60"/>
        <w:gridCol w:w="155"/>
        <w:gridCol w:w="1173"/>
        <w:gridCol w:w="95"/>
        <w:gridCol w:w="60"/>
        <w:gridCol w:w="175"/>
        <w:gridCol w:w="1228"/>
        <w:gridCol w:w="100"/>
        <w:gridCol w:w="74"/>
        <w:gridCol w:w="186"/>
        <w:gridCol w:w="811"/>
        <w:gridCol w:w="95"/>
        <w:gridCol w:w="60"/>
        <w:gridCol w:w="183"/>
        <w:gridCol w:w="773"/>
        <w:gridCol w:w="260"/>
      </w:tblGrid>
      <w:tr>
        <w:trPr/>
        <w:tc>
          <w:tcPr>
            <w:tcW w:w="204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195"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86"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28" w:type="dxa"/>
            <w:gridSpan w:val="2"/>
            <w:tcBorders/>
            <w:vAlign w:val="bottom"/>
          </w:tcPr>
          <w:p>
            <w:pPr>
              <w:pStyle w:val="TableContents"/>
              <w:bidi w:val="0"/>
              <w:spacing w:before="0" w:after="0"/>
              <w:jc w:val="center"/>
              <w:rPr>
                <w:b/>
              </w:rPr>
            </w:pPr>
            <w:r>
              <w:rPr>
                <w:b/>
              </w:rPr>
              <w:t>Net Amounts</w:t>
            </w:r>
          </w:p>
          <w:p>
            <w:pPr>
              <w:pStyle w:val="TableContents"/>
              <w:bidi w:val="0"/>
              <w:spacing w:before="0" w:after="0"/>
              <w:jc w:val="center"/>
              <w:rPr>
                <w:b/>
              </w:rPr>
            </w:pPr>
            <w:r>
              <w:rPr>
                <w:b/>
              </w:rPr>
              <w:t>of Assets and</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74"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Gross Amounts Not Offset in the</w:t>
            </w:r>
          </w:p>
          <w:p>
            <w:pPr>
              <w:pStyle w:val="TableContents"/>
              <w:bidi w:val="0"/>
              <w:spacing w:before="0" w:after="0"/>
              <w:jc w:val="center"/>
              <w:rPr>
                <w:rFonts w:ascii="Times New Roman" w:hAnsi="Times New Roman"/>
                <w:b/>
                <w:sz w:val="20"/>
              </w:rPr>
            </w:pPr>
            <w:r>
              <w:rPr>
                <w:rFonts w:ascii="Times New Roman" w:hAnsi="Times New Roman"/>
                <w:b/>
                <w:sz w:val="20"/>
              </w:rPr>
              <w:t>Consolidated Balance Sheet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6" w:type="dxa"/>
            <w:gridSpan w:val="2"/>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r>
      <w:tr>
        <w:trPr/>
        <w:tc>
          <w:tcPr>
            <w:tcW w:w="2041"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 xml:space="preserve">Gross </w:t>
              <w:br/>
              <w:t>Amounts of</w:t>
            </w:r>
          </w:p>
          <w:p>
            <w:pPr>
              <w:pStyle w:val="TableContents"/>
              <w:bidi w:val="0"/>
              <w:spacing w:before="0" w:after="0"/>
              <w:jc w:val="center"/>
              <w:rPr>
                <w:rFonts w:ascii="Times New Roman" w:hAnsi="Times New Roman"/>
                <w:b/>
                <w:sz w:val="20"/>
              </w:rPr>
            </w:pPr>
            <w:r>
              <w:rPr>
                <w:rFonts w:ascii="Times New Roman" w:hAnsi="Times New Roman"/>
                <w:b/>
                <w:sz w:val="20"/>
              </w:rPr>
              <w:t xml:space="preserve">Recognized </w:t>
            </w:r>
          </w:p>
          <w:p>
            <w:pPr>
              <w:pStyle w:val="TableContents"/>
              <w:bidi w:val="0"/>
              <w:spacing w:before="0" w:after="0"/>
              <w:jc w:val="center"/>
              <w:rPr>
                <w:rFonts w:ascii="Times New Roman" w:hAnsi="Times New Roman"/>
                <w:b/>
                <w:sz w:val="20"/>
              </w:rPr>
            </w:pPr>
            <w:r>
              <w:rPr>
                <w:rFonts w:ascii="Times New Roman" w:hAnsi="Times New Roman"/>
                <w:b/>
                <w:sz w:val="20"/>
              </w:rPr>
              <w:t>Assets or</w:t>
            </w:r>
          </w:p>
          <w:p>
            <w:pPr>
              <w:pStyle w:val="TableContents"/>
              <w:bidi w:val="0"/>
              <w:spacing w:before="0" w:after="0"/>
              <w:jc w:val="center"/>
              <w:rPr>
                <w:rFonts w:ascii="Times New Roman" w:hAnsi="Times New Roman"/>
                <w:b/>
                <w:sz w:val="20"/>
              </w:rPr>
            </w:pPr>
            <w:r>
              <w:rPr>
                <w:rFonts w:ascii="Times New Roman" w:hAnsi="Times New Roman"/>
                <w:b/>
                <w:sz w:val="20"/>
              </w:rPr>
              <w:t>Liabilities</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86"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 xml:space="preserve">Gross </w:t>
            </w:r>
          </w:p>
          <w:p>
            <w:pPr>
              <w:pStyle w:val="TableContents"/>
              <w:bidi w:val="0"/>
              <w:spacing w:before="0" w:after="0"/>
              <w:jc w:val="center"/>
              <w:rPr>
                <w:rFonts w:ascii="Times New Roman" w:hAnsi="Times New Roman"/>
                <w:b/>
                <w:sz w:val="20"/>
              </w:rPr>
            </w:pPr>
            <w:r>
              <w:rPr>
                <w:rFonts w:ascii="Times New Roman" w:hAnsi="Times New Roman"/>
                <w:b/>
                <w:sz w:val="20"/>
              </w:rPr>
              <w:t xml:space="preserve">Amounts </w:t>
            </w:r>
          </w:p>
          <w:p>
            <w:pPr>
              <w:pStyle w:val="TableContents"/>
              <w:bidi w:val="0"/>
              <w:spacing w:before="0" w:after="0"/>
              <w:jc w:val="center"/>
              <w:rPr>
                <w:rFonts w:ascii="Times New Roman" w:hAnsi="Times New Roman"/>
                <w:b/>
                <w:sz w:val="20"/>
              </w:rPr>
            </w:pPr>
            <w:r>
              <w:rPr>
                <w:rFonts w:ascii="Times New Roman" w:hAnsi="Times New Roman"/>
                <w:b/>
                <w:sz w:val="20"/>
              </w:rPr>
              <w:t>Offset in the</w:t>
            </w:r>
          </w:p>
          <w:p>
            <w:pPr>
              <w:pStyle w:val="TableContents"/>
              <w:bidi w:val="0"/>
              <w:spacing w:before="0" w:after="0"/>
              <w:jc w:val="center"/>
              <w:rPr>
                <w:rFonts w:ascii="Times New Roman" w:hAnsi="Times New Roman"/>
                <w:b/>
                <w:sz w:val="20"/>
              </w:rPr>
            </w:pPr>
            <w:r>
              <w:rPr>
                <w:rFonts w:ascii="Times New Roman" w:hAnsi="Times New Roman"/>
                <w:b/>
                <w:sz w:val="20"/>
              </w:rPr>
              <w:t>Consolidated</w:t>
            </w:r>
          </w:p>
          <w:p>
            <w:pPr>
              <w:pStyle w:val="TableContents"/>
              <w:bidi w:val="0"/>
              <w:spacing w:before="0" w:after="0"/>
              <w:jc w:val="center"/>
              <w:rPr>
                <w:rFonts w:ascii="Times New Roman" w:hAnsi="Times New Roman"/>
                <w:b/>
                <w:sz w:val="20"/>
              </w:rPr>
            </w:pPr>
            <w:r>
              <w:rPr>
                <w:rFonts w:ascii="Times New Roman" w:hAnsi="Times New Roman"/>
                <w:b/>
                <w:sz w:val="20"/>
              </w:rPr>
              <w:t>Balance Sheet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28"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Liabilities</w:t>
            </w:r>
          </w:p>
          <w:p>
            <w:pPr>
              <w:pStyle w:val="TableContents"/>
              <w:bidi w:val="0"/>
              <w:spacing w:before="0" w:after="0"/>
              <w:jc w:val="center"/>
              <w:rPr>
                <w:rFonts w:ascii="Times New Roman" w:hAnsi="Times New Roman"/>
                <w:b/>
                <w:sz w:val="20"/>
              </w:rPr>
            </w:pPr>
            <w:r>
              <w:rPr>
                <w:rFonts w:ascii="Times New Roman" w:hAnsi="Times New Roman"/>
                <w:b/>
                <w:sz w:val="20"/>
              </w:rPr>
              <w:t xml:space="preserve">Presented in </w:t>
            </w:r>
          </w:p>
          <w:p>
            <w:pPr>
              <w:pStyle w:val="TableContents"/>
              <w:bidi w:val="0"/>
              <w:spacing w:before="0" w:after="0"/>
              <w:jc w:val="center"/>
              <w:rPr>
                <w:rFonts w:ascii="Times New Roman" w:hAnsi="Times New Roman"/>
                <w:b/>
                <w:sz w:val="20"/>
              </w:rPr>
            </w:pPr>
            <w:r>
              <w:rPr>
                <w:rFonts w:ascii="Times New Roman" w:hAnsi="Times New Roman"/>
                <w:b/>
                <w:sz w:val="20"/>
              </w:rPr>
              <w:t>the</w:t>
            </w:r>
          </w:p>
          <w:p>
            <w:pPr>
              <w:pStyle w:val="TableContents"/>
              <w:bidi w:val="0"/>
              <w:spacing w:before="0" w:after="0"/>
              <w:jc w:val="center"/>
              <w:rPr>
                <w:rFonts w:ascii="Times New Roman" w:hAnsi="Times New Roman"/>
                <w:b/>
                <w:sz w:val="20"/>
              </w:rPr>
            </w:pPr>
            <w:r>
              <w:rPr>
                <w:rFonts w:ascii="Times New Roman" w:hAnsi="Times New Roman"/>
                <w:b/>
                <w:sz w:val="20"/>
              </w:rPr>
              <w:t>Consolidated</w:t>
            </w:r>
          </w:p>
          <w:p>
            <w:pPr>
              <w:pStyle w:val="TableContents"/>
              <w:bidi w:val="0"/>
              <w:spacing w:before="0" w:after="0"/>
              <w:jc w:val="center"/>
              <w:rPr>
                <w:rFonts w:ascii="Times New Roman" w:hAnsi="Times New Roman"/>
                <w:b/>
                <w:sz w:val="20"/>
              </w:rPr>
            </w:pPr>
            <w:r>
              <w:rPr>
                <w:rFonts w:ascii="Times New Roman" w:hAnsi="Times New Roman"/>
                <w:b/>
                <w:sz w:val="20"/>
              </w:rPr>
              <w:t>Balance Sheet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3"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Financial</w:t>
            </w:r>
          </w:p>
          <w:p>
            <w:pPr>
              <w:pStyle w:val="TableContents"/>
              <w:bidi w:val="0"/>
              <w:spacing w:before="0" w:after="0"/>
              <w:jc w:val="center"/>
              <w:rPr>
                <w:rFonts w:ascii="Times New Roman" w:hAnsi="Times New Roman"/>
                <w:b/>
                <w:sz w:val="20"/>
              </w:rPr>
            </w:pPr>
            <w:r>
              <w:rPr>
                <w:rFonts w:ascii="Times New Roman" w:hAnsi="Times New Roman"/>
                <w:b/>
                <w:sz w:val="20"/>
              </w:rPr>
              <w:t>Instruments</w:t>
            </w:r>
          </w:p>
        </w:tc>
        <w:tc>
          <w:tcPr>
            <w:tcW w:w="10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997"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Cash</w:t>
            </w:r>
          </w:p>
          <w:p>
            <w:pPr>
              <w:pStyle w:val="TableContents"/>
              <w:bidi w:val="0"/>
              <w:spacing w:before="0" w:after="0"/>
              <w:jc w:val="center"/>
              <w:rPr>
                <w:rFonts w:ascii="Times New Roman" w:hAnsi="Times New Roman"/>
                <w:b/>
                <w:sz w:val="20"/>
              </w:rPr>
            </w:pPr>
            <w:r>
              <w:rPr>
                <w:rFonts w:ascii="Times New Roman" w:hAnsi="Times New Roman"/>
                <w:b/>
                <w:sz w:val="20"/>
              </w:rPr>
              <w:t>Collateral</w:t>
            </w:r>
          </w:p>
          <w:p>
            <w:pPr>
              <w:pStyle w:val="TableContents"/>
              <w:bidi w:val="0"/>
              <w:spacing w:before="0" w:after="0"/>
              <w:jc w:val="center"/>
              <w:rPr>
                <w:rFonts w:ascii="Times New Roman" w:hAnsi="Times New Roman"/>
                <w:b/>
                <w:sz w:val="20"/>
              </w:rPr>
            </w:pPr>
            <w:r>
              <w:rPr>
                <w:rFonts w:ascii="Times New Roman" w:hAnsi="Times New Roman"/>
                <w:b/>
                <w:sz w:val="20"/>
              </w:rPr>
              <w:t>Received/</w:t>
            </w:r>
          </w:p>
          <w:p>
            <w:pPr>
              <w:pStyle w:val="TableContents"/>
              <w:bidi w:val="0"/>
              <w:spacing w:before="0" w:after="0"/>
              <w:jc w:val="center"/>
              <w:rPr>
                <w:rFonts w:ascii="Times New Roman" w:hAnsi="Times New Roman"/>
                <w:b/>
                <w:sz w:val="20"/>
              </w:rPr>
            </w:pPr>
            <w:r>
              <w:rPr>
                <w:rFonts w:ascii="Times New Roman" w:hAnsi="Times New Roman"/>
                <w:b/>
                <w:sz w:val="20"/>
              </w:rPr>
              <w:t>Pledged</w:t>
            </w:r>
            <w:r>
              <w:rPr>
                <w:rFonts w:ascii="Times New Roman" w:hAnsi="Times New Roman"/>
                <w:b/>
                <w:position w:val="7"/>
                <w:sz w:val="16"/>
                <w:sz w:val="20"/>
              </w:rPr>
              <w:t xml:space="preserve"> (A)</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6"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Net Amount</w:t>
            </w:r>
          </w:p>
        </w:tc>
        <w:tc>
          <w:tcPr>
            <w:tcW w:w="260" w:type="dxa"/>
            <w:tcBorders/>
            <w:vAlign w:val="bottom"/>
          </w:tcPr>
          <w:p>
            <w:pPr>
              <w:pStyle w:val="TableContents"/>
              <w:bidi w:val="0"/>
              <w:spacing w:before="0" w:after="283"/>
              <w:jc w:val="left"/>
              <w:rPr/>
            </w:pPr>
            <w:r>
              <w:rPr/>
              <w:t> </w:t>
            </w:r>
          </w:p>
        </w:tc>
      </w:tr>
      <w:tr>
        <w:trPr/>
        <w:tc>
          <w:tcPr>
            <w:tcW w:w="2041"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60" w:type="dxa"/>
            <w:tcBorders/>
            <w:vAlign w:val="bottom"/>
          </w:tcPr>
          <w:p>
            <w:pPr>
              <w:pStyle w:val="TableContents"/>
              <w:bidi w:val="0"/>
              <w:spacing w:before="0" w:after="283"/>
              <w:jc w:val="left"/>
              <w:rPr/>
            </w:pPr>
            <w:r>
              <w:rPr/>
              <w:t> </w:t>
            </w:r>
          </w:p>
        </w:tc>
        <w:tc>
          <w:tcPr>
            <w:tcW w:w="1195"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86"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28"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3" w:type="dxa"/>
            <w:gridSpan w:val="2"/>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997"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6" w:type="dxa"/>
            <w:gridSpan w:val="2"/>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r>
      <w:tr>
        <w:trPr/>
        <w:tc>
          <w:tcPr>
            <w:tcW w:w="2041" w:type="dxa"/>
            <w:tcBorders/>
            <w:shd w:fill="CCEEFF" w:val="clear"/>
            <w:vAlign w:val="bottom"/>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Interest rate swaps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5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47,642</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7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(34,289</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7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13,353</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22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(1,199</w:t>
            </w:r>
          </w:p>
        </w:tc>
        <w:tc>
          <w:tcPr>
            <w:tcW w:w="10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4" w:type="dxa"/>
            <w:tcBorders/>
            <w:shd w:fill="CCEEFF" w:val="clear"/>
            <w:vAlign w:val="bottom"/>
          </w:tcPr>
          <w:p>
            <w:pPr>
              <w:pStyle w:val="TableContents"/>
              <w:bidi w:val="0"/>
              <w:spacing w:before="0" w:after="283"/>
              <w:jc w:val="right"/>
              <w:rPr/>
            </w:pPr>
            <w:r>
              <w:rPr/>
              <w:t> </w:t>
            </w:r>
          </w:p>
        </w:tc>
        <w:tc>
          <w:tcPr>
            <w:tcW w:w="18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11"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7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12,154</w:t>
            </w:r>
          </w:p>
        </w:tc>
        <w:tc>
          <w:tcPr>
            <w:tcW w:w="260" w:type="dxa"/>
            <w:tcBorders/>
            <w:shd w:fill="CCEEFF" w:val="clear"/>
            <w:vAlign w:val="bottom"/>
          </w:tcPr>
          <w:p>
            <w:pPr>
              <w:pStyle w:val="TableContents"/>
              <w:bidi w:val="0"/>
              <w:spacing w:before="0" w:after="283"/>
              <w:jc w:val="left"/>
              <w:rPr/>
            </w:pPr>
            <w:r>
              <w:rPr/>
              <w:t> </w:t>
            </w:r>
          </w:p>
        </w:tc>
      </w:tr>
      <w:tr>
        <w:trPr/>
        <w:tc>
          <w:tcPr>
            <w:tcW w:w="2041" w:type="dxa"/>
            <w:tcBorders/>
            <w:vAlign w:val="bottom"/>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TBAs</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650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0" w:type="dxa"/>
            <w:tcBorders/>
            <w:vAlign w:val="bottom"/>
          </w:tcPr>
          <w:p>
            <w:pPr>
              <w:pStyle w:val="TableContents"/>
              <w:bidi w:val="0"/>
              <w:spacing w:before="0" w:after="283"/>
              <w:jc w:val="left"/>
              <w:rPr/>
            </w:pPr>
            <w:r>
              <w:rPr/>
              <w:t> </w:t>
            </w:r>
          </w:p>
        </w:tc>
        <w:tc>
          <w:tcPr>
            <w:tcW w:w="976"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(650</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17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5" w:type="dxa"/>
            <w:tcBorders/>
            <w:vAlign w:val="bottom"/>
          </w:tcPr>
          <w:p>
            <w:pPr>
              <w:pStyle w:val="TableContents"/>
              <w:bidi w:val="0"/>
              <w:spacing w:before="0" w:after="283"/>
              <w:jc w:val="left"/>
              <w:rPr/>
            </w:pPr>
            <w:r>
              <w:rPr/>
              <w:t> </w:t>
            </w:r>
          </w:p>
        </w:tc>
        <w:tc>
          <w:tcPr>
            <w:tcW w:w="1228"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10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right"/>
              <w:rPr/>
            </w:pPr>
            <w:r>
              <w:rPr/>
              <w:t> </w:t>
            </w:r>
          </w:p>
        </w:tc>
        <w:tc>
          <w:tcPr>
            <w:tcW w:w="18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3" w:type="dxa"/>
            <w:tcBorders/>
            <w:vAlign w:val="bottom"/>
          </w:tcPr>
          <w:p>
            <w:pPr>
              <w:pStyle w:val="TableContents"/>
              <w:bidi w:val="0"/>
              <w:spacing w:before="0" w:after="283"/>
              <w:jc w:val="left"/>
              <w:rPr/>
            </w:pPr>
            <w:r>
              <w:rPr/>
              <w:t> </w:t>
            </w:r>
          </w:p>
        </w:tc>
        <w:tc>
          <w:tcPr>
            <w:tcW w:w="77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260" w:type="dxa"/>
            <w:tcBorders/>
            <w:vAlign w:val="bottom"/>
          </w:tcPr>
          <w:p>
            <w:pPr>
              <w:pStyle w:val="TableContents"/>
              <w:bidi w:val="0"/>
              <w:spacing w:before="0" w:after="283"/>
              <w:jc w:val="left"/>
              <w:rPr/>
            </w:pPr>
            <w:r>
              <w:rPr/>
              <w:t> </w:t>
            </w:r>
          </w:p>
        </w:tc>
      </w:tr>
      <w:tr>
        <w:trPr/>
        <w:tc>
          <w:tcPr>
            <w:tcW w:w="2041" w:type="dxa"/>
            <w:tcBorders/>
            <w:shd w:fill="CCEEFF" w:val="clear"/>
            <w:vAlign w:val="bottom"/>
          </w:tcPr>
          <w:p>
            <w:pPr>
              <w:pStyle w:val="TableContents"/>
              <w:bidi w:val="0"/>
              <w:spacing w:before="0" w:after="0"/>
              <w:ind w:left="0" w:right="0" w:firstLine="180"/>
              <w:jc w:val="left"/>
              <w:rPr/>
            </w:pPr>
            <w:r>
              <w:rPr/>
              <w:t>U.S. treasury futures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1,368</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0"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bidi w:val="0"/>
              <w:spacing w:before="0" w:after="283"/>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173" w:type="dxa"/>
            <w:tcBorders/>
            <w:shd w:fill="CCEEFF" w:val="clear"/>
            <w:vAlign w:val="bottom"/>
          </w:tcPr>
          <w:p>
            <w:pPr>
              <w:pStyle w:val="TableContents"/>
              <w:bidi w:val="0"/>
              <w:spacing w:before="0" w:after="283"/>
              <w:jc w:val="right"/>
              <w:rPr/>
            </w:pPr>
            <w:r>
              <w:rPr/>
              <w:t>1,368</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5" w:type="dxa"/>
            <w:tcBorders/>
            <w:shd w:fill="CCEEFF" w:val="clear"/>
            <w:vAlign w:val="bottom"/>
          </w:tcPr>
          <w:p>
            <w:pPr>
              <w:pStyle w:val="TableContents"/>
              <w:bidi w:val="0"/>
              <w:spacing w:before="0" w:after="283"/>
              <w:jc w:val="left"/>
              <w:rPr/>
            </w:pPr>
            <w:r>
              <w:rPr/>
              <w:t> </w:t>
            </w:r>
          </w:p>
        </w:tc>
        <w:tc>
          <w:tcPr>
            <w:tcW w:w="1228" w:type="dxa"/>
            <w:tcBorders/>
            <w:shd w:fill="CCEEFF" w:val="clear"/>
            <w:vAlign w:val="bottom"/>
          </w:tcPr>
          <w:p>
            <w:pPr>
              <w:pStyle w:val="TableContents"/>
              <w:bidi w:val="0"/>
              <w:spacing w:before="0" w:after="283"/>
              <w:jc w:val="right"/>
              <w:rPr/>
            </w:pPr>
            <w:r>
              <w:rPr/>
              <w:t>-</w:t>
            </w:r>
          </w:p>
        </w:tc>
        <w:tc>
          <w:tcPr>
            <w:tcW w:w="10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right"/>
              <w:rPr/>
            </w:pPr>
            <w:r>
              <w:rPr/>
              <w:t> </w:t>
            </w:r>
          </w:p>
        </w:tc>
        <w:tc>
          <w:tcPr>
            <w:tcW w:w="18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right"/>
              <w:rPr/>
            </w:pPr>
            <w:r>
              <w:rPr/>
              <w:t>(1,368</w:t>
            </w:r>
          </w:p>
        </w:tc>
        <w:tc>
          <w:tcPr>
            <w:tcW w:w="95" w:type="dxa"/>
            <w:tcBorders/>
            <w:shd w:fill="CCEEFF" w:val="clear"/>
            <w:vAlign w:val="bottom"/>
          </w:tcPr>
          <w:p>
            <w:pPr>
              <w:pStyle w:val="TableContents"/>
              <w:bidi w:val="0"/>
              <w:spacing w:before="0" w:after="283"/>
              <w:jc w:val="left"/>
              <w:rPr/>
            </w:pPr>
            <w:r>
              <w:rPr/>
              <w:t>)</w:t>
            </w:r>
          </w:p>
        </w:tc>
        <w:tc>
          <w:tcPr>
            <w:tcW w:w="60" w:type="dxa"/>
            <w:tcBorders/>
            <w:shd w:fill="CCEEFF" w:val="clear"/>
            <w:vAlign w:val="bottom"/>
          </w:tcPr>
          <w:p>
            <w:pPr>
              <w:pStyle w:val="TableContents"/>
              <w:bidi w:val="0"/>
              <w:spacing w:before="0" w:after="283"/>
              <w:jc w:val="right"/>
              <w:rPr/>
            </w:pPr>
            <w:r>
              <w:rPr/>
              <w:t> </w:t>
            </w:r>
          </w:p>
        </w:tc>
        <w:tc>
          <w:tcPr>
            <w:tcW w:w="183" w:type="dxa"/>
            <w:tcBorders/>
            <w:shd w:fill="CCEEFF" w:val="clear"/>
            <w:vAlign w:val="bottom"/>
          </w:tcPr>
          <w:p>
            <w:pPr>
              <w:pStyle w:val="TableContents"/>
              <w:bidi w:val="0"/>
              <w:spacing w:before="0" w:after="283"/>
              <w:jc w:val="left"/>
              <w:rPr/>
            </w:pPr>
            <w:r>
              <w:rPr/>
              <w:t> </w:t>
            </w:r>
          </w:p>
        </w:tc>
        <w:tc>
          <w:tcPr>
            <w:tcW w:w="773" w:type="dxa"/>
            <w:tcBorders/>
            <w:shd w:fill="CCEEFF" w:val="clear"/>
            <w:vAlign w:val="bottom"/>
          </w:tcPr>
          <w:p>
            <w:pPr>
              <w:pStyle w:val="TableContents"/>
              <w:bidi w:val="0"/>
              <w:spacing w:before="0" w:after="283"/>
              <w:jc w:val="right"/>
              <w:rPr/>
            </w:pPr>
            <w:r>
              <w:rPr/>
              <w:t>-</w:t>
            </w:r>
          </w:p>
        </w:tc>
        <w:tc>
          <w:tcPr>
            <w:tcW w:w="260" w:type="dxa"/>
            <w:tcBorders/>
            <w:shd w:fill="CCEEFF" w:val="clear"/>
            <w:vAlign w:val="bottom"/>
          </w:tcPr>
          <w:p>
            <w:pPr>
              <w:pStyle w:val="TableContents"/>
              <w:bidi w:val="0"/>
              <w:spacing w:before="0" w:after="283"/>
              <w:ind w:left="0" w:right="0" w:firstLine="180"/>
              <w:jc w:val="left"/>
              <w:rPr/>
            </w:pPr>
            <w:r>
              <w:rPr/>
              <w:t> </w:t>
            </w:r>
          </w:p>
        </w:tc>
      </w:tr>
      <w:tr>
        <w:trPr/>
        <w:tc>
          <w:tcPr>
            <w:tcW w:w="2041" w:type="dxa"/>
            <w:tcBorders/>
            <w:vAlign w:val="bottom"/>
          </w:tcPr>
          <w:p>
            <w:pPr>
              <w:pStyle w:val="TableContents"/>
              <w:bidi w:val="0"/>
              <w:spacing w:before="0" w:after="283"/>
              <w:jc w:val="left"/>
              <w:rPr/>
            </w:pPr>
            <w:r>
              <w:rPr/>
              <w:t>Eris SOFR swap futures</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55" w:type="dxa"/>
            <w:tcBorders>
              <w:bottom w:val="single" w:sz="12" w:space="0" w:color="000000"/>
            </w:tcBorders>
            <w:tcMar>
              <w:bottom w:w="28" w:type="dxa"/>
            </w:tcMar>
            <w:vAlign w:val="bottom"/>
          </w:tcPr>
          <w:p>
            <w:pPr>
              <w:pStyle w:val="TableContents"/>
              <w:bidi w:val="0"/>
              <w:spacing w:before="0" w:after="283"/>
              <w:jc w:val="right"/>
              <w:rPr/>
            </w:pPr>
            <w:r>
              <w:rPr/>
              <w:t>36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0" w:type="dxa"/>
            <w:tcBorders>
              <w:bottom w:val="single" w:sz="12" w:space="0" w:color="000000"/>
            </w:tcBorders>
            <w:tcMar>
              <w:bottom w:w="28" w:type="dxa"/>
            </w:tcMar>
            <w:vAlign w:val="bottom"/>
          </w:tcPr>
          <w:p>
            <w:pPr>
              <w:pStyle w:val="TableContents"/>
              <w:bidi w:val="0"/>
              <w:spacing w:before="0" w:after="283"/>
              <w:jc w:val="left"/>
              <w:rPr/>
            </w:pPr>
            <w:r>
              <w:rPr/>
              <w:t> </w:t>
            </w:r>
          </w:p>
        </w:tc>
        <w:tc>
          <w:tcPr>
            <w:tcW w:w="976" w:type="dxa"/>
            <w:tcBorders>
              <w:bottom w:val="single" w:sz="12" w:space="0" w:color="000000"/>
            </w:tcBorders>
            <w:tcMar>
              <w:bottom w:w="28" w:type="dxa"/>
            </w:tcMar>
            <w:vAlign w:val="bottom"/>
          </w:tcPr>
          <w:p>
            <w:pPr>
              <w:pStyle w:val="TableContents"/>
              <w:bidi w:val="0"/>
              <w:spacing w:before="0" w:after="283"/>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5" w:type="dxa"/>
            <w:tcBorders>
              <w:bottom w:val="single" w:sz="12" w:space="0" w:color="000000"/>
            </w:tcBorders>
            <w:tcMar>
              <w:bottom w:w="28" w:type="dxa"/>
            </w:tcMar>
            <w:vAlign w:val="bottom"/>
          </w:tcPr>
          <w:p>
            <w:pPr>
              <w:pStyle w:val="TableContents"/>
              <w:bidi w:val="0"/>
              <w:spacing w:before="0" w:after="283"/>
              <w:jc w:val="left"/>
              <w:rPr/>
            </w:pPr>
            <w:r>
              <w:rPr/>
              <w:t> </w:t>
            </w:r>
          </w:p>
        </w:tc>
        <w:tc>
          <w:tcPr>
            <w:tcW w:w="1173" w:type="dxa"/>
            <w:tcBorders>
              <w:bottom w:val="single" w:sz="12" w:space="0" w:color="000000"/>
            </w:tcBorders>
            <w:tcMar>
              <w:bottom w:w="28" w:type="dxa"/>
            </w:tcMar>
            <w:vAlign w:val="bottom"/>
          </w:tcPr>
          <w:p>
            <w:pPr>
              <w:pStyle w:val="TableContents"/>
              <w:bidi w:val="0"/>
              <w:spacing w:before="0" w:after="283"/>
              <w:jc w:val="right"/>
              <w:rPr/>
            </w:pPr>
            <w:r>
              <w:rPr/>
              <w:t>36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5" w:type="dxa"/>
            <w:tcBorders>
              <w:bottom w:val="single" w:sz="12" w:space="0" w:color="000000"/>
            </w:tcBorders>
            <w:tcMar>
              <w:bottom w:w="28" w:type="dxa"/>
            </w:tcMar>
            <w:vAlign w:val="bottom"/>
          </w:tcPr>
          <w:p>
            <w:pPr>
              <w:pStyle w:val="TableContents"/>
              <w:bidi w:val="0"/>
              <w:spacing w:before="0" w:after="283"/>
              <w:jc w:val="left"/>
              <w:rPr/>
            </w:pPr>
            <w:r>
              <w:rPr/>
              <w:t> </w:t>
            </w:r>
          </w:p>
        </w:tc>
        <w:tc>
          <w:tcPr>
            <w:tcW w:w="1228" w:type="dxa"/>
            <w:tcBorders>
              <w:bottom w:val="single" w:sz="12" w:space="0" w:color="000000"/>
            </w:tcBorders>
            <w:tcMar>
              <w:bottom w:w="28" w:type="dxa"/>
            </w:tcMar>
            <w:vAlign w:val="bottom"/>
          </w:tcPr>
          <w:p>
            <w:pPr>
              <w:pStyle w:val="TableContents"/>
              <w:bidi w:val="0"/>
              <w:spacing w:before="0" w:after="283"/>
              <w:jc w:val="right"/>
              <w:rPr/>
            </w:pPr>
            <w:r>
              <w:rPr/>
              <w:t>-</w:t>
            </w:r>
          </w:p>
        </w:tc>
        <w:tc>
          <w:tcPr>
            <w:tcW w:w="10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right"/>
              <w:rPr/>
            </w:pPr>
            <w:r>
              <w:rPr/>
              <w:t> </w:t>
            </w:r>
          </w:p>
        </w:tc>
        <w:tc>
          <w:tcPr>
            <w:tcW w:w="186" w:type="dxa"/>
            <w:tcBorders>
              <w:bottom w:val="single" w:sz="12" w:space="0" w:color="000000"/>
            </w:tcBorders>
            <w:tcMar>
              <w:bottom w:w="28" w:type="dxa"/>
            </w:tcMar>
            <w:vAlign w:val="bottom"/>
          </w:tcPr>
          <w:p>
            <w:pPr>
              <w:pStyle w:val="TableContents"/>
              <w:bidi w:val="0"/>
              <w:spacing w:before="0" w:after="283"/>
              <w:jc w:val="left"/>
              <w:rPr/>
            </w:pPr>
            <w:r>
              <w:rPr/>
              <w:t> </w:t>
            </w:r>
          </w:p>
        </w:tc>
        <w:tc>
          <w:tcPr>
            <w:tcW w:w="811" w:type="dxa"/>
            <w:tcBorders>
              <w:bottom w:val="single" w:sz="12" w:space="0" w:color="000000"/>
            </w:tcBorders>
            <w:tcMar>
              <w:bottom w:w="28" w:type="dxa"/>
            </w:tcMar>
            <w:vAlign w:val="bottom"/>
          </w:tcPr>
          <w:p>
            <w:pPr>
              <w:pStyle w:val="TableContents"/>
              <w:bidi w:val="0"/>
              <w:spacing w:before="0" w:after="283"/>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3" w:type="dxa"/>
            <w:tcBorders>
              <w:bottom w:val="single" w:sz="12" w:space="0" w:color="000000"/>
            </w:tcBorders>
            <w:tcMar>
              <w:bottom w:w="28" w:type="dxa"/>
            </w:tcMar>
            <w:vAlign w:val="bottom"/>
          </w:tcPr>
          <w:p>
            <w:pPr>
              <w:pStyle w:val="TableContents"/>
              <w:bidi w:val="0"/>
              <w:spacing w:before="0" w:after="283"/>
              <w:jc w:val="left"/>
              <w:rPr/>
            </w:pPr>
            <w:r>
              <w:rPr/>
              <w:t> </w:t>
            </w:r>
          </w:p>
        </w:tc>
        <w:tc>
          <w:tcPr>
            <w:tcW w:w="773" w:type="dxa"/>
            <w:tcBorders>
              <w:bottom w:val="single" w:sz="12" w:space="0" w:color="000000"/>
            </w:tcBorders>
            <w:tcMar>
              <w:bottom w:w="28" w:type="dxa"/>
            </w:tcMar>
            <w:vAlign w:val="bottom"/>
          </w:tcPr>
          <w:p>
            <w:pPr>
              <w:pStyle w:val="TableContents"/>
              <w:bidi w:val="0"/>
              <w:spacing w:before="0" w:after="283"/>
              <w:jc w:val="right"/>
              <w:rPr/>
            </w:pPr>
            <w:r>
              <w:rPr/>
              <w:t>36</w:t>
            </w:r>
          </w:p>
        </w:tc>
        <w:tc>
          <w:tcPr>
            <w:tcW w:w="260" w:type="dxa"/>
            <w:tcBorders/>
            <w:vAlign w:val="bottom"/>
          </w:tcPr>
          <w:p>
            <w:pPr>
              <w:pStyle w:val="TableContents"/>
              <w:bidi w:val="0"/>
              <w:spacing w:before="0" w:after="283"/>
              <w:jc w:val="left"/>
              <w:rPr/>
            </w:pPr>
            <w:r>
              <w:rPr/>
              <w:t> </w:t>
            </w:r>
          </w:p>
        </w:tc>
      </w:tr>
      <w:tr>
        <w:trPr/>
        <w:tc>
          <w:tcPr>
            <w:tcW w:w="2041"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Assets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1055"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49,696</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976"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(34,939</w:t>
            </w:r>
          </w:p>
        </w:tc>
        <w:tc>
          <w:tcPr>
            <w:tcW w:w="8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1173"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14,757</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1228"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(1,199</w:t>
            </w:r>
          </w:p>
        </w:tc>
        <w:tc>
          <w:tcPr>
            <w:tcW w:w="10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74" w:type="dxa"/>
            <w:tcBorders/>
            <w:shd w:fill="CCEEFF" w:val="clear"/>
            <w:vAlign w:val="bottom"/>
          </w:tcPr>
          <w:p>
            <w:pPr>
              <w:pStyle w:val="TableContents"/>
              <w:bidi w:val="0"/>
              <w:spacing w:before="0" w:after="283"/>
              <w:jc w:val="right"/>
              <w:rPr/>
            </w:pPr>
            <w:r>
              <w:rPr/>
              <w:t> </w:t>
            </w:r>
          </w:p>
        </w:tc>
        <w:tc>
          <w:tcPr>
            <w:tcW w:w="186"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811"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(1,368</w:t>
            </w:r>
          </w:p>
        </w:tc>
        <w:tc>
          <w:tcPr>
            <w:tcW w:w="9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shd w:fill="CCEEFF" w:val="clear"/>
            <w:vAlign w:val="bottom"/>
          </w:tcPr>
          <w:p>
            <w:pPr>
              <w:pStyle w:val="TableContents"/>
              <w:bidi w:val="0"/>
              <w:spacing w:before="0" w:after="283"/>
              <w:jc w:val="right"/>
              <w:rPr/>
            </w:pPr>
            <w:r>
              <w:rPr/>
              <w:t> </w:t>
            </w:r>
          </w:p>
        </w:tc>
        <w:tc>
          <w:tcPr>
            <w:tcW w:w="183"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773"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12,190</w:t>
            </w:r>
          </w:p>
        </w:tc>
        <w:tc>
          <w:tcPr>
            <w:tcW w:w="260" w:type="dxa"/>
            <w:tcBorders/>
            <w:shd w:fill="CCEEFF" w:val="clear"/>
            <w:vAlign w:val="bottom"/>
          </w:tcPr>
          <w:p>
            <w:pPr>
              <w:pStyle w:val="TableContents"/>
              <w:bidi w:val="0"/>
              <w:spacing w:before="0" w:after="283"/>
              <w:jc w:val="left"/>
              <w:rPr/>
            </w:pPr>
            <w:r>
              <w:rPr/>
              <w:t> </w:t>
            </w:r>
          </w:p>
        </w:tc>
      </w:tr>
      <w:tr>
        <w:trPr/>
        <w:tc>
          <w:tcPr>
            <w:tcW w:w="20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0" w:type="dxa"/>
            <w:tcBorders/>
            <w:vAlign w:val="bottom"/>
          </w:tcPr>
          <w:p>
            <w:pPr>
              <w:pStyle w:val="TableContents"/>
              <w:bidi w:val="0"/>
              <w:spacing w:before="0" w:after="283"/>
              <w:jc w:val="left"/>
              <w:rPr/>
            </w:pPr>
            <w:r>
              <w:rPr/>
              <w:t> </w:t>
            </w:r>
          </w:p>
        </w:tc>
        <w:tc>
          <w:tcPr>
            <w:tcW w:w="976"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173"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5" w:type="dxa"/>
            <w:tcBorders/>
            <w:vAlign w:val="bottom"/>
          </w:tcPr>
          <w:p>
            <w:pPr>
              <w:pStyle w:val="TableContents"/>
              <w:bidi w:val="0"/>
              <w:spacing w:before="0" w:after="283"/>
              <w:jc w:val="left"/>
              <w:rPr/>
            </w:pPr>
            <w:r>
              <w:rPr/>
              <w:t> </w:t>
            </w:r>
          </w:p>
        </w:tc>
        <w:tc>
          <w:tcPr>
            <w:tcW w:w="1228" w:type="dxa"/>
            <w:tcBorders/>
            <w:vAlign w:val="bottom"/>
          </w:tcPr>
          <w:p>
            <w:pPr>
              <w:pStyle w:val="TableContents"/>
              <w:bidi w:val="0"/>
              <w:spacing w:before="0" w:after="283"/>
              <w:jc w:val="right"/>
              <w:rPr/>
            </w:pPr>
            <w:r>
              <w:rPr/>
              <w:t> </w:t>
            </w:r>
          </w:p>
        </w:tc>
        <w:tc>
          <w:tcPr>
            <w:tcW w:w="10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right"/>
              <w:rPr/>
            </w:pPr>
            <w:r>
              <w:rPr/>
              <w:t> </w:t>
            </w:r>
          </w:p>
        </w:tc>
        <w:tc>
          <w:tcPr>
            <w:tcW w:w="186"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3" w:type="dxa"/>
            <w:tcBorders/>
            <w:vAlign w:val="bottom"/>
          </w:tcPr>
          <w:p>
            <w:pPr>
              <w:pStyle w:val="TableContents"/>
              <w:bidi w:val="0"/>
              <w:spacing w:before="0" w:after="283"/>
              <w:jc w:val="left"/>
              <w:rPr/>
            </w:pPr>
            <w:r>
              <w:rPr/>
              <w:t> </w:t>
            </w:r>
          </w:p>
        </w:tc>
        <w:tc>
          <w:tcPr>
            <w:tcW w:w="773" w:type="dxa"/>
            <w:tcBorders/>
            <w:vAlign w:val="bottom"/>
          </w:tcPr>
          <w:p>
            <w:pPr>
              <w:pStyle w:val="TableContents"/>
              <w:bidi w:val="0"/>
              <w:spacing w:before="0" w:after="283"/>
              <w:jc w:val="right"/>
              <w:rPr/>
            </w:pPr>
            <w:r>
              <w:rPr/>
              <w:t> </w:t>
            </w:r>
          </w:p>
        </w:tc>
        <w:tc>
          <w:tcPr>
            <w:tcW w:w="260" w:type="dxa"/>
            <w:tcBorders/>
            <w:vAlign w:val="bottom"/>
          </w:tcPr>
          <w:p>
            <w:pPr>
              <w:pStyle w:val="TableContents"/>
              <w:bidi w:val="0"/>
              <w:spacing w:before="0" w:after="283"/>
              <w:jc w:val="left"/>
              <w:rPr/>
            </w:pPr>
            <w:r>
              <w:rPr/>
              <w:t> </w:t>
            </w:r>
          </w:p>
        </w:tc>
      </w:tr>
      <w:tr>
        <w:trPr/>
        <w:tc>
          <w:tcPr>
            <w:tcW w:w="2041" w:type="dxa"/>
            <w:tcBorders/>
            <w:shd w:fill="CCEEFF" w:val="clear"/>
            <w:vAlign w:val="bottom"/>
          </w:tcPr>
          <w:p>
            <w:pPr>
              <w:pStyle w:val="TableContents"/>
              <w:bidi w:val="0"/>
              <w:spacing w:before="0" w:after="283"/>
              <w:jc w:val="left"/>
              <w:rPr>
                <w:b/>
              </w:rPr>
            </w:pPr>
            <w:r>
              <w:rPr>
                <w:b/>
              </w:rPr>
              <w:t xml:space="preserve">Liabilities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0"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173"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5" w:type="dxa"/>
            <w:tcBorders/>
            <w:shd w:fill="CCEEFF" w:val="clear"/>
            <w:vAlign w:val="bottom"/>
          </w:tcPr>
          <w:p>
            <w:pPr>
              <w:pStyle w:val="TableContents"/>
              <w:bidi w:val="0"/>
              <w:spacing w:before="0" w:after="283"/>
              <w:jc w:val="left"/>
              <w:rPr/>
            </w:pPr>
            <w:r>
              <w:rPr/>
              <w:t> </w:t>
            </w:r>
          </w:p>
        </w:tc>
        <w:tc>
          <w:tcPr>
            <w:tcW w:w="1228" w:type="dxa"/>
            <w:tcBorders/>
            <w:shd w:fill="CCEEFF" w:val="clear"/>
            <w:vAlign w:val="bottom"/>
          </w:tcPr>
          <w:p>
            <w:pPr>
              <w:pStyle w:val="TableContents"/>
              <w:bidi w:val="0"/>
              <w:spacing w:before="0" w:after="283"/>
              <w:jc w:val="right"/>
              <w:rPr/>
            </w:pPr>
            <w:r>
              <w:rPr/>
              <w:t> </w:t>
            </w:r>
          </w:p>
        </w:tc>
        <w:tc>
          <w:tcPr>
            <w:tcW w:w="10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right"/>
              <w:rPr/>
            </w:pPr>
            <w:r>
              <w:rPr/>
              <w:t> </w:t>
            </w:r>
          </w:p>
        </w:tc>
        <w:tc>
          <w:tcPr>
            <w:tcW w:w="18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3" w:type="dxa"/>
            <w:tcBorders/>
            <w:shd w:fill="CCEEFF" w:val="clear"/>
            <w:vAlign w:val="bottom"/>
          </w:tcPr>
          <w:p>
            <w:pPr>
              <w:pStyle w:val="TableContents"/>
              <w:bidi w:val="0"/>
              <w:spacing w:before="0" w:after="283"/>
              <w:jc w:val="left"/>
              <w:rPr/>
            </w:pPr>
            <w:r>
              <w:rPr/>
              <w:t> </w:t>
            </w:r>
          </w:p>
        </w:tc>
        <w:tc>
          <w:tcPr>
            <w:tcW w:w="773" w:type="dxa"/>
            <w:tcBorders/>
            <w:shd w:fill="CCEEFF" w:val="clear"/>
            <w:vAlign w:val="bottom"/>
          </w:tcPr>
          <w:p>
            <w:pPr>
              <w:pStyle w:val="TableContents"/>
              <w:bidi w:val="0"/>
              <w:spacing w:before="0" w:after="283"/>
              <w:jc w:val="right"/>
              <w:rPr/>
            </w:pPr>
            <w:r>
              <w:rPr/>
              <w:t> </w:t>
            </w:r>
          </w:p>
        </w:tc>
        <w:tc>
          <w:tcPr>
            <w:tcW w:w="260" w:type="dxa"/>
            <w:tcBorders/>
            <w:shd w:fill="CCEEFF" w:val="clear"/>
            <w:vAlign w:val="bottom"/>
          </w:tcPr>
          <w:p>
            <w:pPr>
              <w:pStyle w:val="TableContents"/>
              <w:bidi w:val="0"/>
              <w:spacing w:before="0" w:after="283"/>
              <w:jc w:val="left"/>
              <w:rPr/>
            </w:pPr>
            <w:r>
              <w:rPr/>
              <w:t> </w:t>
            </w:r>
          </w:p>
        </w:tc>
      </w:tr>
      <w:tr>
        <w:trPr/>
        <w:tc>
          <w:tcPr>
            <w:tcW w:w="2041" w:type="dxa"/>
            <w:tcBorders/>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Repurchase agreements</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w:t>
            </w:r>
          </w:p>
        </w:tc>
        <w:tc>
          <w:tcPr>
            <w:tcW w:w="1055" w:type="dxa"/>
            <w:tcBorders/>
            <w:vAlign w:val="bottom"/>
          </w:tcPr>
          <w:p>
            <w:pPr>
              <w:pStyle w:val="TableContents"/>
              <w:bidi w:val="0"/>
              <w:spacing w:before="0" w:after="283"/>
              <w:jc w:val="right"/>
              <w:rPr/>
            </w:pPr>
            <w:r>
              <w:rPr/>
              <w:t>(1,137,200</w:t>
            </w:r>
          </w:p>
        </w:tc>
        <w:tc>
          <w:tcPr>
            <w:tcW w:w="95" w:type="dxa"/>
            <w:tcBorders/>
            <w:vAlign w:val="bottom"/>
          </w:tcPr>
          <w:p>
            <w:pPr>
              <w:pStyle w:val="TableContents"/>
              <w:bidi w:val="0"/>
              <w:spacing w:before="0" w:after="283"/>
              <w:jc w:val="left"/>
              <w:rPr/>
            </w:pPr>
            <w:r>
              <w:rPr/>
              <w:t>)</w:t>
            </w:r>
          </w:p>
        </w:tc>
        <w:tc>
          <w:tcPr>
            <w:tcW w:w="60" w:type="dxa"/>
            <w:tcBorders/>
            <w:vAlign w:val="bottom"/>
          </w:tcPr>
          <w:p>
            <w:pPr>
              <w:pStyle w:val="TableContents"/>
              <w:bidi w:val="0"/>
              <w:spacing w:before="0" w:after="283"/>
              <w:jc w:val="right"/>
              <w:rPr/>
            </w:pPr>
            <w:r>
              <w:rPr/>
              <w:t> </w:t>
            </w:r>
          </w:p>
        </w:tc>
        <w:tc>
          <w:tcPr>
            <w:tcW w:w="210" w:type="dxa"/>
            <w:tcBorders/>
            <w:vAlign w:val="bottom"/>
          </w:tcPr>
          <w:p>
            <w:pPr>
              <w:pStyle w:val="TableContents"/>
              <w:bidi w:val="0"/>
              <w:spacing w:before="0" w:after="283"/>
              <w:jc w:val="left"/>
              <w:rPr/>
            </w:pPr>
            <w:r>
              <w:rPr/>
              <w:t>$</w:t>
            </w:r>
          </w:p>
        </w:tc>
        <w:tc>
          <w:tcPr>
            <w:tcW w:w="976" w:type="dxa"/>
            <w:tcBorders/>
            <w:vAlign w:val="bottom"/>
          </w:tcPr>
          <w:p>
            <w:pPr>
              <w:pStyle w:val="TableContents"/>
              <w:bidi w:val="0"/>
              <w:spacing w:before="0" w:after="283"/>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w:t>
            </w:r>
          </w:p>
        </w:tc>
        <w:tc>
          <w:tcPr>
            <w:tcW w:w="1173" w:type="dxa"/>
            <w:tcBorders/>
            <w:vAlign w:val="bottom"/>
          </w:tcPr>
          <w:p>
            <w:pPr>
              <w:pStyle w:val="TableContents"/>
              <w:bidi w:val="0"/>
              <w:spacing w:before="0" w:after="283"/>
              <w:jc w:val="right"/>
              <w:rPr/>
            </w:pPr>
            <w:r>
              <w:rPr/>
              <w:t>(1,137,200</w:t>
            </w:r>
          </w:p>
        </w:tc>
        <w:tc>
          <w:tcPr>
            <w:tcW w:w="95" w:type="dxa"/>
            <w:tcBorders/>
            <w:vAlign w:val="bottom"/>
          </w:tcPr>
          <w:p>
            <w:pPr>
              <w:pStyle w:val="TableContents"/>
              <w:bidi w:val="0"/>
              <w:spacing w:before="0" w:after="283"/>
              <w:jc w:val="left"/>
              <w:rPr/>
            </w:pPr>
            <w:r>
              <w:rPr/>
              <w:t>)</w:t>
            </w:r>
          </w:p>
        </w:tc>
        <w:tc>
          <w:tcPr>
            <w:tcW w:w="60" w:type="dxa"/>
            <w:tcBorders/>
            <w:vAlign w:val="bottom"/>
          </w:tcPr>
          <w:p>
            <w:pPr>
              <w:pStyle w:val="TableContents"/>
              <w:bidi w:val="0"/>
              <w:spacing w:before="0" w:after="283"/>
              <w:jc w:val="right"/>
              <w:rPr/>
            </w:pPr>
            <w:r>
              <w:rPr/>
              <w:t> </w:t>
            </w:r>
          </w:p>
        </w:tc>
        <w:tc>
          <w:tcPr>
            <w:tcW w:w="175" w:type="dxa"/>
            <w:tcBorders/>
            <w:vAlign w:val="bottom"/>
          </w:tcPr>
          <w:p>
            <w:pPr>
              <w:pStyle w:val="TableContents"/>
              <w:bidi w:val="0"/>
              <w:spacing w:before="0" w:after="283"/>
              <w:jc w:val="left"/>
              <w:rPr/>
            </w:pPr>
            <w:r>
              <w:rPr/>
              <w:t>$</w:t>
            </w:r>
          </w:p>
        </w:tc>
        <w:tc>
          <w:tcPr>
            <w:tcW w:w="1228" w:type="dxa"/>
            <w:tcBorders/>
            <w:vAlign w:val="bottom"/>
          </w:tcPr>
          <w:p>
            <w:pPr>
              <w:pStyle w:val="TableContents"/>
              <w:bidi w:val="0"/>
              <w:spacing w:before="0" w:after="283"/>
              <w:jc w:val="right"/>
              <w:rPr/>
            </w:pPr>
            <w:r>
              <w:rPr/>
              <w:t>1,137,200</w:t>
            </w:r>
          </w:p>
        </w:tc>
        <w:tc>
          <w:tcPr>
            <w:tcW w:w="10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right"/>
              <w:rPr/>
            </w:pPr>
            <w:r>
              <w:rPr/>
              <w:t> </w:t>
            </w:r>
          </w:p>
        </w:tc>
        <w:tc>
          <w:tcPr>
            <w:tcW w:w="186" w:type="dxa"/>
            <w:tcBorders/>
            <w:vAlign w:val="bottom"/>
          </w:tcPr>
          <w:p>
            <w:pPr>
              <w:pStyle w:val="TableContents"/>
              <w:bidi w:val="0"/>
              <w:spacing w:before="0" w:after="283"/>
              <w:jc w:val="left"/>
              <w:rPr/>
            </w:pPr>
            <w:r>
              <w:rPr/>
              <w:t>$</w:t>
            </w:r>
          </w:p>
        </w:tc>
        <w:tc>
          <w:tcPr>
            <w:tcW w:w="811" w:type="dxa"/>
            <w:tcBorders/>
            <w:vAlign w:val="bottom"/>
          </w:tcPr>
          <w:p>
            <w:pPr>
              <w:pStyle w:val="TableContents"/>
              <w:bidi w:val="0"/>
              <w:spacing w:before="0" w:after="283"/>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3" w:type="dxa"/>
            <w:tcBorders/>
            <w:vAlign w:val="bottom"/>
          </w:tcPr>
          <w:p>
            <w:pPr>
              <w:pStyle w:val="TableContents"/>
              <w:bidi w:val="0"/>
              <w:spacing w:before="0" w:after="283"/>
              <w:jc w:val="left"/>
              <w:rPr/>
            </w:pPr>
            <w:r>
              <w:rPr/>
              <w:t>$</w:t>
            </w:r>
          </w:p>
        </w:tc>
        <w:tc>
          <w:tcPr>
            <w:tcW w:w="773" w:type="dxa"/>
            <w:tcBorders/>
            <w:vAlign w:val="bottom"/>
          </w:tcPr>
          <w:p>
            <w:pPr>
              <w:pStyle w:val="TableContents"/>
              <w:bidi w:val="0"/>
              <w:spacing w:before="0" w:after="283"/>
              <w:jc w:val="right"/>
              <w:rPr/>
            </w:pPr>
            <w:r>
              <w:rPr/>
              <w:t>-</w:t>
            </w:r>
          </w:p>
        </w:tc>
        <w:tc>
          <w:tcPr>
            <w:tcW w:w="260" w:type="dxa"/>
            <w:tcBorders/>
            <w:vAlign w:val="bottom"/>
          </w:tcPr>
          <w:p>
            <w:pPr>
              <w:pStyle w:val="TableContents"/>
              <w:bidi w:val="0"/>
              <w:spacing w:before="0" w:after="283"/>
              <w:jc w:val="left"/>
              <w:rPr/>
            </w:pPr>
            <w:r>
              <w:rPr/>
              <w:t> </w:t>
            </w:r>
          </w:p>
        </w:tc>
      </w:tr>
      <w:tr>
        <w:trPr/>
        <w:tc>
          <w:tcPr>
            <w:tcW w:w="2041" w:type="dxa"/>
            <w:tcBorders/>
            <w:shd w:fill="CCEEFF" w:val="clear"/>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Interest rate swaps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(1,199</w:t>
            </w:r>
          </w:p>
        </w:tc>
        <w:tc>
          <w:tcPr>
            <w:tcW w:w="95" w:type="dxa"/>
            <w:tcBorders/>
            <w:shd w:fill="CCEEFF" w:val="clear"/>
            <w:vAlign w:val="bottom"/>
          </w:tcPr>
          <w:p>
            <w:pPr>
              <w:pStyle w:val="TableContents"/>
              <w:bidi w:val="0"/>
              <w:spacing w:before="0" w:after="283"/>
              <w:jc w:val="left"/>
              <w:rPr/>
            </w:pPr>
            <w:r>
              <w:rPr/>
              <w:t>)</w:t>
            </w:r>
          </w:p>
        </w:tc>
        <w:tc>
          <w:tcPr>
            <w:tcW w:w="60" w:type="dxa"/>
            <w:tcBorders/>
            <w:shd w:fill="CCEEFF" w:val="clear"/>
            <w:vAlign w:val="bottom"/>
          </w:tcPr>
          <w:p>
            <w:pPr>
              <w:pStyle w:val="TableContents"/>
              <w:bidi w:val="0"/>
              <w:spacing w:before="0" w:after="283"/>
              <w:jc w:val="right"/>
              <w:rPr/>
            </w:pPr>
            <w:r>
              <w:rPr/>
              <w:t> </w:t>
            </w:r>
          </w:p>
        </w:tc>
        <w:tc>
          <w:tcPr>
            <w:tcW w:w="210"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bidi w:val="0"/>
              <w:spacing w:before="0" w:after="283"/>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173" w:type="dxa"/>
            <w:tcBorders/>
            <w:shd w:fill="CCEEFF" w:val="clear"/>
            <w:vAlign w:val="bottom"/>
          </w:tcPr>
          <w:p>
            <w:pPr>
              <w:pStyle w:val="TableContents"/>
              <w:bidi w:val="0"/>
              <w:spacing w:before="0" w:after="283"/>
              <w:jc w:val="right"/>
              <w:rPr/>
            </w:pPr>
            <w:r>
              <w:rPr/>
              <w:t>(1,199</w:t>
            </w:r>
          </w:p>
        </w:tc>
        <w:tc>
          <w:tcPr>
            <w:tcW w:w="95" w:type="dxa"/>
            <w:tcBorders/>
            <w:shd w:fill="CCEEFF" w:val="clear"/>
            <w:vAlign w:val="bottom"/>
          </w:tcPr>
          <w:p>
            <w:pPr>
              <w:pStyle w:val="TableContents"/>
              <w:bidi w:val="0"/>
              <w:spacing w:before="0" w:after="283"/>
              <w:jc w:val="left"/>
              <w:rPr/>
            </w:pPr>
            <w:r>
              <w:rPr/>
              <w:t>)</w:t>
            </w:r>
          </w:p>
        </w:tc>
        <w:tc>
          <w:tcPr>
            <w:tcW w:w="60" w:type="dxa"/>
            <w:tcBorders/>
            <w:shd w:fill="CCEEFF" w:val="clear"/>
            <w:vAlign w:val="bottom"/>
          </w:tcPr>
          <w:p>
            <w:pPr>
              <w:pStyle w:val="TableContents"/>
              <w:bidi w:val="0"/>
              <w:spacing w:before="0" w:after="283"/>
              <w:jc w:val="right"/>
              <w:rPr/>
            </w:pPr>
            <w:r>
              <w:rPr/>
              <w:t> </w:t>
            </w:r>
          </w:p>
        </w:tc>
        <w:tc>
          <w:tcPr>
            <w:tcW w:w="175" w:type="dxa"/>
            <w:tcBorders/>
            <w:shd w:fill="CCEEFF" w:val="clear"/>
            <w:vAlign w:val="bottom"/>
          </w:tcPr>
          <w:p>
            <w:pPr>
              <w:pStyle w:val="TableContents"/>
              <w:bidi w:val="0"/>
              <w:spacing w:before="0" w:after="283"/>
              <w:jc w:val="left"/>
              <w:rPr/>
            </w:pPr>
            <w:r>
              <w:rPr/>
              <w:t> </w:t>
            </w:r>
          </w:p>
        </w:tc>
        <w:tc>
          <w:tcPr>
            <w:tcW w:w="1228" w:type="dxa"/>
            <w:tcBorders/>
            <w:shd w:fill="CCEEFF" w:val="clear"/>
            <w:vAlign w:val="bottom"/>
          </w:tcPr>
          <w:p>
            <w:pPr>
              <w:pStyle w:val="TableContents"/>
              <w:bidi w:val="0"/>
              <w:spacing w:before="0" w:after="283"/>
              <w:jc w:val="right"/>
              <w:rPr/>
            </w:pPr>
            <w:r>
              <w:rPr/>
              <w:t>1,199</w:t>
            </w:r>
          </w:p>
        </w:tc>
        <w:tc>
          <w:tcPr>
            <w:tcW w:w="10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right"/>
              <w:rPr/>
            </w:pPr>
            <w:r>
              <w:rPr/>
              <w:t> </w:t>
            </w:r>
          </w:p>
        </w:tc>
        <w:tc>
          <w:tcPr>
            <w:tcW w:w="186" w:type="dxa"/>
            <w:tcBorders/>
            <w:shd w:fill="CCEEFF" w:val="clear"/>
            <w:vAlign w:val="bottom"/>
          </w:tcPr>
          <w:p>
            <w:pPr>
              <w:pStyle w:val="TableContents"/>
              <w:bidi w:val="0"/>
              <w:spacing w:before="0" w:after="283"/>
              <w:jc w:val="left"/>
              <w:rPr/>
            </w:pPr>
            <w:r>
              <w:rPr/>
              <w:t> </w:t>
            </w:r>
          </w:p>
        </w:tc>
        <w:tc>
          <w:tcPr>
            <w:tcW w:w="811" w:type="dxa"/>
            <w:tcBorders/>
            <w:shd w:fill="CCEEFF" w:val="clear"/>
            <w:vAlign w:val="bottom"/>
          </w:tcPr>
          <w:p>
            <w:pPr>
              <w:pStyle w:val="TableContents"/>
              <w:bidi w:val="0"/>
              <w:spacing w:before="0" w:after="283"/>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3" w:type="dxa"/>
            <w:tcBorders/>
            <w:shd w:fill="CCEEFF" w:val="clear"/>
            <w:vAlign w:val="bottom"/>
          </w:tcPr>
          <w:p>
            <w:pPr>
              <w:pStyle w:val="TableContents"/>
              <w:bidi w:val="0"/>
              <w:spacing w:before="0" w:after="283"/>
              <w:jc w:val="left"/>
              <w:rPr/>
            </w:pPr>
            <w:r>
              <w:rPr/>
              <w:t> </w:t>
            </w:r>
          </w:p>
        </w:tc>
        <w:tc>
          <w:tcPr>
            <w:tcW w:w="773" w:type="dxa"/>
            <w:tcBorders/>
            <w:shd w:fill="CCEEFF" w:val="clear"/>
            <w:vAlign w:val="bottom"/>
          </w:tcPr>
          <w:p>
            <w:pPr>
              <w:pStyle w:val="TableContents"/>
              <w:bidi w:val="0"/>
              <w:spacing w:before="0" w:after="283"/>
              <w:jc w:val="right"/>
              <w:rPr/>
            </w:pPr>
            <w:r>
              <w:rPr/>
              <w:t>-</w:t>
            </w:r>
          </w:p>
        </w:tc>
        <w:tc>
          <w:tcPr>
            <w:tcW w:w="260" w:type="dxa"/>
            <w:tcBorders/>
            <w:shd w:fill="CCEEFF" w:val="clear"/>
            <w:vAlign w:val="bottom"/>
          </w:tcPr>
          <w:p>
            <w:pPr>
              <w:pStyle w:val="TableContents"/>
              <w:bidi w:val="0"/>
              <w:spacing w:before="0" w:after="283"/>
              <w:jc w:val="left"/>
              <w:rPr/>
            </w:pPr>
            <w:r>
              <w:rPr/>
              <w:t> </w:t>
            </w:r>
          </w:p>
        </w:tc>
      </w:tr>
      <w:tr>
        <w:trPr/>
        <w:tc>
          <w:tcPr>
            <w:tcW w:w="2041" w:type="dxa"/>
            <w:tcBorders/>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TBAs</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55" w:type="dxa"/>
            <w:tcBorders>
              <w:bottom w:val="single" w:sz="12" w:space="0" w:color="000000"/>
            </w:tcBorders>
            <w:tcMar>
              <w:bottom w:w="28" w:type="dxa"/>
            </w:tcMar>
            <w:vAlign w:val="bottom"/>
          </w:tcPr>
          <w:p>
            <w:pPr>
              <w:pStyle w:val="TableContents"/>
              <w:bidi w:val="0"/>
              <w:spacing w:before="0" w:after="283"/>
              <w:jc w:val="right"/>
              <w:rPr/>
            </w:pPr>
            <w:r>
              <w:rPr/>
              <w:t>(1,726</w:t>
            </w:r>
          </w:p>
        </w:tc>
        <w:tc>
          <w:tcPr>
            <w:tcW w:w="95" w:type="dxa"/>
            <w:tcBorders/>
            <w:vAlign w:val="bottom"/>
          </w:tcPr>
          <w:p>
            <w:pPr>
              <w:pStyle w:val="TableContents"/>
              <w:bidi w:val="0"/>
              <w:spacing w:before="0" w:after="283"/>
              <w:jc w:val="left"/>
              <w:rPr/>
            </w:pPr>
            <w:r>
              <w:rPr/>
              <w:t>)</w:t>
            </w:r>
          </w:p>
        </w:tc>
        <w:tc>
          <w:tcPr>
            <w:tcW w:w="60" w:type="dxa"/>
            <w:tcBorders/>
            <w:vAlign w:val="bottom"/>
          </w:tcPr>
          <w:p>
            <w:pPr>
              <w:pStyle w:val="TableContents"/>
              <w:bidi w:val="0"/>
              <w:spacing w:before="0" w:after="283"/>
              <w:jc w:val="right"/>
              <w:rPr/>
            </w:pPr>
            <w:r>
              <w:rPr/>
              <w:t> </w:t>
            </w:r>
          </w:p>
        </w:tc>
        <w:tc>
          <w:tcPr>
            <w:tcW w:w="210" w:type="dxa"/>
            <w:tcBorders>
              <w:bottom w:val="single" w:sz="12" w:space="0" w:color="000000"/>
            </w:tcBorders>
            <w:tcMar>
              <w:bottom w:w="28" w:type="dxa"/>
            </w:tcMar>
            <w:vAlign w:val="bottom"/>
          </w:tcPr>
          <w:p>
            <w:pPr>
              <w:pStyle w:val="TableContents"/>
              <w:bidi w:val="0"/>
              <w:spacing w:before="0" w:after="283"/>
              <w:jc w:val="left"/>
              <w:rPr/>
            </w:pPr>
            <w:r>
              <w:rPr/>
              <w:t> </w:t>
            </w:r>
          </w:p>
        </w:tc>
        <w:tc>
          <w:tcPr>
            <w:tcW w:w="976" w:type="dxa"/>
            <w:tcBorders>
              <w:bottom w:val="single" w:sz="12" w:space="0" w:color="000000"/>
            </w:tcBorders>
            <w:tcMar>
              <w:bottom w:w="28" w:type="dxa"/>
            </w:tcMar>
            <w:vAlign w:val="bottom"/>
          </w:tcPr>
          <w:p>
            <w:pPr>
              <w:pStyle w:val="TableContents"/>
              <w:bidi w:val="0"/>
              <w:spacing w:before="0" w:after="283"/>
              <w:jc w:val="right"/>
              <w:rPr/>
            </w:pPr>
            <w:r>
              <w:rPr/>
              <w:t>650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5" w:type="dxa"/>
            <w:tcBorders>
              <w:bottom w:val="single" w:sz="12" w:space="0" w:color="000000"/>
            </w:tcBorders>
            <w:tcMar>
              <w:bottom w:w="28" w:type="dxa"/>
            </w:tcMar>
            <w:vAlign w:val="bottom"/>
          </w:tcPr>
          <w:p>
            <w:pPr>
              <w:pStyle w:val="TableContents"/>
              <w:bidi w:val="0"/>
              <w:spacing w:before="0" w:after="283"/>
              <w:jc w:val="left"/>
              <w:rPr/>
            </w:pPr>
            <w:r>
              <w:rPr/>
              <w:t> </w:t>
            </w:r>
          </w:p>
        </w:tc>
        <w:tc>
          <w:tcPr>
            <w:tcW w:w="1173" w:type="dxa"/>
            <w:tcBorders>
              <w:bottom w:val="single" w:sz="12" w:space="0" w:color="000000"/>
            </w:tcBorders>
            <w:tcMar>
              <w:bottom w:w="28" w:type="dxa"/>
            </w:tcMar>
            <w:vAlign w:val="bottom"/>
          </w:tcPr>
          <w:p>
            <w:pPr>
              <w:pStyle w:val="TableContents"/>
              <w:bidi w:val="0"/>
              <w:spacing w:before="0" w:after="283"/>
              <w:jc w:val="right"/>
              <w:rPr/>
            </w:pPr>
            <w:r>
              <w:rPr/>
              <w:t>(1,076</w:t>
            </w:r>
          </w:p>
        </w:tc>
        <w:tc>
          <w:tcPr>
            <w:tcW w:w="95" w:type="dxa"/>
            <w:tcBorders/>
            <w:vAlign w:val="bottom"/>
          </w:tcPr>
          <w:p>
            <w:pPr>
              <w:pStyle w:val="TableContents"/>
              <w:bidi w:val="0"/>
              <w:spacing w:before="0" w:after="283"/>
              <w:jc w:val="left"/>
              <w:rPr/>
            </w:pPr>
            <w:r>
              <w:rPr/>
              <w:t>)</w:t>
            </w:r>
          </w:p>
        </w:tc>
        <w:tc>
          <w:tcPr>
            <w:tcW w:w="60" w:type="dxa"/>
            <w:tcBorders/>
            <w:vAlign w:val="bottom"/>
          </w:tcPr>
          <w:p>
            <w:pPr>
              <w:pStyle w:val="TableContents"/>
              <w:bidi w:val="0"/>
              <w:spacing w:before="0" w:after="283"/>
              <w:jc w:val="right"/>
              <w:rPr/>
            </w:pPr>
            <w:r>
              <w:rPr/>
              <w:t> </w:t>
            </w:r>
          </w:p>
        </w:tc>
        <w:tc>
          <w:tcPr>
            <w:tcW w:w="175" w:type="dxa"/>
            <w:tcBorders>
              <w:bottom w:val="single" w:sz="12" w:space="0" w:color="000000"/>
            </w:tcBorders>
            <w:tcMar>
              <w:bottom w:w="28" w:type="dxa"/>
            </w:tcMar>
            <w:vAlign w:val="bottom"/>
          </w:tcPr>
          <w:p>
            <w:pPr>
              <w:pStyle w:val="TableContents"/>
              <w:bidi w:val="0"/>
              <w:spacing w:before="0" w:after="283"/>
              <w:jc w:val="left"/>
              <w:rPr/>
            </w:pPr>
            <w:r>
              <w:rPr/>
              <w:t> </w:t>
            </w:r>
          </w:p>
        </w:tc>
        <w:tc>
          <w:tcPr>
            <w:tcW w:w="1228" w:type="dxa"/>
            <w:tcBorders>
              <w:bottom w:val="single" w:sz="12" w:space="0" w:color="000000"/>
            </w:tcBorders>
            <w:tcMar>
              <w:bottom w:w="28" w:type="dxa"/>
            </w:tcMar>
            <w:vAlign w:val="bottom"/>
          </w:tcPr>
          <w:p>
            <w:pPr>
              <w:pStyle w:val="TableContents"/>
              <w:bidi w:val="0"/>
              <w:spacing w:before="0" w:after="283"/>
              <w:jc w:val="right"/>
              <w:rPr/>
            </w:pPr>
            <w:r>
              <w:rPr/>
              <w:t>-</w:t>
            </w:r>
          </w:p>
        </w:tc>
        <w:tc>
          <w:tcPr>
            <w:tcW w:w="10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right"/>
              <w:rPr/>
            </w:pPr>
            <w:r>
              <w:rPr/>
              <w:t> </w:t>
            </w:r>
          </w:p>
        </w:tc>
        <w:tc>
          <w:tcPr>
            <w:tcW w:w="186" w:type="dxa"/>
            <w:tcBorders>
              <w:bottom w:val="single" w:sz="12" w:space="0" w:color="000000"/>
            </w:tcBorders>
            <w:tcMar>
              <w:bottom w:w="28" w:type="dxa"/>
            </w:tcMar>
            <w:vAlign w:val="bottom"/>
          </w:tcPr>
          <w:p>
            <w:pPr>
              <w:pStyle w:val="TableContents"/>
              <w:bidi w:val="0"/>
              <w:spacing w:before="0" w:after="283"/>
              <w:jc w:val="left"/>
              <w:rPr/>
            </w:pPr>
            <w:r>
              <w:rPr/>
              <w:t> </w:t>
            </w:r>
          </w:p>
        </w:tc>
        <w:tc>
          <w:tcPr>
            <w:tcW w:w="811" w:type="dxa"/>
            <w:tcBorders>
              <w:bottom w:val="single" w:sz="12" w:space="0" w:color="000000"/>
            </w:tcBorders>
            <w:tcMar>
              <w:bottom w:w="28" w:type="dxa"/>
            </w:tcMar>
            <w:vAlign w:val="bottom"/>
          </w:tcPr>
          <w:p>
            <w:pPr>
              <w:pStyle w:val="TableContents"/>
              <w:bidi w:val="0"/>
              <w:spacing w:before="0" w:after="283"/>
              <w:jc w:val="right"/>
              <w:rPr/>
            </w:pPr>
            <w:r>
              <w:rPr/>
              <w:t>312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3" w:type="dxa"/>
            <w:tcBorders>
              <w:bottom w:val="single" w:sz="12" w:space="0" w:color="000000"/>
            </w:tcBorders>
            <w:tcMar>
              <w:bottom w:w="28" w:type="dxa"/>
            </w:tcMar>
            <w:vAlign w:val="bottom"/>
          </w:tcPr>
          <w:p>
            <w:pPr>
              <w:pStyle w:val="TableContents"/>
              <w:bidi w:val="0"/>
              <w:spacing w:before="0" w:after="283"/>
              <w:jc w:val="left"/>
              <w:rPr/>
            </w:pPr>
            <w:r>
              <w:rPr/>
              <w:t> </w:t>
            </w:r>
          </w:p>
        </w:tc>
        <w:tc>
          <w:tcPr>
            <w:tcW w:w="773" w:type="dxa"/>
            <w:tcBorders>
              <w:bottom w:val="single" w:sz="12" w:space="0" w:color="000000"/>
            </w:tcBorders>
            <w:tcMar>
              <w:bottom w:w="28" w:type="dxa"/>
            </w:tcMar>
            <w:vAlign w:val="bottom"/>
          </w:tcPr>
          <w:p>
            <w:pPr>
              <w:pStyle w:val="TableContents"/>
              <w:bidi w:val="0"/>
              <w:spacing w:before="0" w:after="283"/>
              <w:jc w:val="right"/>
              <w:rPr/>
            </w:pPr>
            <w:r>
              <w:rPr/>
              <w:t>(764</w:t>
            </w:r>
          </w:p>
        </w:tc>
        <w:tc>
          <w:tcPr>
            <w:tcW w:w="260" w:type="dxa"/>
            <w:tcBorders/>
            <w:vAlign w:val="bottom"/>
          </w:tcPr>
          <w:p>
            <w:pPr>
              <w:pStyle w:val="TableContents"/>
              <w:bidi w:val="0"/>
              <w:spacing w:before="0" w:after="283"/>
              <w:jc w:val="left"/>
              <w:rPr/>
            </w:pPr>
            <w:r>
              <w:rPr/>
              <w:t>)</w:t>
            </w:r>
          </w:p>
        </w:tc>
      </w:tr>
      <w:tr>
        <w:trPr/>
        <w:tc>
          <w:tcPr>
            <w:tcW w:w="2041"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Liabilities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1055" w:type="dxa"/>
            <w:tcBorders/>
            <w:shd w:fill="CCEEFF" w:val="clear"/>
            <w:vAlign w:val="bottom"/>
          </w:tcPr>
          <w:p>
            <w:pPr>
              <w:pStyle w:val="TableContents"/>
              <w:bidi w:val="0"/>
              <w:spacing w:before="0" w:after="283"/>
              <w:jc w:val="right"/>
              <w:rPr>
                <w:b/>
              </w:rPr>
            </w:pPr>
            <w:r>
              <w:rPr>
                <w:b/>
              </w:rPr>
              <w:t>(1,140,125</w:t>
            </w:r>
          </w:p>
        </w:tc>
        <w:tc>
          <w:tcPr>
            <w:tcW w:w="95" w:type="dxa"/>
            <w:tcBorders/>
            <w:shd w:fill="CCEEFF" w:val="clear"/>
            <w:vAlign w:val="bottom"/>
          </w:tcPr>
          <w:p>
            <w:pPr>
              <w:pStyle w:val="TableContents"/>
              <w:bidi w:val="0"/>
              <w:spacing w:before="0" w:after="283"/>
              <w:jc w:val="left"/>
              <w:rPr>
                <w:b/>
              </w:rPr>
            </w:pPr>
            <w:r>
              <w:rPr>
                <w:b/>
              </w:rPr>
              <w:t>)</w:t>
            </w:r>
          </w:p>
        </w:tc>
        <w:tc>
          <w:tcPr>
            <w:tcW w:w="60" w:type="dxa"/>
            <w:tcBorders/>
            <w:shd w:fill="CCEEFF" w:val="clear"/>
            <w:vAlign w:val="bottom"/>
          </w:tcPr>
          <w:p>
            <w:pPr>
              <w:pStyle w:val="TableContents"/>
              <w:bidi w:val="0"/>
              <w:spacing w:before="0" w:after="283"/>
              <w:jc w:val="right"/>
              <w:rPr/>
            </w:pPr>
            <w:r>
              <w:rPr/>
              <w:t> </w:t>
            </w:r>
          </w:p>
        </w:tc>
        <w:tc>
          <w:tcPr>
            <w:tcW w:w="210" w:type="dxa"/>
            <w:tcBorders/>
            <w:shd w:fill="CCEEFF" w:val="clear"/>
            <w:vAlign w:val="bottom"/>
          </w:tcPr>
          <w:p>
            <w:pPr>
              <w:pStyle w:val="TableContents"/>
              <w:bidi w:val="0"/>
              <w:spacing w:before="0" w:after="283"/>
              <w:jc w:val="left"/>
              <w:rPr>
                <w:b/>
              </w:rPr>
            </w:pPr>
            <w:r>
              <w:rPr>
                <w:b/>
              </w:rPr>
              <w:t>$</w:t>
            </w:r>
          </w:p>
        </w:tc>
        <w:tc>
          <w:tcPr>
            <w:tcW w:w="976" w:type="dxa"/>
            <w:tcBorders/>
            <w:shd w:fill="CCEEFF" w:val="clear"/>
            <w:vAlign w:val="bottom"/>
          </w:tcPr>
          <w:p>
            <w:pPr>
              <w:pStyle w:val="TableContents"/>
              <w:bidi w:val="0"/>
              <w:spacing w:before="0" w:after="283"/>
              <w:jc w:val="right"/>
              <w:rPr>
                <w:b/>
              </w:rPr>
            </w:pPr>
            <w:r>
              <w:rPr>
                <w:b/>
              </w:rPr>
              <w:t>650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b/>
              </w:rPr>
            </w:pPr>
            <w:r>
              <w:rPr>
                <w:b/>
              </w:rPr>
              <w:t>$</w:t>
            </w:r>
          </w:p>
        </w:tc>
        <w:tc>
          <w:tcPr>
            <w:tcW w:w="1173" w:type="dxa"/>
            <w:tcBorders/>
            <w:shd w:fill="CCEEFF" w:val="clear"/>
            <w:vAlign w:val="bottom"/>
          </w:tcPr>
          <w:p>
            <w:pPr>
              <w:pStyle w:val="TableContents"/>
              <w:bidi w:val="0"/>
              <w:spacing w:before="0" w:after="283"/>
              <w:jc w:val="right"/>
              <w:rPr>
                <w:b/>
              </w:rPr>
            </w:pPr>
            <w:r>
              <w:rPr>
                <w:b/>
              </w:rPr>
              <w:t>(1,139,475</w:t>
            </w:r>
          </w:p>
        </w:tc>
        <w:tc>
          <w:tcPr>
            <w:tcW w:w="95" w:type="dxa"/>
            <w:tcBorders/>
            <w:shd w:fill="CCEEFF" w:val="clear"/>
            <w:vAlign w:val="bottom"/>
          </w:tcPr>
          <w:p>
            <w:pPr>
              <w:pStyle w:val="TableContents"/>
              <w:bidi w:val="0"/>
              <w:spacing w:before="0" w:after="283"/>
              <w:jc w:val="left"/>
              <w:rPr>
                <w:b/>
              </w:rPr>
            </w:pPr>
            <w:r>
              <w:rPr>
                <w:b/>
              </w:rPr>
              <w:t>)</w:t>
            </w:r>
          </w:p>
        </w:tc>
        <w:tc>
          <w:tcPr>
            <w:tcW w:w="60" w:type="dxa"/>
            <w:tcBorders/>
            <w:shd w:fill="CCEEFF" w:val="clear"/>
            <w:vAlign w:val="bottom"/>
          </w:tcPr>
          <w:p>
            <w:pPr>
              <w:pStyle w:val="TableContents"/>
              <w:bidi w:val="0"/>
              <w:spacing w:before="0" w:after="283"/>
              <w:jc w:val="right"/>
              <w:rPr/>
            </w:pPr>
            <w:r>
              <w:rPr/>
              <w:t> </w:t>
            </w:r>
          </w:p>
        </w:tc>
        <w:tc>
          <w:tcPr>
            <w:tcW w:w="175" w:type="dxa"/>
            <w:tcBorders/>
            <w:shd w:fill="CCEEFF" w:val="clear"/>
            <w:vAlign w:val="bottom"/>
          </w:tcPr>
          <w:p>
            <w:pPr>
              <w:pStyle w:val="TableContents"/>
              <w:bidi w:val="0"/>
              <w:spacing w:before="0" w:after="283"/>
              <w:jc w:val="left"/>
              <w:rPr>
                <w:b/>
              </w:rPr>
            </w:pPr>
            <w:r>
              <w:rPr>
                <w:b/>
              </w:rPr>
              <w:t>$</w:t>
            </w:r>
          </w:p>
        </w:tc>
        <w:tc>
          <w:tcPr>
            <w:tcW w:w="1228" w:type="dxa"/>
            <w:tcBorders/>
            <w:shd w:fill="CCEEFF" w:val="clear"/>
            <w:vAlign w:val="bottom"/>
          </w:tcPr>
          <w:p>
            <w:pPr>
              <w:pStyle w:val="TableContents"/>
              <w:bidi w:val="0"/>
              <w:spacing w:before="0" w:after="283"/>
              <w:jc w:val="right"/>
              <w:rPr>
                <w:b/>
              </w:rPr>
            </w:pPr>
            <w:r>
              <w:rPr>
                <w:b/>
              </w:rPr>
              <w:t>1,138,399</w:t>
            </w:r>
          </w:p>
        </w:tc>
        <w:tc>
          <w:tcPr>
            <w:tcW w:w="10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right"/>
              <w:rPr/>
            </w:pPr>
            <w:r>
              <w:rPr/>
              <w:t> </w:t>
            </w:r>
          </w:p>
        </w:tc>
        <w:tc>
          <w:tcPr>
            <w:tcW w:w="186" w:type="dxa"/>
            <w:tcBorders/>
            <w:shd w:fill="CCEEFF" w:val="clear"/>
            <w:vAlign w:val="bottom"/>
          </w:tcPr>
          <w:p>
            <w:pPr>
              <w:pStyle w:val="TableContents"/>
              <w:bidi w:val="0"/>
              <w:spacing w:before="0" w:after="283"/>
              <w:jc w:val="left"/>
              <w:rPr>
                <w:b/>
              </w:rPr>
            </w:pPr>
            <w:r>
              <w:rPr>
                <w:b/>
              </w:rPr>
              <w:t>$</w:t>
            </w:r>
          </w:p>
        </w:tc>
        <w:tc>
          <w:tcPr>
            <w:tcW w:w="811" w:type="dxa"/>
            <w:tcBorders/>
            <w:shd w:fill="CCEEFF" w:val="clear"/>
            <w:vAlign w:val="bottom"/>
          </w:tcPr>
          <w:p>
            <w:pPr>
              <w:pStyle w:val="TableContents"/>
              <w:bidi w:val="0"/>
              <w:spacing w:before="0" w:after="283"/>
              <w:jc w:val="right"/>
              <w:rPr>
                <w:b/>
              </w:rPr>
            </w:pPr>
            <w:r>
              <w:rPr>
                <w:b/>
              </w:rPr>
              <w:t>312</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3" w:type="dxa"/>
            <w:tcBorders/>
            <w:shd w:fill="CCEEFF" w:val="clear"/>
            <w:vAlign w:val="bottom"/>
          </w:tcPr>
          <w:p>
            <w:pPr>
              <w:pStyle w:val="TableContents"/>
              <w:bidi w:val="0"/>
              <w:spacing w:before="0" w:after="283"/>
              <w:jc w:val="left"/>
              <w:rPr>
                <w:b/>
              </w:rPr>
            </w:pPr>
            <w:r>
              <w:rPr>
                <w:b/>
              </w:rPr>
              <w:t>$</w:t>
            </w:r>
          </w:p>
        </w:tc>
        <w:tc>
          <w:tcPr>
            <w:tcW w:w="773" w:type="dxa"/>
            <w:tcBorders/>
            <w:shd w:fill="CCEEFF" w:val="clear"/>
            <w:vAlign w:val="bottom"/>
          </w:tcPr>
          <w:p>
            <w:pPr>
              <w:pStyle w:val="TableContents"/>
              <w:bidi w:val="0"/>
              <w:spacing w:before="0" w:after="283"/>
              <w:jc w:val="right"/>
              <w:rPr>
                <w:b/>
              </w:rPr>
            </w:pPr>
            <w:r>
              <w:rPr>
                <w:b/>
              </w:rPr>
              <w:t>(764</w:t>
            </w:r>
          </w:p>
        </w:tc>
        <w:tc>
          <w:tcPr>
            <w:tcW w:w="260" w:type="dxa"/>
            <w:tcBorders/>
            <w:shd w:fill="CCEEFF" w:val="clear"/>
            <w:vAlign w:val="bottom"/>
          </w:tcPr>
          <w:p>
            <w:pPr>
              <w:pStyle w:val="TableContents"/>
              <w:bidi w:val="0"/>
              <w:spacing w:before="0" w:after="283"/>
              <w:jc w:val="left"/>
              <w:rPr>
                <w:b/>
              </w:rPr>
            </w:pPr>
            <w:r>
              <w:rPr>
                <w:b/>
              </w:rPr>
              <w:t>)</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239"/>
        <w:gridCol w:w="9966"/>
      </w:tblGrid>
      <w:tr>
        <w:trPr/>
        <w:tc>
          <w:tcPr>
            <w:tcW w:w="239"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w:t>
            </w:r>
          </w:p>
        </w:tc>
        <w:tc>
          <w:tcPr>
            <w:tcW w:w="9966"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Includes cash pledged / received as collateral. Amounts presented are limited to collateral pledged sufficient to reduce the net amount to zero for individual counterparties, as applicable. Excess cash collateral or financial assets that are pledged to counterparties may exceed the financial liabilities subject to a master netting arrangement or similar agreement, or counterparties may have pledged excess cash collateral to the Company that exceed the corresponding financial assets. These excess amounts are excluded from the table above, although separately reported within restricted cash or accrued expenses and other liabilities in the Company’s consolidated balance sheets.</w:t>
            </w:r>
          </w:p>
        </w:tc>
      </w:tr>
    </w:tbl>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Note 8 — Fair Value</w:t>
      </w:r>
    </w:p>
    <w:p>
      <w:pPr>
        <w:pStyle w:val="TextBody"/>
        <w:bidi w:val="0"/>
        <w:spacing w:before="0" w:after="0"/>
        <w:jc w:val="both"/>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Fair Value Measurements</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ASC 820 defines fair value as the price that would be received to sell an asset or paid to transfer a liability in an orderly transaction between market participants at the measurement date. ASC 820 clarifies that fair value should be based on the assumptions market participants would use when pricing an asset or liability and establishes a fair value hierarchy that prioritizes the information used to develop those assumptions. The fair value hierarchy gives the highest priority to quoted prices available in active markets (i.e., observable inputs) and the lowest priority to data lacking transparency (i.e., unobservable inputs). Additionally, ASC 820 requires an entity to consider all aspects of nonperformance risk, including the entity’s own credit standing, when measuring the fair value of a liability.</w:t>
      </w:r>
    </w:p>
    <w:p>
      <w:pPr>
        <w:pStyle w:val="TextBody"/>
        <w:bidi w:val="0"/>
        <w:spacing w:before="0" w:after="0"/>
        <w:jc w:val="both"/>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ASC 820 establishes a three-level hierarchy to be used when measuring and disclosing fair value. An instrument’s categorization within the fair value hierarchy is based on the lowest level of significant input to its valuation. Following is a description of the three levels:</w:t>
      </w:r>
    </w:p>
    <w:p>
      <w:pPr>
        <w:pStyle w:val="TextBody"/>
        <w:bidi w:val="0"/>
        <w:spacing w:before="0" w:after="0"/>
        <w:jc w:val="both"/>
        <w:rPr/>
      </w:pPr>
      <w:r>
        <w:rPr/>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0"/>
              <w:ind w:left="0" w:right="0" w:firstLine="540"/>
              <w:jc w:val="both"/>
              <w:rPr>
                <w:rFonts w:ascii="Times New Roman" w:hAnsi="Times New Roman"/>
                <w:sz w:val="20"/>
              </w:rPr>
            </w:pPr>
            <w:r>
              <w:rPr>
                <w:rFonts w:ascii="Times New Roman" w:hAnsi="Times New Roman"/>
                <w:sz w:val="20"/>
              </w:rPr>
              <w:t>Level 1 inputs are quoted prices in active markets for identical assets or liabilities as of the measurement date under current market conditions. Additionally, the entity must have the ability to access the active market and the quoted prices cannot be adjusted by the entity.</w:t>
            </w:r>
          </w:p>
        </w:tc>
      </w:tr>
    </w:tbl>
    <w:p>
      <w:pPr>
        <w:pStyle w:val="TextBody"/>
        <w:bidi w:val="0"/>
        <w:spacing w:before="0" w:after="0"/>
        <w:ind w:left="0" w:right="0" w:firstLine="720"/>
        <w:jc w:val="left"/>
        <w:rPr/>
      </w:pPr>
      <w:r>
        <w:rPr/>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0"/>
              <w:ind w:left="0" w:right="0" w:firstLine="540"/>
              <w:jc w:val="both"/>
              <w:rPr>
                <w:rFonts w:ascii="Times New Roman" w:hAnsi="Times New Roman"/>
                <w:sz w:val="20"/>
              </w:rPr>
            </w:pPr>
            <w:r>
              <w:rPr>
                <w:rFonts w:ascii="Times New Roman" w:hAnsi="Times New Roman"/>
                <w:sz w:val="20"/>
              </w:rPr>
              <w:t>Level 2 inputs include quoted prices in active markets for similar assets or liabilities; quoted prices in inactive markets for identical or similar assets or liabilities; or inputs that are observable or can be corroborated by observable market data by correlation or other means for substantially the full-term of the assets or liabilities.</w:t>
            </w:r>
          </w:p>
        </w:tc>
      </w:tr>
    </w:tbl>
    <w:p>
      <w:pPr>
        <w:pStyle w:val="TextBody"/>
        <w:bidi w:val="0"/>
        <w:spacing w:before="0" w:after="0"/>
        <w:ind w:left="0" w:right="0" w:firstLine="720"/>
        <w:jc w:val="left"/>
        <w:rPr/>
      </w:pPr>
      <w:r>
        <w:rPr/>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0"/>
              <w:ind w:left="0" w:right="0" w:firstLine="540"/>
              <w:jc w:val="both"/>
              <w:rPr>
                <w:rFonts w:ascii="Times New Roman" w:hAnsi="Times New Roman"/>
                <w:sz w:val="20"/>
              </w:rPr>
            </w:pPr>
            <w:r>
              <w:rPr>
                <w:rFonts w:ascii="Times New Roman" w:hAnsi="Times New Roman"/>
                <w:sz w:val="20"/>
              </w:rPr>
              <w:t>Level 3 unobservable inputs are supported by little or no market activity. The unobservable inputs represent the assumptions that management believes market participants would use to price the assets and liabilities, including risk. Generally, Level 3 assets and liabilities are valued using pricing models, discounted cash flow methodologies, or similar techniques that require significant judgment or estimation.</w:t>
            </w:r>
          </w:p>
        </w:tc>
      </w:tr>
    </w:tbl>
    <w:p>
      <w:pPr>
        <w:pStyle w:val="TextBody"/>
        <w:bidi w:val="0"/>
        <w:spacing w:before="0" w:after="0"/>
        <w:ind w:left="0" w:right="0" w:firstLine="720"/>
        <w:jc w:val="both"/>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36</w:t>
      </w:r>
    </w:p>
    <w:p>
      <w:pPr>
        <w:pStyle w:val="HorizontalLine"/>
        <w:bidi w:val="0"/>
        <w:spacing w:before="200" w:after="200"/>
        <w:jc w:val="both"/>
        <w:rPr/>
      </w:pPr>
      <w:r>
        <w:rPr/>
      </w:r>
    </w:p>
    <w:p>
      <w:pPr>
        <w:pStyle w:val="TextBody"/>
        <w:bidi w:val="0"/>
        <w:spacing w:before="200" w:after="200"/>
        <w:jc w:val="both"/>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Recurring Fair Value Measurements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following is a description of the methods used to estimate the fair values of the Company’s assets and liabilities measured at fair value on a recurring basis, as well as the basis for classifying these assets and liabilities as Level 1, 2 or 3 within the fair value hierarchy. The Company’s valuations consider assumptions that it believes a market participant would consider in valuing the assets and liabilities, the most significant of which are disclosed below. The Company reassesses and periodically adjusts the underlying inputs and assumptions used in the valuations for recent historical experience, as well as for current and expected relevant market conditions.</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u w:val="single"/>
          <w:shd w:fill="FFFFFF" w:val="clear"/>
        </w:rPr>
      </w:pPr>
      <w:r>
        <w:rPr>
          <w:rFonts w:ascii="Times New Roman" w:hAnsi="Times New Roman"/>
          <w:color w:val="000000"/>
          <w:sz w:val="20"/>
          <w:u w:val="single"/>
          <w:shd w:fill="FFFFFF" w:val="clear"/>
        </w:rPr>
        <w:t>RMBS</w:t>
      </w:r>
    </w:p>
    <w:p>
      <w:pPr>
        <w:pStyle w:val="TextBody"/>
        <w:bidi w:val="0"/>
        <w:spacing w:before="0" w:after="0"/>
        <w:jc w:val="left"/>
        <w:rPr>
          <w:sz w:val="20"/>
        </w:rPr>
      </w:pPr>
      <w:r>
        <w:rPr>
          <w:sz w:val="20"/>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The Company holds a portfolio of RMBS that are carried at fair value in the consolidated balance sheets. The Company determines the fair value of its RMBS based upon prices obtained from third-party pricing providers. The third-party pricing providers develop their pricing based on transaction prices of recent trades for similar financial instruments. If recent trades for similar financial instruments are unavailable, the third-party pricing providers use cash flow or other pricing models, which utilize observable inputs. As a result, the Company classified 100% of its RMBS as Level 2 fair value assets at June 30, 2026 and December 31, 2025.</w:t>
      </w:r>
    </w:p>
    <w:p>
      <w:pPr>
        <w:pStyle w:val="TextBody"/>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r>
    </w:p>
    <w:p>
      <w:pPr>
        <w:pStyle w:val="TextBody"/>
        <w:bidi w:val="0"/>
        <w:spacing w:before="0" w:after="0"/>
        <w:jc w:val="left"/>
        <w:rPr>
          <w:rFonts w:ascii="Times New Roman" w:hAnsi="Times New Roman"/>
          <w:color w:val="000000"/>
          <w:sz w:val="20"/>
          <w:u w:val="single"/>
          <w:shd w:fill="FFFFFF" w:val="clear"/>
        </w:rPr>
      </w:pPr>
      <w:r>
        <w:rPr>
          <w:rFonts w:ascii="Times New Roman" w:hAnsi="Times New Roman"/>
          <w:color w:val="000000"/>
          <w:sz w:val="20"/>
          <w:u w:val="single"/>
          <w:shd w:fill="FFFFFF" w:val="clear"/>
        </w:rPr>
        <w:t>MSRs</w:t>
      </w:r>
    </w:p>
    <w:p>
      <w:pPr>
        <w:pStyle w:val="TextBody"/>
        <w:bidi w:val="0"/>
        <w:spacing w:before="0" w:after="0"/>
        <w:jc w:val="left"/>
        <w:rPr>
          <w:sz w:val="20"/>
        </w:rPr>
      </w:pPr>
      <w:r>
        <w:rPr>
          <w:sz w:val="20"/>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Company, through its subsidiary Aurora, holds a portfolio of MSRs that are reported at fair value in the consolidated balance sheets. The Company uses a discounted cash flow model to estimate the fair value of these assets. Although MSR transactions are observable in the marketplace, the valuation includes unobservable market data inputs (prepayment speeds, costs to service and discount rates). As a result, the Company classified 100% of its MSRs as Level 3 fair value assets at June 30, 2026 and December 31, 2025.</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u w:val="single"/>
          <w:shd w:fill="FFFFFF" w:val="clear"/>
        </w:rPr>
      </w:pPr>
      <w:r>
        <w:rPr>
          <w:rFonts w:ascii="Times New Roman" w:hAnsi="Times New Roman"/>
          <w:color w:val="000000"/>
          <w:sz w:val="20"/>
          <w:u w:val="single"/>
          <w:shd w:fill="FFFFFF" w:val="clear"/>
        </w:rPr>
        <w:t>Derivative Instruments</w:t>
      </w:r>
    </w:p>
    <w:p>
      <w:pPr>
        <w:pStyle w:val="TextBody"/>
        <w:bidi w:val="0"/>
        <w:spacing w:before="0" w:after="0"/>
        <w:jc w:val="left"/>
        <w:rPr>
          <w:sz w:val="20"/>
        </w:rPr>
      </w:pPr>
      <w:r>
        <w:rPr>
          <w:sz w:val="20"/>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 xml:space="preserve">The Company enters into a variety of derivative instruments as part of its economic hedging strategies. The Company executes interest rate swaps, TBAs, Eris SOFR swap futures and U.S. Treasury futures. The Company utilizes third-party pricing providers to value its interest rate swaps and TBAs. The third-party pricing providers develop their pricing based on transaction prices of recent trades for similar financial instruments. If recent trades for similar financial instruments are unavailable, the third-party pricing providers use cash flow or other pricing models, which utilize observable inputs. As a result, the Company classified 100% of its interest rate swaps and TBAs as Level 2 fair value assets and liabilities at June 30, 2026 and December 31, 2025. </w:t>
      </w:r>
      <w:r>
        <w:rPr>
          <w:rFonts w:ascii="Times New Roman" w:hAnsi="Times New Roman"/>
          <w:b w:val="false"/>
          <w:i w:val="false"/>
          <w:caps w:val="false"/>
          <w:smallCaps w:val="false"/>
          <w:color w:val="000000"/>
          <w:spacing w:val="0"/>
          <w:sz w:val="20"/>
          <w:shd w:fill="FFFFFF" w:val="clear"/>
        </w:rPr>
        <w:t>The fair value of Eris SOFR swap futures is based on quoted settlement prices for the contracts as published by CME Group, reflecting observable market inputs. The Company has classified the characteristics used to determine the fair value of Eris SOFR swap futures as Level 2 fair value assets and liabilities at June 30, 2026 and December 31, 2025. U.S. Treasury futures are valued using market-based prices published by the U.S. Department of Treasury and classified as Level 1 fair value assets and liabilities at June 30, 2026 and December 31, 2025.</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Both the Company and the derivative counterparties under their netting arrangements are required to post cash collateral based upon the net underlying market value of the Company’s open positions with the counterparties. Posting of cash collateral typically occurs daily, subject to certain dollar thresholds. Due to the existence of netting arrangements, as well as frequent cash collateral posting at low posting thresholds, credit exposure to the Company and/or counterparties is considered materially mitigated. The Company’s interest rate swaps and U.S. Treasury futures are required to be cleared on an exchange, which further mitigates, but does not eliminate, credit risk. Based on the Company’s assessment, there is no requirement for any additional adjustment to derivative valuations specifically for credit.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37</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tables present the Company’s assets and liabilities measured at fair value on a recurring basis as of the dates indicated (dollars in thousands):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pPr>
      <w:r>
        <w:rPr/>
      </w:r>
    </w:p>
    <w:p>
      <w:pPr>
        <w:pStyle w:val="TextBody"/>
        <w:bidi w:val="0"/>
        <w:spacing w:before="0" w:after="0"/>
        <w:ind w:left="180" w:right="0" w:hanging="180"/>
        <w:jc w:val="center"/>
        <w:rPr>
          <w:rFonts w:ascii="Times New Roman" w:hAnsi="Times New Roman"/>
          <w:color w:val="000000"/>
          <w:sz w:val="20"/>
          <w:shd w:fill="FFFFFF" w:val="clear"/>
        </w:rPr>
      </w:pPr>
      <w:r>
        <w:rPr>
          <w:rFonts w:ascii="Times New Roman" w:hAnsi="Times New Roman"/>
          <w:b/>
          <w:i w:val="false"/>
          <w:caps w:val="false"/>
          <w:smallCaps w:val="false"/>
          <w:color w:val="000000"/>
          <w:spacing w:val="0"/>
          <w:sz w:val="20"/>
          <w:shd w:fill="FFFFFF" w:val="clear"/>
        </w:rPr>
        <w:t>Recurring Fair Value Measurements</w:t>
      </w:r>
      <w:r>
        <w:rPr>
          <w:rFonts w:ascii="Times New Roman" w:hAnsi="Times New Roman"/>
          <w:color w:val="000000"/>
          <w:sz w:val="20"/>
          <w:shd w:fill="FFFFFF" w:val="clear"/>
        </w:rPr>
        <w:t xml:space="preserve"> </w:t>
      </w:r>
    </w:p>
    <w:p>
      <w:pPr>
        <w:pStyle w:val="TextBody"/>
        <w:bidi w:val="0"/>
        <w:spacing w:before="0" w:after="0"/>
        <w:jc w:val="left"/>
        <w:rPr/>
      </w:pPr>
      <w:r>
        <w:rPr/>
      </w:r>
    </w:p>
    <w:p>
      <w:pPr>
        <w:pStyle w:val="TextBody"/>
        <w:bidi w:val="0"/>
        <w:spacing w:before="0" w:after="0"/>
        <w:ind w:left="180" w:right="0" w:hanging="180"/>
        <w:jc w:val="center"/>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r>
    </w:p>
    <w:tbl>
      <w:tblPr>
        <w:tblW w:w="7254" w:type="dxa"/>
        <w:jc w:val="left"/>
        <w:tblInd w:w="0" w:type="dxa"/>
        <w:tblLayout w:type="fixed"/>
        <w:tblCellMar>
          <w:top w:w="0" w:type="dxa"/>
          <w:left w:w="0" w:type="dxa"/>
          <w:bottom w:w="0" w:type="dxa"/>
          <w:right w:w="0" w:type="dxa"/>
        </w:tblCellMar>
      </w:tblPr>
      <w:tblGrid>
        <w:gridCol w:w="2345"/>
        <w:gridCol w:w="60"/>
        <w:gridCol w:w="140"/>
        <w:gridCol w:w="635"/>
        <w:gridCol w:w="95"/>
        <w:gridCol w:w="60"/>
        <w:gridCol w:w="140"/>
        <w:gridCol w:w="845"/>
        <w:gridCol w:w="95"/>
        <w:gridCol w:w="60"/>
        <w:gridCol w:w="140"/>
        <w:gridCol w:w="695"/>
        <w:gridCol w:w="60"/>
        <w:gridCol w:w="60"/>
        <w:gridCol w:w="192"/>
        <w:gridCol w:w="1162"/>
        <w:gridCol w:w="470"/>
      </w:tblGrid>
      <w:tr>
        <w:trPr/>
        <w:tc>
          <w:tcPr>
            <w:tcW w:w="6784" w:type="dxa"/>
            <w:gridSpan w:val="16"/>
            <w:tcBorders/>
            <w:vAlign w:val="bottom"/>
          </w:tcPr>
          <w:p>
            <w:pPr>
              <w:pStyle w:val="TableContents"/>
              <w:bidi w:val="0"/>
              <w:spacing w:before="0" w:after="283"/>
              <w:jc w:val="center"/>
              <w:rPr>
                <w:b/>
              </w:rPr>
            </w:pPr>
            <w:r>
              <w:rPr>
                <w:b/>
              </w:rPr>
              <w:t>June 30, 2026</w:t>
            </w:r>
          </w:p>
        </w:tc>
        <w:tc>
          <w:tcPr>
            <w:tcW w:w="470" w:type="dxa"/>
            <w:tcBorders/>
            <w:vAlign w:val="bottom"/>
          </w:tcPr>
          <w:p>
            <w:pPr>
              <w:pStyle w:val="TableContents"/>
              <w:bidi w:val="0"/>
              <w:spacing w:before="0" w:after="283"/>
              <w:jc w:val="left"/>
              <w:rPr/>
            </w:pPr>
            <w:r>
              <w:rPr/>
              <w:t> </w:t>
            </w:r>
          </w:p>
        </w:tc>
      </w:tr>
      <w:tr>
        <w:trPr/>
        <w:tc>
          <w:tcPr>
            <w:tcW w:w="23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5"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5"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54" w:type="dxa"/>
            <w:gridSpan w:val="2"/>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left"/>
              <w:rPr/>
            </w:pPr>
            <w:r>
              <w:rPr/>
              <w:t> </w:t>
            </w:r>
          </w:p>
        </w:tc>
      </w:tr>
      <w:tr>
        <w:trPr/>
        <w:tc>
          <w:tcPr>
            <w:tcW w:w="23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Level 1</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Level 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Level 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5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Carrying Value</w:t>
            </w:r>
          </w:p>
        </w:tc>
        <w:tc>
          <w:tcPr>
            <w:tcW w:w="470" w:type="dxa"/>
            <w:tcBorders/>
            <w:vAlign w:val="bottom"/>
          </w:tcPr>
          <w:p>
            <w:pPr>
              <w:pStyle w:val="TableContents"/>
              <w:bidi w:val="0"/>
              <w:spacing w:before="0" w:after="283"/>
              <w:jc w:val="left"/>
              <w:rPr/>
            </w:pPr>
            <w:r>
              <w:rPr/>
              <w:t> </w:t>
            </w:r>
          </w:p>
        </w:tc>
      </w:tr>
      <w:tr>
        <w:trPr/>
        <w:tc>
          <w:tcPr>
            <w:tcW w:w="234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60" w:type="dxa"/>
            <w:tcBorders/>
            <w:shd w:fill="CCEEFF" w:val="clear"/>
            <w:vAlign w:val="bottom"/>
          </w:tcPr>
          <w:p>
            <w:pPr>
              <w:pStyle w:val="TableContents"/>
              <w:bidi w:val="0"/>
              <w:spacing w:before="0" w:after="283"/>
              <w:jc w:val="left"/>
              <w:rPr/>
            </w:pPr>
            <w:r>
              <w:rPr/>
              <w:t> </w:t>
            </w:r>
          </w:p>
        </w:tc>
        <w:tc>
          <w:tcPr>
            <w:tcW w:w="775" w:type="dxa"/>
            <w:gridSpan w:val="2"/>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5" w:type="dxa"/>
            <w:gridSpan w:val="2"/>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35" w:type="dxa"/>
            <w:gridSpan w:val="2"/>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54" w:type="dxa"/>
            <w:gridSpan w:val="2"/>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283"/>
              <w:jc w:val="left"/>
              <w:rPr/>
            </w:pPr>
            <w:r>
              <w:rPr/>
              <w:t> </w:t>
            </w:r>
          </w:p>
        </w:tc>
      </w:tr>
      <w:tr>
        <w:trPr/>
        <w:tc>
          <w:tcPr>
            <w:tcW w:w="2345" w:type="dxa"/>
            <w:tcBorders/>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RMBS</w:t>
            </w:r>
          </w:p>
        </w:tc>
        <w:tc>
          <w:tcPr>
            <w:tcW w:w="60" w:type="dxa"/>
            <w:tcBorders/>
            <w:vAlign w:val="bottom"/>
          </w:tcPr>
          <w:p>
            <w:pPr>
              <w:pStyle w:val="TableContents"/>
              <w:bidi w:val="0"/>
              <w:spacing w:before="0" w:after="283"/>
              <w:jc w:val="left"/>
              <w:rPr/>
            </w:pPr>
            <w:r>
              <w:rPr/>
              <w:t> </w:t>
            </w:r>
          </w:p>
        </w:tc>
        <w:tc>
          <w:tcPr>
            <w:tcW w:w="775"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5"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54" w:type="dxa"/>
            <w:gridSpan w:val="2"/>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left"/>
              <w:rPr/>
            </w:pPr>
            <w:r>
              <w:rPr/>
              <w:t> </w:t>
            </w:r>
          </w:p>
        </w:tc>
      </w:tr>
      <w:tr>
        <w:trPr/>
        <w:tc>
          <w:tcPr>
            <w:tcW w:w="2345" w:type="dxa"/>
            <w:tcBorders/>
            <w:shd w:fill="CCEEFF" w:val="clear"/>
            <w:vAlign w:val="bottom"/>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Fannie Mae</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3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472,299</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6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472,299</w:t>
            </w:r>
          </w:p>
        </w:tc>
        <w:tc>
          <w:tcPr>
            <w:tcW w:w="470" w:type="dxa"/>
            <w:tcBorders/>
            <w:shd w:fill="CCEEFF" w:val="clear"/>
            <w:vAlign w:val="bottom"/>
          </w:tcPr>
          <w:p>
            <w:pPr>
              <w:pStyle w:val="TableContents"/>
              <w:bidi w:val="0"/>
              <w:spacing w:before="0" w:after="283"/>
              <w:jc w:val="left"/>
              <w:rPr/>
            </w:pPr>
            <w:r>
              <w:rPr/>
              <w:t> </w:t>
            </w:r>
          </w:p>
        </w:tc>
      </w:tr>
      <w:tr>
        <w:trPr/>
        <w:tc>
          <w:tcPr>
            <w:tcW w:w="2345" w:type="dxa"/>
            <w:tcBorders/>
            <w:vAlign w:val="bottom"/>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Freddie Mac</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63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607,503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2" w:type="dxa"/>
            <w:tcBorders>
              <w:bottom w:val="single" w:sz="12" w:space="0" w:color="000000"/>
            </w:tcBorders>
            <w:tcMar>
              <w:bottom w:w="28" w:type="dxa"/>
            </w:tcMar>
            <w:vAlign w:val="bottom"/>
          </w:tcPr>
          <w:p>
            <w:pPr>
              <w:pStyle w:val="TableContents"/>
              <w:bidi w:val="0"/>
              <w:spacing w:before="0" w:after="283"/>
              <w:jc w:val="left"/>
              <w:rPr/>
            </w:pPr>
            <w:r>
              <w:rPr/>
              <w:t> </w:t>
            </w:r>
          </w:p>
        </w:tc>
        <w:tc>
          <w:tcPr>
            <w:tcW w:w="1162"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607,503</w:t>
            </w:r>
          </w:p>
        </w:tc>
        <w:tc>
          <w:tcPr>
            <w:tcW w:w="470" w:type="dxa"/>
            <w:tcBorders/>
            <w:vAlign w:val="bottom"/>
          </w:tcPr>
          <w:p>
            <w:pPr>
              <w:pStyle w:val="TableContents"/>
              <w:bidi w:val="0"/>
              <w:spacing w:before="0" w:after="283"/>
              <w:jc w:val="left"/>
              <w:rPr/>
            </w:pPr>
            <w:r>
              <w:rPr/>
              <w:t> </w:t>
            </w:r>
          </w:p>
        </w:tc>
      </w:tr>
      <w:tr>
        <w:trPr/>
        <w:tc>
          <w:tcPr>
            <w:tcW w:w="2345" w:type="dxa"/>
            <w:tcBorders/>
            <w:shd w:fill="CCEEFF" w:val="clear"/>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RMBS total</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1,079,802</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2" w:type="dxa"/>
            <w:tcBorders/>
            <w:shd w:fill="CCEEFF" w:val="clear"/>
            <w:vAlign w:val="bottom"/>
          </w:tcPr>
          <w:p>
            <w:pPr>
              <w:pStyle w:val="TableContents"/>
              <w:bidi w:val="0"/>
              <w:spacing w:before="0" w:after="283"/>
              <w:jc w:val="left"/>
              <w:rPr/>
            </w:pPr>
            <w:r>
              <w:rPr/>
              <w:t> </w:t>
            </w:r>
          </w:p>
        </w:tc>
        <w:tc>
          <w:tcPr>
            <w:tcW w:w="116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1,079,802</w:t>
            </w:r>
          </w:p>
        </w:tc>
        <w:tc>
          <w:tcPr>
            <w:tcW w:w="470" w:type="dxa"/>
            <w:tcBorders/>
            <w:shd w:fill="CCEEFF" w:val="clear"/>
            <w:vAlign w:val="bottom"/>
          </w:tcPr>
          <w:p>
            <w:pPr>
              <w:pStyle w:val="TableContents"/>
              <w:bidi w:val="0"/>
              <w:spacing w:before="0" w:after="283"/>
              <w:jc w:val="left"/>
              <w:rPr/>
            </w:pPr>
            <w:r>
              <w:rPr/>
              <w:t> </w:t>
            </w:r>
          </w:p>
        </w:tc>
      </w:tr>
      <w:tr>
        <w:trPr/>
        <w:tc>
          <w:tcPr>
            <w:tcW w:w="2345" w:type="dxa"/>
            <w:tcBorders/>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Derivative assets</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2" w:type="dxa"/>
            <w:tcBorders/>
            <w:vAlign w:val="bottom"/>
          </w:tcPr>
          <w:p>
            <w:pPr>
              <w:pStyle w:val="TableContents"/>
              <w:bidi w:val="0"/>
              <w:spacing w:before="0" w:after="283"/>
              <w:jc w:val="left"/>
              <w:rPr/>
            </w:pPr>
            <w:r>
              <w:rPr/>
              <w:t> </w:t>
            </w:r>
          </w:p>
        </w:tc>
        <w:tc>
          <w:tcPr>
            <w:tcW w:w="1162" w:type="dxa"/>
            <w:tcBorders/>
            <w:vAlign w:val="bottom"/>
          </w:tcPr>
          <w:p>
            <w:pPr>
              <w:pStyle w:val="TableContents"/>
              <w:bidi w:val="0"/>
              <w:spacing w:before="0" w:after="283"/>
              <w:jc w:val="right"/>
              <w:rPr/>
            </w:pPr>
            <w:r>
              <w:rPr/>
              <w:t> </w:t>
            </w:r>
          </w:p>
        </w:tc>
        <w:tc>
          <w:tcPr>
            <w:tcW w:w="470" w:type="dxa"/>
            <w:tcBorders/>
            <w:vAlign w:val="bottom"/>
          </w:tcPr>
          <w:p>
            <w:pPr>
              <w:pStyle w:val="TableContents"/>
              <w:bidi w:val="0"/>
              <w:spacing w:before="0" w:after="283"/>
              <w:jc w:val="left"/>
              <w:rPr/>
            </w:pPr>
            <w:r>
              <w:rPr/>
              <w:t> </w:t>
            </w:r>
          </w:p>
        </w:tc>
      </w:tr>
      <w:tr>
        <w:trPr/>
        <w:tc>
          <w:tcPr>
            <w:tcW w:w="2345" w:type="dxa"/>
            <w:tcBorders/>
            <w:shd w:fill="CCEEFF" w:val="clear"/>
            <w:vAlign w:val="bottom"/>
          </w:tcPr>
          <w:p>
            <w:pPr>
              <w:pStyle w:val="TableContents"/>
              <w:bidi w:val="0"/>
              <w:spacing w:before="0" w:after="0"/>
              <w:ind w:left="180" w:right="0" w:firstLine="180"/>
              <w:jc w:val="left"/>
              <w:rPr/>
            </w:pPr>
            <w:r>
              <w:rPr/>
              <w:t xml:space="preserve">TBAs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1,490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2" w:type="dxa"/>
            <w:tcBorders/>
            <w:shd w:fill="CCEEFF" w:val="clear"/>
            <w:vAlign w:val="bottom"/>
          </w:tcPr>
          <w:p>
            <w:pPr>
              <w:pStyle w:val="TableContents"/>
              <w:bidi w:val="0"/>
              <w:spacing w:before="0" w:after="283"/>
              <w:jc w:val="left"/>
              <w:rPr/>
            </w:pPr>
            <w:r>
              <w:rPr/>
              <w:t> </w:t>
            </w:r>
          </w:p>
        </w:tc>
        <w:tc>
          <w:tcPr>
            <w:tcW w:w="1162" w:type="dxa"/>
            <w:tcBorders/>
            <w:shd w:fill="CCEEFF" w:val="clear"/>
            <w:vAlign w:val="bottom"/>
          </w:tcPr>
          <w:p>
            <w:pPr>
              <w:pStyle w:val="TableContents"/>
              <w:bidi w:val="0"/>
              <w:spacing w:before="0" w:after="283"/>
              <w:jc w:val="right"/>
              <w:rPr/>
            </w:pPr>
            <w:r>
              <w:rPr/>
              <w:t>1,490</w:t>
            </w:r>
          </w:p>
        </w:tc>
        <w:tc>
          <w:tcPr>
            <w:tcW w:w="470" w:type="dxa"/>
            <w:tcBorders/>
            <w:shd w:fill="CCEEFF" w:val="clear"/>
            <w:vAlign w:val="bottom"/>
          </w:tcPr>
          <w:p>
            <w:pPr>
              <w:pStyle w:val="TableContents"/>
              <w:bidi w:val="0"/>
              <w:spacing w:before="0" w:after="283"/>
              <w:ind w:left="0" w:right="0" w:firstLine="360"/>
              <w:jc w:val="left"/>
              <w:rPr/>
            </w:pPr>
            <w:r>
              <w:rPr/>
              <w:t> </w:t>
            </w:r>
          </w:p>
        </w:tc>
      </w:tr>
      <w:tr>
        <w:trPr/>
        <w:tc>
          <w:tcPr>
            <w:tcW w:w="2345" w:type="dxa"/>
            <w:tcBorders/>
            <w:vAlign w:val="bottom"/>
          </w:tcPr>
          <w:p>
            <w:pPr>
              <w:pStyle w:val="TableContents"/>
              <w:bidi w:val="0"/>
              <w:spacing w:before="0" w:after="283"/>
              <w:jc w:val="left"/>
              <w:rPr/>
            </w:pPr>
            <w:r>
              <w:rPr/>
              <w:t xml:space="preserve">U.S. treasury futures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635" w:type="dxa"/>
            <w:tcBorders>
              <w:bottom w:val="single" w:sz="12" w:space="0" w:color="000000"/>
            </w:tcBorders>
            <w:tcMar>
              <w:bottom w:w="28" w:type="dxa"/>
            </w:tcMar>
            <w:vAlign w:val="bottom"/>
          </w:tcPr>
          <w:p>
            <w:pPr>
              <w:pStyle w:val="TableContents"/>
              <w:bidi w:val="0"/>
              <w:spacing w:before="0" w:after="283"/>
              <w:jc w:val="right"/>
              <w:rPr/>
            </w:pPr>
            <w:r>
              <w:rPr/>
              <w:t>132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283"/>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2" w:type="dxa"/>
            <w:tcBorders>
              <w:bottom w:val="single" w:sz="12" w:space="0" w:color="000000"/>
            </w:tcBorders>
            <w:tcMar>
              <w:bottom w:w="28" w:type="dxa"/>
            </w:tcMar>
            <w:vAlign w:val="bottom"/>
          </w:tcPr>
          <w:p>
            <w:pPr>
              <w:pStyle w:val="TableContents"/>
              <w:bidi w:val="0"/>
              <w:spacing w:before="0" w:after="283"/>
              <w:jc w:val="left"/>
              <w:rPr/>
            </w:pPr>
            <w:r>
              <w:rPr/>
              <w:t> </w:t>
            </w:r>
          </w:p>
        </w:tc>
        <w:tc>
          <w:tcPr>
            <w:tcW w:w="1162" w:type="dxa"/>
            <w:tcBorders>
              <w:bottom w:val="single" w:sz="12" w:space="0" w:color="000000"/>
            </w:tcBorders>
            <w:tcMar>
              <w:bottom w:w="28" w:type="dxa"/>
            </w:tcMar>
            <w:vAlign w:val="bottom"/>
          </w:tcPr>
          <w:p>
            <w:pPr>
              <w:pStyle w:val="TableContents"/>
              <w:bidi w:val="0"/>
              <w:spacing w:before="0" w:after="283"/>
              <w:jc w:val="right"/>
              <w:rPr/>
            </w:pPr>
            <w:r>
              <w:rPr/>
              <w:t>132</w:t>
            </w:r>
          </w:p>
        </w:tc>
        <w:tc>
          <w:tcPr>
            <w:tcW w:w="470" w:type="dxa"/>
            <w:tcBorders/>
            <w:vAlign w:val="bottom"/>
          </w:tcPr>
          <w:p>
            <w:pPr>
              <w:pStyle w:val="TableContents"/>
              <w:bidi w:val="0"/>
              <w:spacing w:before="0" w:after="283"/>
              <w:jc w:val="left"/>
              <w:rPr/>
            </w:pPr>
            <w:r>
              <w:rPr/>
              <w:t> </w:t>
            </w:r>
          </w:p>
        </w:tc>
      </w:tr>
      <w:tr>
        <w:trPr/>
        <w:tc>
          <w:tcPr>
            <w:tcW w:w="2345" w:type="dxa"/>
            <w:tcBorders/>
            <w:shd w:fill="CCEEFF" w:val="clear"/>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Derivative assets total</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132</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1,490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2" w:type="dxa"/>
            <w:tcBorders/>
            <w:shd w:fill="CCEEFF" w:val="clear"/>
            <w:vAlign w:val="bottom"/>
          </w:tcPr>
          <w:p>
            <w:pPr>
              <w:pStyle w:val="TableContents"/>
              <w:bidi w:val="0"/>
              <w:spacing w:before="0" w:after="283"/>
              <w:jc w:val="left"/>
              <w:rPr/>
            </w:pPr>
            <w:r>
              <w:rPr/>
              <w:t> </w:t>
            </w:r>
          </w:p>
        </w:tc>
        <w:tc>
          <w:tcPr>
            <w:tcW w:w="116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1,622</w:t>
            </w:r>
          </w:p>
        </w:tc>
        <w:tc>
          <w:tcPr>
            <w:tcW w:w="470" w:type="dxa"/>
            <w:tcBorders/>
            <w:shd w:fill="CCEEFF" w:val="clear"/>
            <w:vAlign w:val="bottom"/>
          </w:tcPr>
          <w:p>
            <w:pPr>
              <w:pStyle w:val="TableContents"/>
              <w:bidi w:val="0"/>
              <w:spacing w:before="0" w:after="283"/>
              <w:jc w:val="left"/>
              <w:rPr/>
            </w:pPr>
            <w:r>
              <w:rPr/>
              <w:t> </w:t>
            </w:r>
          </w:p>
        </w:tc>
      </w:tr>
      <w:tr>
        <w:trPr/>
        <w:tc>
          <w:tcPr>
            <w:tcW w:w="2345" w:type="dxa"/>
            <w:tcBorders/>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Servicing related assets</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63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211,105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2" w:type="dxa"/>
            <w:tcBorders>
              <w:bottom w:val="single" w:sz="12" w:space="0" w:color="000000"/>
            </w:tcBorders>
            <w:tcMar>
              <w:bottom w:w="28" w:type="dxa"/>
            </w:tcMar>
            <w:vAlign w:val="bottom"/>
          </w:tcPr>
          <w:p>
            <w:pPr>
              <w:pStyle w:val="TableContents"/>
              <w:bidi w:val="0"/>
              <w:spacing w:before="0" w:after="283"/>
              <w:jc w:val="left"/>
              <w:rPr/>
            </w:pPr>
            <w:r>
              <w:rPr/>
              <w:t> </w:t>
            </w:r>
          </w:p>
        </w:tc>
        <w:tc>
          <w:tcPr>
            <w:tcW w:w="1162"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211,105</w:t>
            </w:r>
          </w:p>
        </w:tc>
        <w:tc>
          <w:tcPr>
            <w:tcW w:w="470" w:type="dxa"/>
            <w:tcBorders/>
            <w:vAlign w:val="bottom"/>
          </w:tcPr>
          <w:p>
            <w:pPr>
              <w:pStyle w:val="TableContents"/>
              <w:bidi w:val="0"/>
              <w:spacing w:before="0" w:after="283"/>
              <w:jc w:val="left"/>
              <w:rPr/>
            </w:pPr>
            <w:r>
              <w:rPr/>
              <w:t> </w:t>
            </w:r>
          </w:p>
        </w:tc>
      </w:tr>
      <w:tr>
        <w:trPr/>
        <w:tc>
          <w:tcPr>
            <w:tcW w:w="234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Assets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35"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132</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845"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1,081,292</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95"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211,105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2"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1162"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1,292,529</w:t>
            </w:r>
          </w:p>
        </w:tc>
        <w:tc>
          <w:tcPr>
            <w:tcW w:w="470" w:type="dxa"/>
            <w:tcBorders/>
            <w:shd w:fill="CCEEFF" w:val="clear"/>
            <w:vAlign w:val="bottom"/>
          </w:tcPr>
          <w:p>
            <w:pPr>
              <w:pStyle w:val="TableContents"/>
              <w:bidi w:val="0"/>
              <w:spacing w:before="0" w:after="283"/>
              <w:jc w:val="left"/>
              <w:rPr/>
            </w:pPr>
            <w:r>
              <w:rPr/>
              <w:t> </w:t>
            </w:r>
          </w:p>
        </w:tc>
      </w:tr>
      <w:tr>
        <w:trPr/>
        <w:tc>
          <w:tcPr>
            <w:tcW w:w="234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Liabilities</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2" w:type="dxa"/>
            <w:tcBorders/>
            <w:vAlign w:val="bottom"/>
          </w:tcPr>
          <w:p>
            <w:pPr>
              <w:pStyle w:val="TableContents"/>
              <w:bidi w:val="0"/>
              <w:spacing w:before="0" w:after="283"/>
              <w:jc w:val="left"/>
              <w:rPr/>
            </w:pPr>
            <w:r>
              <w:rPr/>
              <w:t> </w:t>
            </w:r>
          </w:p>
        </w:tc>
        <w:tc>
          <w:tcPr>
            <w:tcW w:w="1162" w:type="dxa"/>
            <w:tcBorders/>
            <w:vAlign w:val="bottom"/>
          </w:tcPr>
          <w:p>
            <w:pPr>
              <w:pStyle w:val="TableContents"/>
              <w:bidi w:val="0"/>
              <w:spacing w:before="0" w:after="283"/>
              <w:jc w:val="right"/>
              <w:rPr/>
            </w:pPr>
            <w:r>
              <w:rPr/>
              <w:t> </w:t>
            </w:r>
          </w:p>
        </w:tc>
        <w:tc>
          <w:tcPr>
            <w:tcW w:w="470" w:type="dxa"/>
            <w:tcBorders/>
            <w:vAlign w:val="bottom"/>
          </w:tcPr>
          <w:p>
            <w:pPr>
              <w:pStyle w:val="TableContents"/>
              <w:bidi w:val="0"/>
              <w:spacing w:before="0" w:after="283"/>
              <w:jc w:val="left"/>
              <w:rPr/>
            </w:pPr>
            <w:r>
              <w:rPr/>
              <w:t> </w:t>
            </w:r>
          </w:p>
        </w:tc>
      </w:tr>
      <w:tr>
        <w:trPr/>
        <w:tc>
          <w:tcPr>
            <w:tcW w:w="2345" w:type="dxa"/>
            <w:tcBorders/>
            <w:shd w:fill="CCEEFF" w:val="clear"/>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Derivative liabilities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2" w:type="dxa"/>
            <w:tcBorders/>
            <w:shd w:fill="CCEEFF" w:val="clear"/>
            <w:vAlign w:val="bottom"/>
          </w:tcPr>
          <w:p>
            <w:pPr>
              <w:pStyle w:val="TableContents"/>
              <w:bidi w:val="0"/>
              <w:spacing w:before="0" w:after="283"/>
              <w:jc w:val="left"/>
              <w:rPr/>
            </w:pPr>
            <w:r>
              <w:rPr/>
              <w:t> </w:t>
            </w:r>
          </w:p>
        </w:tc>
        <w:tc>
          <w:tcPr>
            <w:tcW w:w="1162" w:type="dxa"/>
            <w:tcBorders/>
            <w:shd w:fill="CCEEFF" w:val="clear"/>
            <w:vAlign w:val="bottom"/>
          </w:tcPr>
          <w:p>
            <w:pPr>
              <w:pStyle w:val="TableContents"/>
              <w:bidi w:val="0"/>
              <w:spacing w:before="0" w:after="283"/>
              <w:jc w:val="right"/>
              <w:rPr/>
            </w:pPr>
            <w:r>
              <w:rPr/>
              <w:t> </w:t>
            </w:r>
          </w:p>
        </w:tc>
        <w:tc>
          <w:tcPr>
            <w:tcW w:w="470" w:type="dxa"/>
            <w:tcBorders/>
            <w:shd w:fill="CCEEFF" w:val="clear"/>
            <w:vAlign w:val="bottom"/>
          </w:tcPr>
          <w:p>
            <w:pPr>
              <w:pStyle w:val="TableContents"/>
              <w:bidi w:val="0"/>
              <w:spacing w:before="0" w:after="283"/>
              <w:jc w:val="left"/>
              <w:rPr/>
            </w:pPr>
            <w:r>
              <w:rPr/>
              <w:t> </w:t>
            </w:r>
          </w:p>
        </w:tc>
      </w:tr>
      <w:tr>
        <w:trPr/>
        <w:tc>
          <w:tcPr>
            <w:tcW w:w="2345" w:type="dxa"/>
            <w:tcBorders/>
            <w:vAlign w:val="bottom"/>
          </w:tcPr>
          <w:p>
            <w:pPr>
              <w:pStyle w:val="TableContents"/>
              <w:bidi w:val="0"/>
              <w:spacing w:before="0" w:after="0"/>
              <w:ind w:left="360" w:right="0" w:hanging="0"/>
              <w:jc w:val="left"/>
              <w:rPr/>
            </w:pPr>
            <w:r>
              <w:rPr/>
              <w:t xml:space="preserve">TBAs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w:t>
            </w:r>
          </w:p>
        </w:tc>
        <w:tc>
          <w:tcPr>
            <w:tcW w:w="635" w:type="dxa"/>
            <w:tcBorders/>
            <w:vAlign w:val="bottom"/>
          </w:tcPr>
          <w:p>
            <w:pPr>
              <w:pStyle w:val="TableContents"/>
              <w:bidi w:val="0"/>
              <w:spacing w:before="0" w:after="283"/>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w:t>
            </w:r>
          </w:p>
        </w:tc>
        <w:tc>
          <w:tcPr>
            <w:tcW w:w="845" w:type="dxa"/>
            <w:tcBorders/>
            <w:vAlign w:val="bottom"/>
          </w:tcPr>
          <w:p>
            <w:pPr>
              <w:pStyle w:val="TableContents"/>
              <w:bidi w:val="0"/>
              <w:spacing w:before="0" w:after="283"/>
              <w:jc w:val="right"/>
              <w:rPr/>
            </w:pPr>
            <w:r>
              <w:rPr/>
              <w:t>(2,211</w:t>
            </w:r>
          </w:p>
        </w:tc>
        <w:tc>
          <w:tcPr>
            <w:tcW w:w="95" w:type="dxa"/>
            <w:tcBorders/>
            <w:vAlign w:val="bottom"/>
          </w:tcPr>
          <w:p>
            <w:pPr>
              <w:pStyle w:val="TableContents"/>
              <w:bidi w:val="0"/>
              <w:spacing w:before="0" w:after="283"/>
              <w:jc w:val="left"/>
              <w:rPr/>
            </w:pPr>
            <w:r>
              <w:rPr/>
              <w: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w:t>
            </w:r>
          </w:p>
        </w:tc>
        <w:tc>
          <w:tcPr>
            <w:tcW w:w="695"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2" w:type="dxa"/>
            <w:tcBorders/>
            <w:vAlign w:val="bottom"/>
          </w:tcPr>
          <w:p>
            <w:pPr>
              <w:pStyle w:val="TableContents"/>
              <w:bidi w:val="0"/>
              <w:spacing w:before="0" w:after="283"/>
              <w:jc w:val="left"/>
              <w:rPr/>
            </w:pPr>
            <w:r>
              <w:rPr/>
              <w:t>$</w:t>
            </w:r>
          </w:p>
        </w:tc>
        <w:tc>
          <w:tcPr>
            <w:tcW w:w="1162" w:type="dxa"/>
            <w:tcBorders/>
            <w:vAlign w:val="bottom"/>
          </w:tcPr>
          <w:p>
            <w:pPr>
              <w:pStyle w:val="TableContents"/>
              <w:bidi w:val="0"/>
              <w:spacing w:before="0" w:after="283"/>
              <w:jc w:val="right"/>
              <w:rPr/>
            </w:pPr>
            <w:r>
              <w:rPr/>
              <w:t>(2,211</w:t>
            </w:r>
          </w:p>
        </w:tc>
        <w:tc>
          <w:tcPr>
            <w:tcW w:w="470" w:type="dxa"/>
            <w:tcBorders/>
            <w:vAlign w:val="bottom"/>
          </w:tcPr>
          <w:p>
            <w:pPr>
              <w:pStyle w:val="TableContents"/>
              <w:bidi w:val="0"/>
              <w:spacing w:before="0" w:after="283"/>
              <w:jc w:val="left"/>
              <w:rPr/>
            </w:pPr>
            <w:r>
              <w:rPr/>
              <w:t>)</w:t>
            </w:r>
          </w:p>
        </w:tc>
      </w:tr>
      <w:tr>
        <w:trPr/>
        <w:tc>
          <w:tcPr>
            <w:tcW w:w="2345" w:type="dxa"/>
            <w:tcBorders/>
            <w:shd w:fill="CCEEFF" w:val="clear"/>
            <w:vAlign w:val="bottom"/>
          </w:tcPr>
          <w:p>
            <w:pPr>
              <w:pStyle w:val="TableContents"/>
              <w:bidi w:val="0"/>
              <w:spacing w:before="0" w:after="0"/>
              <w:ind w:left="360" w:right="0" w:hanging="0"/>
              <w:jc w:val="left"/>
              <w:rPr/>
            </w:pPr>
            <w:r>
              <w:rPr/>
              <w:t xml:space="preserve">U.S. treasury futures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(1,023</w:t>
            </w:r>
          </w:p>
        </w:tc>
        <w:tc>
          <w:tcPr>
            <w:tcW w:w="95" w:type="dxa"/>
            <w:tcBorders/>
            <w:shd w:fill="CCEEFF" w:val="clear"/>
            <w:vAlign w:val="bottom"/>
          </w:tcPr>
          <w:p>
            <w:pPr>
              <w:pStyle w:val="TableContents"/>
              <w:bidi w:val="0"/>
              <w:spacing w:before="0" w:after="283"/>
              <w:jc w:val="left"/>
              <w:rPr/>
            </w:pPr>
            <w:r>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2" w:type="dxa"/>
            <w:tcBorders/>
            <w:shd w:fill="CCEEFF" w:val="clear"/>
            <w:vAlign w:val="bottom"/>
          </w:tcPr>
          <w:p>
            <w:pPr>
              <w:pStyle w:val="TableContents"/>
              <w:bidi w:val="0"/>
              <w:spacing w:before="0" w:after="283"/>
              <w:jc w:val="left"/>
              <w:rPr/>
            </w:pPr>
            <w:r>
              <w:rPr/>
              <w:t> </w:t>
            </w:r>
          </w:p>
        </w:tc>
        <w:tc>
          <w:tcPr>
            <w:tcW w:w="1162" w:type="dxa"/>
            <w:tcBorders/>
            <w:shd w:fill="CCEEFF" w:val="clear"/>
            <w:vAlign w:val="bottom"/>
          </w:tcPr>
          <w:p>
            <w:pPr>
              <w:pStyle w:val="TableContents"/>
              <w:bidi w:val="0"/>
              <w:spacing w:before="0" w:after="283"/>
              <w:jc w:val="right"/>
              <w:rPr/>
            </w:pPr>
            <w:r>
              <w:rPr/>
              <w:t>(1,023</w:t>
            </w:r>
          </w:p>
        </w:tc>
        <w:tc>
          <w:tcPr>
            <w:tcW w:w="470" w:type="dxa"/>
            <w:tcBorders/>
            <w:shd w:fill="CCEEFF" w:val="clear"/>
            <w:vAlign w:val="bottom"/>
          </w:tcPr>
          <w:p>
            <w:pPr>
              <w:pStyle w:val="TableContents"/>
              <w:bidi w:val="0"/>
              <w:spacing w:before="0" w:after="283"/>
              <w:ind w:left="0" w:right="0" w:firstLine="360"/>
              <w:jc w:val="left"/>
              <w:rPr/>
            </w:pPr>
            <w:r>
              <w:rPr/>
              <w:t>)</w:t>
            </w:r>
          </w:p>
        </w:tc>
      </w:tr>
      <w:tr>
        <w:trPr/>
        <w:tc>
          <w:tcPr>
            <w:tcW w:w="2345" w:type="dxa"/>
            <w:tcBorders/>
            <w:vAlign w:val="bottom"/>
          </w:tcPr>
          <w:p>
            <w:pPr>
              <w:pStyle w:val="TableContents"/>
              <w:bidi w:val="0"/>
              <w:spacing w:before="0" w:after="283"/>
              <w:jc w:val="left"/>
              <w:rPr/>
            </w:pPr>
            <w:r>
              <w:rPr/>
              <w:t>Eris SOFR swap futures</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635" w:type="dxa"/>
            <w:tcBorders>
              <w:bottom w:val="single" w:sz="12" w:space="0" w:color="000000"/>
            </w:tcBorders>
            <w:tcMar>
              <w:bottom w:w="28" w:type="dxa"/>
            </w:tcMar>
            <w:vAlign w:val="bottom"/>
          </w:tcPr>
          <w:p>
            <w:pPr>
              <w:pStyle w:val="TableContents"/>
              <w:bidi w:val="0"/>
              <w:spacing w:before="0" w:after="283"/>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283"/>
              <w:jc w:val="right"/>
              <w:rPr/>
            </w:pPr>
            <w:r>
              <w:rPr/>
              <w:t>(505</w:t>
            </w:r>
          </w:p>
        </w:tc>
        <w:tc>
          <w:tcPr>
            <w:tcW w:w="95" w:type="dxa"/>
            <w:tcBorders/>
            <w:vAlign w:val="bottom"/>
          </w:tcPr>
          <w:p>
            <w:pPr>
              <w:pStyle w:val="TableContents"/>
              <w:bidi w:val="0"/>
              <w:spacing w:before="0" w:after="283"/>
              <w:jc w:val="left"/>
              <w:rPr/>
            </w:pPr>
            <w:r>
              <w:rPr/>
              <w:t>)</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2" w:type="dxa"/>
            <w:tcBorders>
              <w:bottom w:val="single" w:sz="12" w:space="0" w:color="000000"/>
            </w:tcBorders>
            <w:tcMar>
              <w:bottom w:w="28" w:type="dxa"/>
            </w:tcMar>
            <w:vAlign w:val="bottom"/>
          </w:tcPr>
          <w:p>
            <w:pPr>
              <w:pStyle w:val="TableContents"/>
              <w:bidi w:val="0"/>
              <w:spacing w:before="0" w:after="283"/>
              <w:jc w:val="left"/>
              <w:rPr/>
            </w:pPr>
            <w:r>
              <w:rPr/>
              <w:t> </w:t>
            </w:r>
          </w:p>
        </w:tc>
        <w:tc>
          <w:tcPr>
            <w:tcW w:w="1162" w:type="dxa"/>
            <w:tcBorders>
              <w:bottom w:val="single" w:sz="12" w:space="0" w:color="000000"/>
            </w:tcBorders>
            <w:tcMar>
              <w:bottom w:w="28" w:type="dxa"/>
            </w:tcMar>
            <w:vAlign w:val="bottom"/>
          </w:tcPr>
          <w:p>
            <w:pPr>
              <w:pStyle w:val="TableContents"/>
              <w:bidi w:val="0"/>
              <w:spacing w:before="0" w:after="283"/>
              <w:jc w:val="right"/>
              <w:rPr/>
            </w:pPr>
            <w:r>
              <w:rPr/>
              <w:t>(505</w:t>
            </w:r>
          </w:p>
        </w:tc>
        <w:tc>
          <w:tcPr>
            <w:tcW w:w="470" w:type="dxa"/>
            <w:tcBorders/>
            <w:vAlign w:val="bottom"/>
          </w:tcPr>
          <w:p>
            <w:pPr>
              <w:pStyle w:val="TableContents"/>
              <w:bidi w:val="0"/>
              <w:spacing w:before="0" w:after="283"/>
              <w:jc w:val="left"/>
              <w:rPr/>
            </w:pPr>
            <w:r>
              <w:rPr/>
              <w:t>)</w:t>
            </w:r>
          </w:p>
        </w:tc>
      </w:tr>
      <w:tr>
        <w:trPr/>
        <w:tc>
          <w:tcPr>
            <w:tcW w:w="2345" w:type="dxa"/>
            <w:tcBorders/>
            <w:shd w:fill="CCEEFF" w:val="clear"/>
            <w:vAlign w:val="bottom"/>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Derivative liabilities total</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3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(1,023</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(2,716</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6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(3,739</w:t>
            </w:r>
          </w:p>
        </w:tc>
        <w:tc>
          <w:tcPr>
            <w:tcW w:w="47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234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Liabilities</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35"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(1,023</w:t>
            </w:r>
          </w:p>
        </w:tc>
        <w:tc>
          <w:tcPr>
            <w:tcW w:w="9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845"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(2,716</w:t>
            </w:r>
          </w:p>
        </w:tc>
        <w:tc>
          <w:tcPr>
            <w:tcW w:w="9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95"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2"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1162"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(3,739</w:t>
            </w:r>
          </w:p>
        </w:tc>
        <w:tc>
          <w:tcPr>
            <w:tcW w:w="47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r>
    </w:tbl>
    <w:p>
      <w:pPr>
        <w:pStyle w:val="TextBody"/>
        <w:bidi w:val="0"/>
        <w:spacing w:before="0" w:after="0"/>
        <w:jc w:val="left"/>
        <w:rPr/>
      </w:pPr>
      <w:r>
        <w:rPr/>
      </w:r>
    </w:p>
    <w:tbl>
      <w:tblPr>
        <w:tblW w:w="7309" w:type="dxa"/>
        <w:jc w:val="left"/>
        <w:tblInd w:w="0" w:type="dxa"/>
        <w:tblLayout w:type="fixed"/>
        <w:tblCellMar>
          <w:top w:w="0" w:type="dxa"/>
          <w:left w:w="0" w:type="dxa"/>
          <w:bottom w:w="0" w:type="dxa"/>
          <w:right w:w="0" w:type="dxa"/>
        </w:tblCellMar>
      </w:tblPr>
      <w:tblGrid>
        <w:gridCol w:w="2345"/>
        <w:gridCol w:w="60"/>
        <w:gridCol w:w="200"/>
        <w:gridCol w:w="560"/>
        <w:gridCol w:w="60"/>
        <w:gridCol w:w="60"/>
        <w:gridCol w:w="200"/>
        <w:gridCol w:w="845"/>
        <w:gridCol w:w="95"/>
        <w:gridCol w:w="60"/>
        <w:gridCol w:w="200"/>
        <w:gridCol w:w="695"/>
        <w:gridCol w:w="60"/>
        <w:gridCol w:w="60"/>
        <w:gridCol w:w="259"/>
        <w:gridCol w:w="1095"/>
        <w:gridCol w:w="455"/>
      </w:tblGrid>
      <w:tr>
        <w:trPr/>
        <w:tc>
          <w:tcPr>
            <w:tcW w:w="6854" w:type="dxa"/>
            <w:gridSpan w:val="16"/>
            <w:tcBorders/>
            <w:vAlign w:val="bottom"/>
          </w:tcPr>
          <w:p>
            <w:pPr>
              <w:pStyle w:val="TableContents"/>
              <w:bidi w:val="0"/>
              <w:spacing w:before="0" w:after="283"/>
              <w:jc w:val="center"/>
              <w:rPr>
                <w:b/>
              </w:rPr>
            </w:pPr>
            <w:r>
              <w:rPr>
                <w:b/>
              </w:rPr>
              <w:t>December 31, 2025</w:t>
            </w:r>
          </w:p>
        </w:tc>
        <w:tc>
          <w:tcPr>
            <w:tcW w:w="455" w:type="dxa"/>
            <w:tcBorders/>
            <w:vAlign w:val="bottom"/>
          </w:tcPr>
          <w:p>
            <w:pPr>
              <w:pStyle w:val="TableContents"/>
              <w:bidi w:val="0"/>
              <w:spacing w:before="0" w:after="283"/>
              <w:jc w:val="left"/>
              <w:rPr/>
            </w:pPr>
            <w:r>
              <w:rPr/>
              <w:t> </w:t>
            </w:r>
          </w:p>
        </w:tc>
      </w:tr>
      <w:tr>
        <w:trPr/>
        <w:tc>
          <w:tcPr>
            <w:tcW w:w="23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760" w:type="dxa"/>
            <w:gridSpan w:val="2"/>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045" w:type="dxa"/>
            <w:gridSpan w:val="2"/>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895" w:type="dxa"/>
            <w:gridSpan w:val="2"/>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354" w:type="dxa"/>
            <w:gridSpan w:val="2"/>
            <w:tcBorders/>
            <w:vAlign w:val="bottom"/>
          </w:tcPr>
          <w:p>
            <w:pPr>
              <w:pStyle w:val="TableContents"/>
              <w:bidi w:val="0"/>
              <w:spacing w:before="0" w:after="283"/>
              <w:jc w:val="right"/>
              <w:rPr/>
            </w:pPr>
            <w:r>
              <w:rPr/>
              <w:t> </w:t>
            </w:r>
          </w:p>
        </w:tc>
        <w:tc>
          <w:tcPr>
            <w:tcW w:w="455" w:type="dxa"/>
            <w:tcBorders/>
            <w:vAlign w:val="bottom"/>
          </w:tcPr>
          <w:p>
            <w:pPr>
              <w:pStyle w:val="TableContents"/>
              <w:bidi w:val="0"/>
              <w:spacing w:before="0" w:after="283"/>
              <w:jc w:val="left"/>
              <w:rPr/>
            </w:pPr>
            <w:r>
              <w:rPr/>
              <w:t> </w:t>
            </w:r>
          </w:p>
        </w:tc>
      </w:tr>
      <w:tr>
        <w:trPr/>
        <w:tc>
          <w:tcPr>
            <w:tcW w:w="23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Level 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Level 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Level 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5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Carrying Value</w:t>
            </w:r>
          </w:p>
        </w:tc>
        <w:tc>
          <w:tcPr>
            <w:tcW w:w="455" w:type="dxa"/>
            <w:tcBorders/>
            <w:vAlign w:val="bottom"/>
          </w:tcPr>
          <w:p>
            <w:pPr>
              <w:pStyle w:val="TableContents"/>
              <w:bidi w:val="0"/>
              <w:spacing w:before="0" w:after="283"/>
              <w:jc w:val="left"/>
              <w:rPr/>
            </w:pPr>
            <w:r>
              <w:rPr/>
              <w:t> </w:t>
            </w:r>
          </w:p>
        </w:tc>
      </w:tr>
      <w:tr>
        <w:trPr/>
        <w:tc>
          <w:tcPr>
            <w:tcW w:w="234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60" w:type="dxa"/>
            <w:tcBorders/>
            <w:shd w:fill="CCEEFF" w:val="clear"/>
            <w:vAlign w:val="bottom"/>
          </w:tcPr>
          <w:p>
            <w:pPr>
              <w:pStyle w:val="TableContents"/>
              <w:bidi w:val="0"/>
              <w:spacing w:before="0" w:after="283"/>
              <w:jc w:val="right"/>
              <w:rPr/>
            </w:pPr>
            <w:r>
              <w:rPr/>
              <w:t> </w:t>
            </w:r>
          </w:p>
        </w:tc>
        <w:tc>
          <w:tcPr>
            <w:tcW w:w="760" w:type="dxa"/>
            <w:gridSpan w:val="2"/>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045" w:type="dxa"/>
            <w:gridSpan w:val="2"/>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895" w:type="dxa"/>
            <w:gridSpan w:val="2"/>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354" w:type="dxa"/>
            <w:gridSpan w:val="2"/>
            <w:tcBorders/>
            <w:shd w:fill="CCEEFF" w:val="clear"/>
            <w:vAlign w:val="bottom"/>
          </w:tcPr>
          <w:p>
            <w:pPr>
              <w:pStyle w:val="TableContents"/>
              <w:bidi w:val="0"/>
              <w:spacing w:before="0" w:after="283"/>
              <w:jc w:val="right"/>
              <w:rPr/>
            </w:pPr>
            <w:r>
              <w:rPr/>
              <w:t> </w:t>
            </w:r>
          </w:p>
        </w:tc>
        <w:tc>
          <w:tcPr>
            <w:tcW w:w="455" w:type="dxa"/>
            <w:tcBorders/>
            <w:shd w:fill="CCEEFF" w:val="clear"/>
            <w:vAlign w:val="bottom"/>
          </w:tcPr>
          <w:p>
            <w:pPr>
              <w:pStyle w:val="TableContents"/>
              <w:bidi w:val="0"/>
              <w:spacing w:before="0" w:after="283"/>
              <w:jc w:val="left"/>
              <w:rPr/>
            </w:pPr>
            <w:r>
              <w:rPr/>
              <w:t> </w:t>
            </w:r>
          </w:p>
        </w:tc>
      </w:tr>
      <w:tr>
        <w:trPr/>
        <w:tc>
          <w:tcPr>
            <w:tcW w:w="2345" w:type="dxa"/>
            <w:tcBorders/>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RMBS</w:t>
            </w:r>
          </w:p>
        </w:tc>
        <w:tc>
          <w:tcPr>
            <w:tcW w:w="60" w:type="dxa"/>
            <w:tcBorders/>
            <w:vAlign w:val="bottom"/>
          </w:tcPr>
          <w:p>
            <w:pPr>
              <w:pStyle w:val="TableContents"/>
              <w:bidi w:val="0"/>
              <w:spacing w:before="0" w:after="283"/>
              <w:jc w:val="right"/>
              <w:rPr/>
            </w:pPr>
            <w:r>
              <w:rPr/>
              <w:t> </w:t>
            </w:r>
          </w:p>
        </w:tc>
        <w:tc>
          <w:tcPr>
            <w:tcW w:w="760" w:type="dxa"/>
            <w:gridSpan w:val="2"/>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045" w:type="dxa"/>
            <w:gridSpan w:val="2"/>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895" w:type="dxa"/>
            <w:gridSpan w:val="2"/>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354" w:type="dxa"/>
            <w:gridSpan w:val="2"/>
            <w:tcBorders/>
            <w:vAlign w:val="bottom"/>
          </w:tcPr>
          <w:p>
            <w:pPr>
              <w:pStyle w:val="TableContents"/>
              <w:bidi w:val="0"/>
              <w:spacing w:before="0" w:after="283"/>
              <w:jc w:val="right"/>
              <w:rPr/>
            </w:pPr>
            <w:r>
              <w:rPr/>
              <w:t> </w:t>
            </w:r>
          </w:p>
        </w:tc>
        <w:tc>
          <w:tcPr>
            <w:tcW w:w="455" w:type="dxa"/>
            <w:tcBorders/>
            <w:vAlign w:val="bottom"/>
          </w:tcPr>
          <w:p>
            <w:pPr>
              <w:pStyle w:val="TableContents"/>
              <w:bidi w:val="0"/>
              <w:spacing w:before="0" w:after="283"/>
              <w:jc w:val="left"/>
              <w:rPr/>
            </w:pPr>
            <w:r>
              <w:rPr/>
              <w:t> </w:t>
            </w:r>
          </w:p>
        </w:tc>
      </w:tr>
      <w:tr>
        <w:trPr/>
        <w:tc>
          <w:tcPr>
            <w:tcW w:w="2345" w:type="dxa"/>
            <w:tcBorders/>
            <w:shd w:fill="CCEEFF" w:val="clear"/>
            <w:vAlign w:val="bottom"/>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Fannie Mae</w:t>
            </w:r>
          </w:p>
        </w:tc>
        <w:tc>
          <w:tcPr>
            <w:tcW w:w="6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6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531,828</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59"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531,828</w:t>
            </w:r>
          </w:p>
        </w:tc>
        <w:tc>
          <w:tcPr>
            <w:tcW w:w="455" w:type="dxa"/>
            <w:tcBorders/>
            <w:shd w:fill="CCEEFF" w:val="clear"/>
            <w:vAlign w:val="bottom"/>
          </w:tcPr>
          <w:p>
            <w:pPr>
              <w:pStyle w:val="TableContents"/>
              <w:bidi w:val="0"/>
              <w:spacing w:before="0" w:after="283"/>
              <w:jc w:val="left"/>
              <w:rPr/>
            </w:pPr>
            <w:r>
              <w:rPr/>
              <w:t> </w:t>
            </w:r>
          </w:p>
        </w:tc>
      </w:tr>
      <w:tr>
        <w:trPr/>
        <w:tc>
          <w:tcPr>
            <w:tcW w:w="2345" w:type="dxa"/>
            <w:tcBorders/>
            <w:vAlign w:val="bottom"/>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Freddie Mac</w:t>
            </w:r>
          </w:p>
        </w:tc>
        <w:tc>
          <w:tcPr>
            <w:tcW w:w="60" w:type="dxa"/>
            <w:tcBorders/>
            <w:vAlign w:val="bottom"/>
          </w:tcPr>
          <w:p>
            <w:pPr>
              <w:pStyle w:val="TableContents"/>
              <w:bidi w:val="0"/>
              <w:spacing w:before="0" w:after="283"/>
              <w:jc w:val="right"/>
              <w:rPr/>
            </w:pPr>
            <w:r>
              <w:rPr/>
              <w:t> </w:t>
            </w:r>
          </w:p>
        </w:tc>
        <w:tc>
          <w:tcPr>
            <w:tcW w:w="200" w:type="dxa"/>
            <w:tcBorders>
              <w:bottom w:val="single" w:sz="12" w:space="0" w:color="000000"/>
            </w:tcBorders>
            <w:tcMar>
              <w:bottom w:w="28" w:type="dxa"/>
            </w:tcMar>
            <w:vAlign w:val="bottom"/>
          </w:tcPr>
          <w:p>
            <w:pPr>
              <w:pStyle w:val="TableContents"/>
              <w:bidi w:val="0"/>
              <w:spacing w:before="0" w:after="283"/>
              <w:jc w:val="left"/>
              <w:rPr/>
            </w:pPr>
            <w:r>
              <w:rPr/>
              <w:t> </w:t>
            </w:r>
          </w:p>
        </w:tc>
        <w:tc>
          <w:tcPr>
            <w:tcW w:w="56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0"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682,023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0"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59" w:type="dxa"/>
            <w:tcBorders>
              <w:bottom w:val="single" w:sz="12" w:space="0" w:color="000000"/>
            </w:tcBorders>
            <w:tcMar>
              <w:bottom w:w="28" w:type="dxa"/>
            </w:tcMar>
            <w:vAlign w:val="bottom"/>
          </w:tcPr>
          <w:p>
            <w:pPr>
              <w:pStyle w:val="TableContents"/>
              <w:bidi w:val="0"/>
              <w:spacing w:before="0" w:after="283"/>
              <w:jc w:val="left"/>
              <w:rPr/>
            </w:pPr>
            <w:r>
              <w:rPr/>
              <w:t> </w:t>
            </w:r>
          </w:p>
        </w:tc>
        <w:tc>
          <w:tcPr>
            <w:tcW w:w="10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682,023</w:t>
            </w:r>
          </w:p>
        </w:tc>
        <w:tc>
          <w:tcPr>
            <w:tcW w:w="455" w:type="dxa"/>
            <w:tcBorders/>
            <w:vAlign w:val="bottom"/>
          </w:tcPr>
          <w:p>
            <w:pPr>
              <w:pStyle w:val="TableContents"/>
              <w:bidi w:val="0"/>
              <w:spacing w:before="0" w:after="283"/>
              <w:jc w:val="left"/>
              <w:rPr/>
            </w:pPr>
            <w:r>
              <w:rPr/>
              <w:t> </w:t>
            </w:r>
          </w:p>
        </w:tc>
      </w:tr>
      <w:tr>
        <w:trPr/>
        <w:tc>
          <w:tcPr>
            <w:tcW w:w="2345" w:type="dxa"/>
            <w:tcBorders/>
            <w:shd w:fill="CCEEFF" w:val="clear"/>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RMBS total</w:t>
            </w:r>
          </w:p>
        </w:tc>
        <w:tc>
          <w:tcPr>
            <w:tcW w:w="6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1,213,851</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59" w:type="dxa"/>
            <w:tcBorders/>
            <w:shd w:fill="CCEEFF" w:val="clear"/>
            <w:vAlign w:val="bottom"/>
          </w:tcPr>
          <w:p>
            <w:pPr>
              <w:pStyle w:val="TableContents"/>
              <w:bidi w:val="0"/>
              <w:spacing w:before="0" w:after="283"/>
              <w:jc w:val="left"/>
              <w:rPr/>
            </w:pPr>
            <w:r>
              <w:rPr/>
              <w:t> </w:t>
            </w:r>
          </w:p>
        </w:tc>
        <w:tc>
          <w:tcPr>
            <w:tcW w:w="10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1,213,851</w:t>
            </w:r>
          </w:p>
        </w:tc>
        <w:tc>
          <w:tcPr>
            <w:tcW w:w="455" w:type="dxa"/>
            <w:tcBorders/>
            <w:shd w:fill="CCEEFF" w:val="clear"/>
            <w:vAlign w:val="bottom"/>
          </w:tcPr>
          <w:p>
            <w:pPr>
              <w:pStyle w:val="TableContents"/>
              <w:bidi w:val="0"/>
              <w:spacing w:before="0" w:after="283"/>
              <w:jc w:val="left"/>
              <w:rPr/>
            </w:pPr>
            <w:r>
              <w:rPr/>
              <w:t> </w:t>
            </w:r>
          </w:p>
        </w:tc>
      </w:tr>
      <w:tr>
        <w:trPr/>
        <w:tc>
          <w:tcPr>
            <w:tcW w:w="2345" w:type="dxa"/>
            <w:tcBorders/>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Derivative assets</w:t>
            </w:r>
          </w:p>
        </w:tc>
        <w:tc>
          <w:tcPr>
            <w:tcW w:w="6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59" w:type="dxa"/>
            <w:tcBorders/>
            <w:vAlign w:val="bottom"/>
          </w:tcPr>
          <w:p>
            <w:pPr>
              <w:pStyle w:val="TableContents"/>
              <w:bidi w:val="0"/>
              <w:spacing w:before="0" w:after="283"/>
              <w:jc w:val="left"/>
              <w:rPr/>
            </w:pPr>
            <w:r>
              <w:rPr/>
              <w:t> </w:t>
            </w:r>
          </w:p>
        </w:tc>
        <w:tc>
          <w:tcPr>
            <w:tcW w:w="1095" w:type="dxa"/>
            <w:tcBorders/>
            <w:vAlign w:val="bottom"/>
          </w:tcPr>
          <w:p>
            <w:pPr>
              <w:pStyle w:val="TableContents"/>
              <w:bidi w:val="0"/>
              <w:spacing w:before="0" w:after="283"/>
              <w:jc w:val="right"/>
              <w:rPr/>
            </w:pPr>
            <w:r>
              <w:rPr/>
              <w:t> </w:t>
            </w:r>
          </w:p>
        </w:tc>
        <w:tc>
          <w:tcPr>
            <w:tcW w:w="455" w:type="dxa"/>
            <w:tcBorders/>
            <w:vAlign w:val="bottom"/>
          </w:tcPr>
          <w:p>
            <w:pPr>
              <w:pStyle w:val="TableContents"/>
              <w:bidi w:val="0"/>
              <w:spacing w:before="0" w:after="283"/>
              <w:jc w:val="left"/>
              <w:rPr/>
            </w:pPr>
            <w:r>
              <w:rPr/>
              <w:t> </w:t>
            </w:r>
          </w:p>
        </w:tc>
      </w:tr>
      <w:tr>
        <w:trPr/>
        <w:tc>
          <w:tcPr>
            <w:tcW w:w="2345" w:type="dxa"/>
            <w:tcBorders/>
            <w:shd w:fill="CCEEFF" w:val="clear"/>
            <w:vAlign w:val="bottom"/>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Interest rate swaps</w:t>
            </w:r>
          </w:p>
        </w:tc>
        <w:tc>
          <w:tcPr>
            <w:tcW w:w="6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13,353</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59" w:type="dxa"/>
            <w:tcBorders/>
            <w:shd w:fill="CCEEFF" w:val="clear"/>
            <w:vAlign w:val="bottom"/>
          </w:tcPr>
          <w:p>
            <w:pPr>
              <w:pStyle w:val="TableContents"/>
              <w:bidi w:val="0"/>
              <w:spacing w:before="0" w:after="283"/>
              <w:jc w:val="left"/>
              <w:rPr/>
            </w:pPr>
            <w:r>
              <w:rPr/>
              <w:t> </w:t>
            </w:r>
          </w:p>
        </w:tc>
        <w:tc>
          <w:tcPr>
            <w:tcW w:w="10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13,353</w:t>
            </w:r>
          </w:p>
        </w:tc>
        <w:tc>
          <w:tcPr>
            <w:tcW w:w="455" w:type="dxa"/>
            <w:tcBorders/>
            <w:shd w:fill="CCEEFF" w:val="clear"/>
            <w:vAlign w:val="bottom"/>
          </w:tcPr>
          <w:p>
            <w:pPr>
              <w:pStyle w:val="TableContents"/>
              <w:bidi w:val="0"/>
              <w:spacing w:before="0" w:after="283"/>
              <w:jc w:val="left"/>
              <w:rPr/>
            </w:pPr>
            <w:r>
              <w:rPr/>
              <w:t> </w:t>
            </w:r>
          </w:p>
        </w:tc>
      </w:tr>
      <w:tr>
        <w:trPr/>
        <w:tc>
          <w:tcPr>
            <w:tcW w:w="2345" w:type="dxa"/>
            <w:tcBorders/>
            <w:vAlign w:val="bottom"/>
          </w:tcPr>
          <w:p>
            <w:pPr>
              <w:pStyle w:val="TableContents"/>
              <w:bidi w:val="0"/>
              <w:spacing w:before="0" w:after="0"/>
              <w:ind w:left="360" w:right="0" w:hanging="0"/>
              <w:jc w:val="left"/>
              <w:rPr/>
            </w:pPr>
            <w:r>
              <w:rPr/>
              <w:t xml:space="preserve">U.S. treasury futures </w:t>
            </w:r>
          </w:p>
        </w:tc>
        <w:tc>
          <w:tcPr>
            <w:tcW w:w="6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1,368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59" w:type="dxa"/>
            <w:tcBorders/>
            <w:vAlign w:val="bottom"/>
          </w:tcPr>
          <w:p>
            <w:pPr>
              <w:pStyle w:val="TableContents"/>
              <w:bidi w:val="0"/>
              <w:spacing w:before="0" w:after="283"/>
              <w:jc w:val="left"/>
              <w:rPr/>
            </w:pPr>
            <w:r>
              <w:rPr/>
              <w:t> </w:t>
            </w:r>
          </w:p>
        </w:tc>
        <w:tc>
          <w:tcPr>
            <w:tcW w:w="1095" w:type="dxa"/>
            <w:tcBorders/>
            <w:vAlign w:val="bottom"/>
          </w:tcPr>
          <w:p>
            <w:pPr>
              <w:pStyle w:val="TableContents"/>
              <w:bidi w:val="0"/>
              <w:spacing w:before="0" w:after="283"/>
              <w:jc w:val="right"/>
              <w:rPr/>
            </w:pPr>
            <w:r>
              <w:rPr/>
              <w:t>1,368</w:t>
            </w:r>
          </w:p>
        </w:tc>
        <w:tc>
          <w:tcPr>
            <w:tcW w:w="455" w:type="dxa"/>
            <w:tcBorders/>
            <w:vAlign w:val="bottom"/>
          </w:tcPr>
          <w:p>
            <w:pPr>
              <w:pStyle w:val="TableContents"/>
              <w:bidi w:val="0"/>
              <w:spacing w:before="0" w:after="283"/>
              <w:ind w:left="0" w:right="0" w:firstLine="360"/>
              <w:jc w:val="left"/>
              <w:rPr/>
            </w:pPr>
            <w:r>
              <w:rPr/>
              <w:t> </w:t>
            </w:r>
          </w:p>
        </w:tc>
      </w:tr>
      <w:tr>
        <w:trPr/>
        <w:tc>
          <w:tcPr>
            <w:tcW w:w="2345" w:type="dxa"/>
            <w:tcBorders/>
            <w:shd w:fill="CCEEFF" w:val="clear"/>
            <w:vAlign w:val="bottom"/>
          </w:tcPr>
          <w:p>
            <w:pPr>
              <w:pStyle w:val="TableContents"/>
              <w:bidi w:val="0"/>
              <w:spacing w:before="0" w:after="283"/>
              <w:jc w:val="left"/>
              <w:rPr/>
            </w:pPr>
            <w:r>
              <w:rPr/>
              <w:t>Eris SOFR swap futures</w:t>
            </w:r>
          </w:p>
        </w:tc>
        <w:tc>
          <w:tcPr>
            <w:tcW w:w="60" w:type="dxa"/>
            <w:tcBorders/>
            <w:shd w:fill="CCEEFF" w:val="clear"/>
            <w:vAlign w:val="bottom"/>
          </w:tcPr>
          <w:p>
            <w:pPr>
              <w:pStyle w:val="TableContents"/>
              <w:bidi w:val="0"/>
              <w:spacing w:before="0" w:after="283"/>
              <w:jc w:val="right"/>
              <w:rPr/>
            </w:pPr>
            <w:r>
              <w:rPr/>
              <w:t> </w:t>
            </w:r>
          </w:p>
        </w:tc>
        <w:tc>
          <w:tcPr>
            <w:tcW w:w="20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60" w:type="dxa"/>
            <w:tcBorders>
              <w:bottom w:val="single" w:sz="12" w:space="0" w:color="000000"/>
            </w:tcBorders>
            <w:shd w:fill="CCEEFF" w:val="clear"/>
            <w:tcMar>
              <w:bottom w:w="28" w:type="dxa"/>
            </w:tcM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283"/>
              <w:jc w:val="right"/>
              <w:rPr/>
            </w:pPr>
            <w:r>
              <w:rPr/>
              <w:t>36</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5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95" w:type="dxa"/>
            <w:tcBorders>
              <w:bottom w:val="single" w:sz="12" w:space="0" w:color="000000"/>
            </w:tcBorders>
            <w:shd w:fill="CCEEFF" w:val="clear"/>
            <w:tcMar>
              <w:bottom w:w="28" w:type="dxa"/>
            </w:tcMar>
            <w:vAlign w:val="bottom"/>
          </w:tcPr>
          <w:p>
            <w:pPr>
              <w:pStyle w:val="TableContents"/>
              <w:bidi w:val="0"/>
              <w:spacing w:before="0" w:after="283"/>
              <w:jc w:val="right"/>
              <w:rPr/>
            </w:pPr>
            <w:r>
              <w:rPr/>
              <w:t>36</w:t>
            </w:r>
          </w:p>
        </w:tc>
        <w:tc>
          <w:tcPr>
            <w:tcW w:w="455" w:type="dxa"/>
            <w:tcBorders/>
            <w:shd w:fill="CCEEFF" w:val="clear"/>
            <w:vAlign w:val="bottom"/>
          </w:tcPr>
          <w:p>
            <w:pPr>
              <w:pStyle w:val="TableContents"/>
              <w:bidi w:val="0"/>
              <w:spacing w:before="0" w:after="283"/>
              <w:jc w:val="left"/>
              <w:rPr/>
            </w:pPr>
            <w:r>
              <w:rPr/>
              <w:t> </w:t>
            </w:r>
          </w:p>
        </w:tc>
      </w:tr>
      <w:tr>
        <w:trPr/>
        <w:tc>
          <w:tcPr>
            <w:tcW w:w="2345" w:type="dxa"/>
            <w:tcBorders/>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Derivative assets total</w:t>
            </w:r>
          </w:p>
        </w:tc>
        <w:tc>
          <w:tcPr>
            <w:tcW w:w="6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1,368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13,389</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59" w:type="dxa"/>
            <w:tcBorders/>
            <w:vAlign w:val="bottom"/>
          </w:tcPr>
          <w:p>
            <w:pPr>
              <w:pStyle w:val="TableContents"/>
              <w:bidi w:val="0"/>
              <w:spacing w:before="0" w:after="283"/>
              <w:jc w:val="left"/>
              <w:rPr/>
            </w:pPr>
            <w:r>
              <w:rPr/>
              <w:t> </w:t>
            </w:r>
          </w:p>
        </w:tc>
        <w:tc>
          <w:tcPr>
            <w:tcW w:w="10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14,757</w:t>
            </w:r>
          </w:p>
        </w:tc>
        <w:tc>
          <w:tcPr>
            <w:tcW w:w="455" w:type="dxa"/>
            <w:tcBorders/>
            <w:vAlign w:val="bottom"/>
          </w:tcPr>
          <w:p>
            <w:pPr>
              <w:pStyle w:val="TableContents"/>
              <w:bidi w:val="0"/>
              <w:spacing w:before="0" w:after="283"/>
              <w:jc w:val="left"/>
              <w:rPr/>
            </w:pPr>
            <w:r>
              <w:rPr/>
              <w:t> </w:t>
            </w:r>
          </w:p>
        </w:tc>
      </w:tr>
      <w:tr>
        <w:trPr/>
        <w:tc>
          <w:tcPr>
            <w:tcW w:w="2345" w:type="dxa"/>
            <w:tcBorders/>
            <w:shd w:fill="CCEEFF" w:val="clear"/>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Servicing related assets</w:t>
            </w:r>
          </w:p>
        </w:tc>
        <w:tc>
          <w:tcPr>
            <w:tcW w:w="60" w:type="dxa"/>
            <w:tcBorders/>
            <w:shd w:fill="CCEEFF" w:val="clear"/>
            <w:vAlign w:val="bottom"/>
          </w:tcPr>
          <w:p>
            <w:pPr>
              <w:pStyle w:val="TableContents"/>
              <w:bidi w:val="0"/>
              <w:spacing w:before="0" w:after="283"/>
              <w:jc w:val="right"/>
              <w:rPr/>
            </w:pPr>
            <w:r>
              <w:rPr/>
              <w:t> </w:t>
            </w:r>
          </w:p>
        </w:tc>
        <w:tc>
          <w:tcPr>
            <w:tcW w:w="20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6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214,831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5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214,831</w:t>
            </w:r>
          </w:p>
        </w:tc>
        <w:tc>
          <w:tcPr>
            <w:tcW w:w="455" w:type="dxa"/>
            <w:tcBorders/>
            <w:shd w:fill="CCEEFF" w:val="clear"/>
            <w:vAlign w:val="bottom"/>
          </w:tcPr>
          <w:p>
            <w:pPr>
              <w:pStyle w:val="TableContents"/>
              <w:bidi w:val="0"/>
              <w:spacing w:before="0" w:after="283"/>
              <w:jc w:val="left"/>
              <w:rPr/>
            </w:pPr>
            <w:r>
              <w:rPr/>
              <w:t> </w:t>
            </w:r>
          </w:p>
        </w:tc>
      </w:tr>
      <w:tr>
        <w:trPr/>
        <w:tc>
          <w:tcPr>
            <w:tcW w:w="234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Assets</w:t>
            </w:r>
          </w:p>
        </w:tc>
        <w:tc>
          <w:tcPr>
            <w:tcW w:w="6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560"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1,368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845"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1,227,240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95"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214,831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59"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1095"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1,443,439</w:t>
            </w:r>
          </w:p>
        </w:tc>
        <w:tc>
          <w:tcPr>
            <w:tcW w:w="455" w:type="dxa"/>
            <w:tcBorders/>
            <w:vAlign w:val="bottom"/>
          </w:tcPr>
          <w:p>
            <w:pPr>
              <w:pStyle w:val="TableContents"/>
              <w:bidi w:val="0"/>
              <w:spacing w:before="0" w:after="283"/>
              <w:jc w:val="left"/>
              <w:rPr/>
            </w:pPr>
            <w:r>
              <w:rPr/>
              <w:t> </w:t>
            </w:r>
          </w:p>
        </w:tc>
      </w:tr>
      <w:tr>
        <w:trPr/>
        <w:tc>
          <w:tcPr>
            <w:tcW w:w="234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Liabilities</w:t>
            </w:r>
          </w:p>
        </w:tc>
        <w:tc>
          <w:tcPr>
            <w:tcW w:w="6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59" w:type="dxa"/>
            <w:tcBorders/>
            <w:shd w:fill="CCEEFF" w:val="clear"/>
            <w:vAlign w:val="bottom"/>
          </w:tcPr>
          <w:p>
            <w:pPr>
              <w:pStyle w:val="TableContents"/>
              <w:bidi w:val="0"/>
              <w:spacing w:before="0" w:after="283"/>
              <w:jc w:val="left"/>
              <w:rPr/>
            </w:pPr>
            <w:r>
              <w:rPr/>
              <w:t> </w:t>
            </w:r>
          </w:p>
        </w:tc>
        <w:tc>
          <w:tcPr>
            <w:tcW w:w="1095" w:type="dxa"/>
            <w:tcBorders/>
            <w:shd w:fill="CCEEFF" w:val="clear"/>
            <w:vAlign w:val="bottom"/>
          </w:tcPr>
          <w:p>
            <w:pPr>
              <w:pStyle w:val="TableContents"/>
              <w:bidi w:val="0"/>
              <w:spacing w:before="0" w:after="283"/>
              <w:jc w:val="right"/>
              <w:rPr/>
            </w:pPr>
            <w:r>
              <w:rPr/>
              <w:t> </w:t>
            </w:r>
          </w:p>
        </w:tc>
        <w:tc>
          <w:tcPr>
            <w:tcW w:w="455" w:type="dxa"/>
            <w:tcBorders/>
            <w:shd w:fill="CCEEFF" w:val="clear"/>
            <w:vAlign w:val="bottom"/>
          </w:tcPr>
          <w:p>
            <w:pPr>
              <w:pStyle w:val="TableContents"/>
              <w:bidi w:val="0"/>
              <w:spacing w:before="0" w:after="283"/>
              <w:jc w:val="left"/>
              <w:rPr/>
            </w:pPr>
            <w:r>
              <w:rPr/>
              <w:t> </w:t>
            </w:r>
          </w:p>
        </w:tc>
      </w:tr>
      <w:tr>
        <w:trPr/>
        <w:tc>
          <w:tcPr>
            <w:tcW w:w="2345" w:type="dxa"/>
            <w:tcBorders/>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Derivative liabilities</w:t>
            </w:r>
          </w:p>
        </w:tc>
        <w:tc>
          <w:tcPr>
            <w:tcW w:w="6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59" w:type="dxa"/>
            <w:tcBorders/>
            <w:vAlign w:val="bottom"/>
          </w:tcPr>
          <w:p>
            <w:pPr>
              <w:pStyle w:val="TableContents"/>
              <w:bidi w:val="0"/>
              <w:spacing w:before="0" w:after="283"/>
              <w:jc w:val="left"/>
              <w:rPr/>
            </w:pPr>
            <w:r>
              <w:rPr/>
              <w:t> </w:t>
            </w:r>
          </w:p>
        </w:tc>
        <w:tc>
          <w:tcPr>
            <w:tcW w:w="1095" w:type="dxa"/>
            <w:tcBorders/>
            <w:vAlign w:val="bottom"/>
          </w:tcPr>
          <w:p>
            <w:pPr>
              <w:pStyle w:val="TableContents"/>
              <w:bidi w:val="0"/>
              <w:spacing w:before="0" w:after="283"/>
              <w:jc w:val="right"/>
              <w:rPr/>
            </w:pPr>
            <w:r>
              <w:rPr/>
              <w:t> </w:t>
            </w:r>
          </w:p>
        </w:tc>
        <w:tc>
          <w:tcPr>
            <w:tcW w:w="455" w:type="dxa"/>
            <w:tcBorders/>
            <w:vAlign w:val="bottom"/>
          </w:tcPr>
          <w:p>
            <w:pPr>
              <w:pStyle w:val="TableContents"/>
              <w:bidi w:val="0"/>
              <w:spacing w:before="0" w:after="283"/>
              <w:jc w:val="left"/>
              <w:rPr/>
            </w:pPr>
            <w:r>
              <w:rPr/>
              <w:t> </w:t>
            </w:r>
          </w:p>
        </w:tc>
      </w:tr>
      <w:tr>
        <w:trPr/>
        <w:tc>
          <w:tcPr>
            <w:tcW w:w="2345" w:type="dxa"/>
            <w:tcBorders/>
            <w:shd w:fill="CCEEFF" w:val="clear"/>
            <w:vAlign w:val="bottom"/>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Interest rate swaps</w:t>
            </w:r>
          </w:p>
        </w:tc>
        <w:tc>
          <w:tcPr>
            <w:tcW w:w="6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xml:space="preserve">$ </w:t>
            </w:r>
          </w:p>
        </w:tc>
        <w:tc>
          <w:tcPr>
            <w:tcW w:w="56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xml:space="preserve">$ </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(1,199</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xml:space="preserve">$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59" w:type="dxa"/>
            <w:tcBorders/>
            <w:shd w:fill="CCEEFF" w:val="clear"/>
            <w:vAlign w:val="bottom"/>
          </w:tcPr>
          <w:p>
            <w:pPr>
              <w:pStyle w:val="TableContents"/>
              <w:bidi w:val="0"/>
              <w:spacing w:before="0" w:after="283"/>
              <w:jc w:val="left"/>
              <w:rPr/>
            </w:pPr>
            <w:r>
              <w:rPr/>
              <w:t xml:space="preserve">$ </w:t>
            </w:r>
          </w:p>
        </w:tc>
        <w:tc>
          <w:tcPr>
            <w:tcW w:w="10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(1,199</w:t>
            </w:r>
          </w:p>
        </w:tc>
        <w:tc>
          <w:tcPr>
            <w:tcW w:w="455" w:type="dxa"/>
            <w:tcBorders/>
            <w:shd w:fill="CCEEFF" w:val="clear"/>
            <w:vAlign w:val="bottom"/>
          </w:tcPr>
          <w:p>
            <w:pPr>
              <w:pStyle w:val="TableContents"/>
              <w:bidi w:val="0"/>
              <w:spacing w:before="0" w:after="0"/>
              <w:ind w:left="0" w:right="0" w:firstLine="360"/>
              <w:jc w:val="left"/>
              <w:rPr>
                <w:rFonts w:ascii="Times New Roman" w:hAnsi="Times New Roman"/>
                <w:sz w:val="20"/>
              </w:rPr>
            </w:pPr>
            <w:r>
              <w:rPr>
                <w:rFonts w:ascii="Times New Roman" w:hAnsi="Times New Roman"/>
                <w:sz w:val="20"/>
              </w:rPr>
              <w:t>)</w:t>
            </w:r>
          </w:p>
        </w:tc>
      </w:tr>
      <w:tr>
        <w:trPr/>
        <w:tc>
          <w:tcPr>
            <w:tcW w:w="2345" w:type="dxa"/>
            <w:tcBorders/>
            <w:vAlign w:val="bottom"/>
          </w:tcPr>
          <w:p>
            <w:pPr>
              <w:pStyle w:val="TableContents"/>
              <w:bidi w:val="0"/>
              <w:spacing w:before="0" w:after="283"/>
              <w:jc w:val="left"/>
              <w:rPr/>
            </w:pPr>
            <w:r>
              <w:rPr/>
              <w:t xml:space="preserve">TBAs, net </w:t>
            </w:r>
          </w:p>
        </w:tc>
        <w:tc>
          <w:tcPr>
            <w:tcW w:w="60" w:type="dxa"/>
            <w:tcBorders/>
            <w:vAlign w:val="bottom"/>
          </w:tcPr>
          <w:p>
            <w:pPr>
              <w:pStyle w:val="TableContents"/>
              <w:bidi w:val="0"/>
              <w:spacing w:before="0" w:after="283"/>
              <w:jc w:val="right"/>
              <w:rPr/>
            </w:pPr>
            <w:r>
              <w:rPr/>
              <w:t> </w:t>
            </w:r>
          </w:p>
        </w:tc>
        <w:tc>
          <w:tcPr>
            <w:tcW w:w="200" w:type="dxa"/>
            <w:tcBorders>
              <w:bottom w:val="single" w:sz="12" w:space="0" w:color="000000"/>
            </w:tcBorders>
            <w:tcMar>
              <w:bottom w:w="28" w:type="dxa"/>
            </w:tcMar>
            <w:vAlign w:val="bottom"/>
          </w:tcPr>
          <w:p>
            <w:pPr>
              <w:pStyle w:val="TableContents"/>
              <w:bidi w:val="0"/>
              <w:spacing w:before="0" w:after="283"/>
              <w:jc w:val="left"/>
              <w:rPr/>
            </w:pPr>
            <w:r>
              <w:rPr/>
              <w:t> </w:t>
            </w:r>
          </w:p>
        </w:tc>
        <w:tc>
          <w:tcPr>
            <w:tcW w:w="560" w:type="dxa"/>
            <w:tcBorders>
              <w:bottom w:val="single" w:sz="12" w:space="0" w:color="000000"/>
            </w:tcBorders>
            <w:tcMar>
              <w:bottom w:w="28" w:type="dxa"/>
            </w:tcMar>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0"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283"/>
              <w:jc w:val="right"/>
              <w:rPr/>
            </w:pPr>
            <w:r>
              <w:rPr/>
              <w:t>(1,076</w:t>
            </w:r>
          </w:p>
        </w:tc>
        <w:tc>
          <w:tcPr>
            <w:tcW w:w="95" w:type="dxa"/>
            <w:tcBorders/>
            <w:vAlign w:val="bottom"/>
          </w:tcPr>
          <w:p>
            <w:pPr>
              <w:pStyle w:val="TableContents"/>
              <w:bidi w:val="0"/>
              <w:spacing w:before="0" w:after="283"/>
              <w:jc w:val="left"/>
              <w:rPr/>
            </w:pPr>
            <w:r>
              <w:rPr/>
              <w:t>)</w:t>
            </w:r>
          </w:p>
        </w:tc>
        <w:tc>
          <w:tcPr>
            <w:tcW w:w="60" w:type="dxa"/>
            <w:tcBorders/>
            <w:vAlign w:val="bottom"/>
          </w:tcPr>
          <w:p>
            <w:pPr>
              <w:pStyle w:val="TableContents"/>
              <w:bidi w:val="0"/>
              <w:spacing w:before="0" w:after="283"/>
              <w:jc w:val="right"/>
              <w:rPr/>
            </w:pPr>
            <w:r>
              <w:rPr/>
              <w:t> </w:t>
            </w:r>
          </w:p>
        </w:tc>
        <w:tc>
          <w:tcPr>
            <w:tcW w:w="200"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59" w:type="dxa"/>
            <w:tcBorders>
              <w:bottom w:val="single" w:sz="12" w:space="0" w:color="000000"/>
            </w:tcBorders>
            <w:tcMar>
              <w:bottom w:w="28" w:type="dxa"/>
            </w:tcMar>
            <w:vAlign w:val="bottom"/>
          </w:tcPr>
          <w:p>
            <w:pPr>
              <w:pStyle w:val="TableContents"/>
              <w:bidi w:val="0"/>
              <w:spacing w:before="0" w:after="283"/>
              <w:jc w:val="left"/>
              <w:rPr/>
            </w:pPr>
            <w:r>
              <w:rPr/>
              <w:t> </w:t>
            </w:r>
          </w:p>
        </w:tc>
        <w:tc>
          <w:tcPr>
            <w:tcW w:w="1095" w:type="dxa"/>
            <w:tcBorders>
              <w:bottom w:val="single" w:sz="12" w:space="0" w:color="000000"/>
            </w:tcBorders>
            <w:tcMar>
              <w:bottom w:w="28" w:type="dxa"/>
            </w:tcMar>
            <w:vAlign w:val="bottom"/>
          </w:tcPr>
          <w:p>
            <w:pPr>
              <w:pStyle w:val="TableContents"/>
              <w:bidi w:val="0"/>
              <w:spacing w:before="0" w:after="283"/>
              <w:jc w:val="right"/>
              <w:rPr/>
            </w:pPr>
            <w:r>
              <w:rPr/>
              <w:t>(1,076</w:t>
            </w:r>
          </w:p>
        </w:tc>
        <w:tc>
          <w:tcPr>
            <w:tcW w:w="455" w:type="dxa"/>
            <w:tcBorders/>
            <w:vAlign w:val="bottom"/>
          </w:tcPr>
          <w:p>
            <w:pPr>
              <w:pStyle w:val="TableContents"/>
              <w:bidi w:val="0"/>
              <w:spacing w:before="0" w:after="283"/>
              <w:jc w:val="left"/>
              <w:rPr/>
            </w:pPr>
            <w:r>
              <w:rPr/>
              <w:t>)</w:t>
            </w:r>
          </w:p>
        </w:tc>
      </w:tr>
      <w:tr>
        <w:trPr/>
        <w:tc>
          <w:tcPr>
            <w:tcW w:w="2345" w:type="dxa"/>
            <w:tcBorders/>
            <w:shd w:fill="CCEEFF" w:val="clear"/>
            <w:vAlign w:val="bottom"/>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Derivative liabilities total</w:t>
            </w:r>
          </w:p>
        </w:tc>
        <w:tc>
          <w:tcPr>
            <w:tcW w:w="60" w:type="dxa"/>
            <w:tcBorders/>
            <w:shd w:fill="CCEEFF" w:val="clear"/>
            <w:vAlign w:val="bottom"/>
          </w:tcPr>
          <w:p>
            <w:pPr>
              <w:pStyle w:val="TableContents"/>
              <w:bidi w:val="0"/>
              <w:spacing w:before="0" w:after="283"/>
              <w:jc w:val="right"/>
              <w:rPr/>
            </w:pPr>
            <w:r>
              <w:rPr/>
              <w:t> </w:t>
            </w:r>
          </w:p>
        </w:tc>
        <w:tc>
          <w:tcPr>
            <w:tcW w:w="20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6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(2,275</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20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5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(2,275</w:t>
            </w:r>
          </w:p>
        </w:tc>
        <w:tc>
          <w:tcPr>
            <w:tcW w:w="45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234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Liabilities</w:t>
            </w:r>
          </w:p>
        </w:tc>
        <w:tc>
          <w:tcPr>
            <w:tcW w:w="6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560"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845"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(2,275</w:t>
            </w:r>
          </w:p>
        </w:tc>
        <w:tc>
          <w:tcPr>
            <w:tcW w:w="9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95"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59"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1095"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(2,275</w:t>
            </w:r>
          </w:p>
        </w:tc>
        <w:tc>
          <w:tcPr>
            <w:tcW w:w="45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38</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 xml:space="preserve">The Company may be required to measure certain assets or liabilities at fair value from time to time. These periodic fair value measures typically result from application of certain impairment measures under GAAP. These items would constitute nonrecurring fair value measures under ASC 820. As of June 30, 2026 and December 31, 2025, the Company did not have any assets or liabilities measured at fair value on a nonrecurring basis in the periods presented. </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Level 3 Assets and Liabilities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valuation of Level 3 assets and liabilities requires significant judgment by management. The Company estimates the fair value of its Servicing Related Assets based on internal pricing models rather than quotations and compares the results of these internal models against the results from models generated by third-party pricing providers. The third-party pricing providers and management rely on inputs such as market price quotations from market makers (either market or indicative levels), original transaction price, recent transactions in the same or similar instruments, and changes in financial ratios or cash flows to determine fair value. Level 3 instruments may also be discounted to reflect illiquidity with the amount of such discount estimated by third-party pricing providers and management in the absence of market information. Assumptions used by third-party pricing providers and management due to lack of observable inputs may significantly impact the resulting fair value and, therefore, the Company’s consolidated financial statements. The Company’s management reviews all valuations that are based on pricing information received from third-party pricing providers. As part of this review, prices are compared against other pricing or input data points in the marketplace, along with internal valuation expertise, to ensure the pricing is reasonable.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Changes in market conditions, as well as changes in the assumptions or methodology used to determine fair value, could result in a significant change to estimated fair values. The determination of estimated cash flows used in pricing models is inherently subjective and imprecise. It should be noted that minor changes in assumptions or estimation methodologies can have a material effect on these derived or estimated fair values, and that the fair values reflected below are indicative of the interest rate and credit spread environments as of June 30, 2026 and December 31, 2025 and do not take into consideration the effects of subsequent changes in market or other factors.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tables below present the reconciliation for the Company’s Level 3 assets (Servicing Related Assets) measured at fair value on a recurring basis as of the dates indicated (dollars in thousands):</w:t>
      </w:r>
    </w:p>
    <w:p>
      <w:pPr>
        <w:pStyle w:val="TextBody"/>
        <w:bidi w:val="0"/>
        <w:spacing w:before="0" w:after="0"/>
        <w:jc w:val="left"/>
        <w:rPr/>
      </w:pPr>
      <w:r>
        <w:rPr/>
      </w:r>
    </w:p>
    <w:p>
      <w:pPr>
        <w:pStyle w:val="TextBody"/>
        <w:bidi w:val="0"/>
        <w:spacing w:before="240" w:after="200"/>
        <w:ind w:left="0" w:right="0" w:hanging="0"/>
        <w:jc w:val="center"/>
        <w:rPr>
          <w:rFonts w:ascii="Times New Roman" w:hAnsi="Times New Roman"/>
          <w:b/>
          <w:i w:val="false"/>
          <w:caps w:val="false"/>
          <w:smallCaps w:val="false"/>
          <w:color w:val="000000"/>
          <w:spacing w:val="0"/>
          <w:sz w:val="20"/>
          <w:shd w:fill="FFFFFF" w:val="clear"/>
        </w:rPr>
      </w:pPr>
      <w:r>
        <w:rPr>
          <w:rFonts w:ascii="Times New Roman" w:hAnsi="Times New Roman"/>
          <w:b/>
          <w:i w:val="false"/>
          <w:caps w:val="false"/>
          <w:smallCaps w:val="false"/>
          <w:color w:val="000000"/>
          <w:spacing w:val="0"/>
          <w:sz w:val="20"/>
          <w:shd w:fill="FFFFFF" w:val="clear"/>
        </w:rPr>
        <w:t>Level 3 Fair Value Measurements</w:t>
      </w:r>
    </w:p>
    <w:p>
      <w:pPr>
        <w:pStyle w:val="TextBody"/>
        <w:bidi w:val="0"/>
        <w:spacing w:before="0" w:after="0"/>
        <w:jc w:val="left"/>
        <w:rPr/>
      </w:pPr>
      <w:r>
        <w:rPr/>
      </w:r>
    </w:p>
    <w:tbl>
      <w:tblPr>
        <w:tblW w:w="10205" w:type="dxa"/>
        <w:jc w:val="center"/>
        <w:tblInd w:w="0" w:type="dxa"/>
        <w:tblLayout w:type="fixed"/>
        <w:tblCellMar>
          <w:top w:w="0" w:type="dxa"/>
          <w:left w:w="0" w:type="dxa"/>
          <w:bottom w:w="0" w:type="dxa"/>
          <w:right w:w="0" w:type="dxa"/>
        </w:tblCellMar>
      </w:tblPr>
      <w:tblGrid>
        <w:gridCol w:w="4744"/>
        <w:gridCol w:w="60"/>
        <w:gridCol w:w="184"/>
        <w:gridCol w:w="1059"/>
        <w:gridCol w:w="100"/>
        <w:gridCol w:w="63"/>
        <w:gridCol w:w="184"/>
        <w:gridCol w:w="1059"/>
        <w:gridCol w:w="95"/>
        <w:gridCol w:w="60"/>
        <w:gridCol w:w="163"/>
        <w:gridCol w:w="936"/>
        <w:gridCol w:w="95"/>
        <w:gridCol w:w="60"/>
        <w:gridCol w:w="184"/>
        <w:gridCol w:w="1059"/>
        <w:gridCol w:w="100"/>
      </w:tblGrid>
      <w:tr>
        <w:trPr/>
        <w:tc>
          <w:tcPr>
            <w:tcW w:w="47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9" w:type="dxa"/>
            <w:gridSpan w:val="6"/>
            <w:tcBorders>
              <w:bottom w:val="single" w:sz="12" w:space="0" w:color="000000"/>
            </w:tcBorders>
            <w:tcMar>
              <w:bottom w:w="28" w:type="dxa"/>
            </w:tcMar>
            <w:vAlign w:val="bottom"/>
          </w:tcPr>
          <w:p>
            <w:pPr>
              <w:pStyle w:val="TableContents"/>
              <w:bidi w:val="0"/>
              <w:spacing w:before="0" w:after="0"/>
              <w:jc w:val="center"/>
              <w:rPr>
                <w:b/>
              </w:rPr>
            </w:pPr>
            <w:r>
              <w:rPr>
                <w:b/>
              </w:rPr>
              <w:t>Three Months Ended</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97" w:type="dxa"/>
            <w:gridSpan w:val="6"/>
            <w:tcBorders>
              <w:bottom w:val="single" w:sz="12" w:space="0" w:color="000000"/>
            </w:tcBorders>
            <w:tcMar>
              <w:bottom w:w="28" w:type="dxa"/>
            </w:tcMar>
            <w:vAlign w:val="bottom"/>
          </w:tcPr>
          <w:p>
            <w:pPr>
              <w:pStyle w:val="TableContents"/>
              <w:bidi w:val="0"/>
              <w:spacing w:before="0" w:after="0"/>
              <w:jc w:val="center"/>
              <w:rPr>
                <w:b/>
              </w:rPr>
            </w:pPr>
            <w:r>
              <w:rPr>
                <w:b/>
              </w:rPr>
              <w:t>Six Months Ended</w:t>
            </w:r>
          </w:p>
        </w:tc>
        <w:tc>
          <w:tcPr>
            <w:tcW w:w="100" w:type="dxa"/>
            <w:tcBorders/>
            <w:vAlign w:val="bottom"/>
          </w:tcPr>
          <w:p>
            <w:pPr>
              <w:pStyle w:val="TableContents"/>
              <w:bidi w:val="0"/>
              <w:spacing w:before="0" w:after="283"/>
              <w:jc w:val="left"/>
              <w:rPr/>
            </w:pPr>
            <w:r>
              <w:rPr/>
              <w:t> </w:t>
            </w:r>
          </w:p>
        </w:tc>
      </w:tr>
      <w:tr>
        <w:trPr/>
        <w:tc>
          <w:tcPr>
            <w:tcW w:w="47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3" w:type="dxa"/>
            <w:gridSpan w:val="2"/>
            <w:tcBorders>
              <w:bottom w:val="single" w:sz="12" w:space="0" w:color="000000"/>
            </w:tcBorders>
            <w:tcMar>
              <w:bottom w:w="28" w:type="dxa"/>
            </w:tcMar>
            <w:vAlign w:val="bottom"/>
          </w:tcPr>
          <w:p>
            <w:pPr>
              <w:pStyle w:val="TableContents"/>
              <w:bidi w:val="0"/>
              <w:spacing w:before="0" w:after="0"/>
              <w:jc w:val="center"/>
              <w:rPr>
                <w:b/>
              </w:rPr>
            </w:pPr>
            <w:r>
              <w:rPr>
                <w:b/>
              </w:rPr>
              <w:t>June 30, 2026</w:t>
            </w:r>
          </w:p>
        </w:tc>
        <w:tc>
          <w:tcPr>
            <w:tcW w:w="10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243" w:type="dxa"/>
            <w:gridSpan w:val="2"/>
            <w:tcBorders>
              <w:bottom w:val="single" w:sz="12" w:space="0" w:color="000000"/>
            </w:tcBorders>
            <w:tcMar>
              <w:bottom w:w="28" w:type="dxa"/>
            </w:tcMar>
            <w:vAlign w:val="bottom"/>
          </w:tcPr>
          <w:p>
            <w:pPr>
              <w:pStyle w:val="TableContents"/>
              <w:bidi w:val="0"/>
              <w:spacing w:before="0" w:after="0"/>
              <w:jc w:val="center"/>
              <w:rPr>
                <w:b/>
              </w:rPr>
            </w:pPr>
            <w:r>
              <w:rPr>
                <w:b/>
              </w:rPr>
              <w:t>June 30, 2025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99" w:type="dxa"/>
            <w:gridSpan w:val="2"/>
            <w:tcBorders>
              <w:bottom w:val="single" w:sz="12" w:space="0" w:color="000000"/>
            </w:tcBorders>
            <w:tcMar>
              <w:bottom w:w="28" w:type="dxa"/>
            </w:tcMar>
            <w:vAlign w:val="bottom"/>
          </w:tcPr>
          <w:p>
            <w:pPr>
              <w:pStyle w:val="TableContents"/>
              <w:bidi w:val="0"/>
              <w:spacing w:before="0" w:after="0"/>
              <w:jc w:val="center"/>
              <w:rPr>
                <w:b/>
                <w:sz w:val="20"/>
              </w:rPr>
            </w:pPr>
            <w:r>
              <w:rPr>
                <w:b/>
                <w:sz w:val="20"/>
              </w:rPr>
              <w:t>June 30, 2026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3" w:type="dxa"/>
            <w:gridSpan w:val="2"/>
            <w:tcBorders>
              <w:bottom w:val="single" w:sz="12" w:space="0" w:color="000000"/>
            </w:tcBorders>
            <w:tcMar>
              <w:bottom w:w="28" w:type="dxa"/>
            </w:tcMar>
            <w:vAlign w:val="bottom"/>
          </w:tcPr>
          <w:p>
            <w:pPr>
              <w:pStyle w:val="TableContents"/>
              <w:bidi w:val="0"/>
              <w:spacing w:before="0" w:after="0"/>
              <w:jc w:val="center"/>
              <w:rPr>
                <w:b/>
              </w:rPr>
            </w:pPr>
            <w:r>
              <w:rPr>
                <w:b/>
              </w:rPr>
              <w:t>June 30, 2025</w:t>
            </w:r>
          </w:p>
        </w:tc>
        <w:tc>
          <w:tcPr>
            <w:tcW w:w="100" w:type="dxa"/>
            <w:tcBorders/>
            <w:vAlign w:val="bottom"/>
          </w:tcPr>
          <w:p>
            <w:pPr>
              <w:pStyle w:val="TableContents"/>
              <w:bidi w:val="0"/>
              <w:spacing w:before="0" w:after="283"/>
              <w:jc w:val="left"/>
              <w:rPr/>
            </w:pPr>
            <w:r>
              <w:rPr/>
              <w:t> </w:t>
            </w:r>
          </w:p>
        </w:tc>
      </w:tr>
      <w:tr>
        <w:trPr/>
        <w:tc>
          <w:tcPr>
            <w:tcW w:w="4744" w:type="dxa"/>
            <w:tcBorders/>
            <w:shd w:fill="CCEEFF" w:val="clear"/>
            <w:vAlign w:val="bottom"/>
          </w:tcPr>
          <w:p>
            <w:pPr>
              <w:pStyle w:val="TableContents"/>
              <w:bidi w:val="0"/>
              <w:spacing w:before="0" w:after="0"/>
              <w:jc w:val="left"/>
              <w:rPr>
                <w:b/>
              </w:rPr>
            </w:pPr>
            <w:r>
              <w:rPr>
                <w:b/>
              </w:rPr>
              <w:t>Balance at beginning of period</w:t>
            </w:r>
          </w:p>
        </w:tc>
        <w:tc>
          <w:tcPr>
            <w:tcW w:w="60" w:type="dxa"/>
            <w:tcBorders/>
            <w:shd w:fill="CCEEFF" w:val="clear"/>
            <w:vAlign w:val="bottom"/>
          </w:tcPr>
          <w:p>
            <w:pPr>
              <w:pStyle w:val="TableContents"/>
              <w:bidi w:val="0"/>
              <w:spacing w:before="0" w:after="283"/>
              <w:jc w:val="right"/>
              <w:rPr/>
            </w:pPr>
            <w:r>
              <w:rPr/>
              <w:t> </w:t>
            </w:r>
          </w:p>
        </w:tc>
        <w:tc>
          <w:tcPr>
            <w:tcW w:w="184" w:type="dxa"/>
            <w:tcBorders/>
            <w:shd w:fill="CCEEFF" w:val="clear"/>
            <w:vAlign w:val="bottom"/>
          </w:tcPr>
          <w:p>
            <w:pPr>
              <w:pStyle w:val="TableContents"/>
              <w:bidi w:val="0"/>
              <w:spacing w:before="0" w:after="0"/>
              <w:jc w:val="left"/>
              <w:rPr>
                <w:b/>
              </w:rPr>
            </w:pPr>
            <w:r>
              <w:rPr>
                <w:b/>
              </w:rPr>
              <w:t>$</w:t>
            </w:r>
          </w:p>
        </w:tc>
        <w:tc>
          <w:tcPr>
            <w:tcW w:w="1059" w:type="dxa"/>
            <w:tcBorders/>
            <w:shd w:fill="CCEEFF" w:val="clear"/>
            <w:vAlign w:val="bottom"/>
          </w:tcPr>
          <w:p>
            <w:pPr>
              <w:pStyle w:val="TableContents"/>
              <w:bidi w:val="0"/>
              <w:spacing w:before="0" w:after="0"/>
              <w:jc w:val="right"/>
              <w:rPr>
                <w:b/>
              </w:rPr>
            </w:pPr>
            <w:r>
              <w:rPr>
                <w:b/>
              </w:rPr>
              <w:t>213,455</w:t>
            </w:r>
          </w:p>
        </w:tc>
        <w:tc>
          <w:tcPr>
            <w:tcW w:w="10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right"/>
              <w:rPr/>
            </w:pPr>
            <w:r>
              <w:rPr/>
              <w:t> </w:t>
            </w:r>
          </w:p>
        </w:tc>
        <w:tc>
          <w:tcPr>
            <w:tcW w:w="184" w:type="dxa"/>
            <w:tcBorders/>
            <w:shd w:fill="CCEEFF" w:val="clear"/>
            <w:vAlign w:val="bottom"/>
          </w:tcPr>
          <w:p>
            <w:pPr>
              <w:pStyle w:val="TableContents"/>
              <w:bidi w:val="0"/>
              <w:spacing w:before="0" w:after="0"/>
              <w:jc w:val="left"/>
              <w:rPr>
                <w:b/>
              </w:rPr>
            </w:pPr>
            <w:r>
              <w:rPr>
                <w:b/>
              </w:rPr>
              <w:t>$</w:t>
            </w:r>
          </w:p>
        </w:tc>
        <w:tc>
          <w:tcPr>
            <w:tcW w:w="1059" w:type="dxa"/>
            <w:tcBorders/>
            <w:shd w:fill="CCEEFF" w:val="clear"/>
            <w:vAlign w:val="bottom"/>
          </w:tcPr>
          <w:p>
            <w:pPr>
              <w:pStyle w:val="TableContents"/>
              <w:bidi w:val="0"/>
              <w:spacing w:before="0" w:after="0"/>
              <w:jc w:val="right"/>
              <w:rPr>
                <w:b/>
              </w:rPr>
            </w:pPr>
            <w:r>
              <w:rPr>
                <w:b/>
              </w:rPr>
              <w:t>227,333</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3" w:type="dxa"/>
            <w:tcBorders/>
            <w:shd w:fill="CCEEFF" w:val="clear"/>
            <w:vAlign w:val="bottom"/>
          </w:tcPr>
          <w:p>
            <w:pPr>
              <w:pStyle w:val="TableContents"/>
              <w:bidi w:val="0"/>
              <w:spacing w:before="0" w:after="283"/>
              <w:jc w:val="left"/>
              <w:rPr/>
            </w:pPr>
            <w:r>
              <w:rPr/>
              <w:t>$</w:t>
            </w:r>
          </w:p>
        </w:tc>
        <w:tc>
          <w:tcPr>
            <w:tcW w:w="936" w:type="dxa"/>
            <w:tcBorders/>
            <w:shd w:fill="CCEEFF" w:val="clear"/>
            <w:vAlign w:val="bottom"/>
          </w:tcPr>
          <w:p>
            <w:pPr>
              <w:pStyle w:val="TableContents"/>
              <w:bidi w:val="0"/>
              <w:spacing w:before="0" w:after="283"/>
              <w:jc w:val="right"/>
              <w:rPr>
                <w:b/>
              </w:rPr>
            </w:pPr>
            <w:r>
              <w:rPr>
                <w:b/>
              </w:rPr>
              <w:t>214,831</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4" w:type="dxa"/>
            <w:tcBorders/>
            <w:shd w:fill="CCEEFF" w:val="clear"/>
            <w:vAlign w:val="bottom"/>
          </w:tcPr>
          <w:p>
            <w:pPr>
              <w:pStyle w:val="TableContents"/>
              <w:bidi w:val="0"/>
              <w:spacing w:before="0" w:after="283"/>
              <w:jc w:val="left"/>
              <w:rPr/>
            </w:pPr>
            <w:r>
              <w:rPr/>
              <w:t>$</w:t>
            </w:r>
          </w:p>
        </w:tc>
        <w:tc>
          <w:tcPr>
            <w:tcW w:w="1059" w:type="dxa"/>
            <w:tcBorders/>
            <w:shd w:fill="CCEEFF" w:val="clear"/>
            <w:vAlign w:val="bottom"/>
          </w:tcPr>
          <w:p>
            <w:pPr>
              <w:pStyle w:val="TableContents"/>
              <w:bidi w:val="0"/>
              <w:spacing w:before="0" w:after="283"/>
              <w:jc w:val="right"/>
              <w:rPr>
                <w:b/>
              </w:rPr>
            </w:pPr>
            <w:r>
              <w:rPr>
                <w:b/>
              </w:rPr>
              <w:t>233,658</w:t>
            </w:r>
          </w:p>
        </w:tc>
        <w:tc>
          <w:tcPr>
            <w:tcW w:w="100" w:type="dxa"/>
            <w:tcBorders/>
            <w:shd w:fill="CCEEFF" w:val="clear"/>
            <w:vAlign w:val="bottom"/>
          </w:tcPr>
          <w:p>
            <w:pPr>
              <w:pStyle w:val="TableContents"/>
              <w:bidi w:val="0"/>
              <w:spacing w:before="0" w:after="283"/>
              <w:jc w:val="left"/>
              <w:rPr/>
            </w:pPr>
            <w:r>
              <w:rPr/>
              <w:t> </w:t>
            </w:r>
          </w:p>
        </w:tc>
      </w:tr>
      <w:tr>
        <w:trPr/>
        <w:tc>
          <w:tcPr>
            <w:tcW w:w="4744" w:type="dxa"/>
            <w:tcBorders/>
            <w:vAlign w:val="bottom"/>
          </w:tcPr>
          <w:p>
            <w:pPr>
              <w:pStyle w:val="TableContents"/>
              <w:bidi w:val="0"/>
              <w:spacing w:before="0" w:after="0"/>
              <w:jc w:val="left"/>
              <w:rPr/>
            </w:pPr>
            <w:r>
              <w:rPr/>
              <w:t>Purchases, sales and other changes:</w:t>
            </w:r>
          </w:p>
        </w:tc>
        <w:tc>
          <w:tcPr>
            <w:tcW w:w="60" w:type="dxa"/>
            <w:tcBorders/>
            <w:vAlign w:val="bottom"/>
          </w:tcPr>
          <w:p>
            <w:pPr>
              <w:pStyle w:val="TableContents"/>
              <w:bidi w:val="0"/>
              <w:spacing w:before="0" w:after="283"/>
              <w:jc w:val="right"/>
              <w:rPr/>
            </w:pPr>
            <w:r>
              <w:rPr/>
              <w:t> </w:t>
            </w:r>
          </w:p>
        </w:tc>
        <w:tc>
          <w:tcPr>
            <w:tcW w:w="184" w:type="dxa"/>
            <w:tcBorders/>
            <w:vAlign w:val="bottom"/>
          </w:tcPr>
          <w:p>
            <w:pPr>
              <w:pStyle w:val="TableContents"/>
              <w:bidi w:val="0"/>
              <w:spacing w:before="0" w:after="283"/>
              <w:jc w:val="left"/>
              <w:rPr/>
            </w:pPr>
            <w:r>
              <w:rPr/>
              <w:t> </w:t>
            </w:r>
          </w:p>
        </w:tc>
        <w:tc>
          <w:tcPr>
            <w:tcW w:w="1059" w:type="dxa"/>
            <w:tcBorders/>
            <w:vAlign w:val="bottom"/>
          </w:tcPr>
          <w:p>
            <w:pPr>
              <w:pStyle w:val="TableContents"/>
              <w:bidi w:val="0"/>
              <w:spacing w:before="0" w:after="283"/>
              <w:jc w:val="right"/>
              <w:rPr/>
            </w:pPr>
            <w:r>
              <w:rPr/>
              <w:t> </w:t>
            </w:r>
          </w:p>
        </w:tc>
        <w:tc>
          <w:tcPr>
            <w:tcW w:w="10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right"/>
              <w:rPr/>
            </w:pPr>
            <w:r>
              <w:rPr/>
              <w:t> </w:t>
            </w:r>
          </w:p>
        </w:tc>
        <w:tc>
          <w:tcPr>
            <w:tcW w:w="184" w:type="dxa"/>
            <w:tcBorders/>
            <w:vAlign w:val="bottom"/>
          </w:tcPr>
          <w:p>
            <w:pPr>
              <w:pStyle w:val="TableContents"/>
              <w:bidi w:val="0"/>
              <w:spacing w:before="0" w:after="283"/>
              <w:jc w:val="left"/>
              <w:rPr/>
            </w:pPr>
            <w:r>
              <w:rPr/>
              <w:t> </w:t>
            </w:r>
          </w:p>
        </w:tc>
        <w:tc>
          <w:tcPr>
            <w:tcW w:w="1059"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3" w:type="dxa"/>
            <w:tcBorders/>
            <w:vAlign w:val="bottom"/>
          </w:tcPr>
          <w:p>
            <w:pPr>
              <w:pStyle w:val="TableContents"/>
              <w:bidi w:val="0"/>
              <w:spacing w:before="0" w:after="283"/>
              <w:jc w:val="left"/>
              <w:rPr/>
            </w:pPr>
            <w:r>
              <w:rPr/>
              <w:t> </w:t>
            </w:r>
          </w:p>
        </w:tc>
        <w:tc>
          <w:tcPr>
            <w:tcW w:w="936"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4" w:type="dxa"/>
            <w:tcBorders/>
            <w:vAlign w:val="bottom"/>
          </w:tcPr>
          <w:p>
            <w:pPr>
              <w:pStyle w:val="TableContents"/>
              <w:bidi w:val="0"/>
              <w:spacing w:before="0" w:after="283"/>
              <w:jc w:val="left"/>
              <w:rPr/>
            </w:pPr>
            <w:r>
              <w:rPr/>
              <w:t> </w:t>
            </w:r>
          </w:p>
        </w:tc>
        <w:tc>
          <w:tcPr>
            <w:tcW w:w="1059" w:type="dxa"/>
            <w:tcBorders/>
            <w:vAlign w:val="bottom"/>
          </w:tcPr>
          <w:p>
            <w:pPr>
              <w:pStyle w:val="TableContents"/>
              <w:bidi w:val="0"/>
              <w:spacing w:before="0" w:after="283"/>
              <w:jc w:val="right"/>
              <w:rPr/>
            </w:pPr>
            <w:r>
              <w:rPr/>
              <w:t> </w:t>
            </w:r>
          </w:p>
        </w:tc>
        <w:tc>
          <w:tcPr>
            <w:tcW w:w="100" w:type="dxa"/>
            <w:tcBorders/>
            <w:vAlign w:val="bottom"/>
          </w:tcPr>
          <w:p>
            <w:pPr>
              <w:pStyle w:val="TableContents"/>
              <w:bidi w:val="0"/>
              <w:spacing w:before="0" w:after="283"/>
              <w:jc w:val="left"/>
              <w:rPr/>
            </w:pPr>
            <w:r>
              <w:rPr/>
              <w:t> </w:t>
            </w:r>
          </w:p>
        </w:tc>
      </w:tr>
      <w:tr>
        <w:trPr/>
        <w:tc>
          <w:tcPr>
            <w:tcW w:w="4744" w:type="dxa"/>
            <w:tcBorders/>
            <w:shd w:fill="CCEEFF" w:val="clear"/>
            <w:vAlign w:val="bottom"/>
          </w:tcPr>
          <w:p>
            <w:pPr>
              <w:pStyle w:val="TableContents"/>
              <w:bidi w:val="0"/>
              <w:spacing w:lineRule="auto" w:line="240" w:before="0" w:after="0"/>
              <w:ind w:left="0" w:right="0" w:firstLine="200"/>
              <w:jc w:val="left"/>
              <w:rPr/>
            </w:pPr>
            <w:r>
              <w:rPr/>
              <w:t>Sales</w:t>
            </w:r>
          </w:p>
        </w:tc>
        <w:tc>
          <w:tcPr>
            <w:tcW w:w="60" w:type="dxa"/>
            <w:tcBorders/>
            <w:shd w:fill="CCEEFF" w:val="clear"/>
            <w:vAlign w:val="bottom"/>
          </w:tcPr>
          <w:p>
            <w:pPr>
              <w:pStyle w:val="TableContents"/>
              <w:bidi w:val="0"/>
              <w:spacing w:before="0" w:after="283"/>
              <w:jc w:val="right"/>
              <w:rPr/>
            </w:pPr>
            <w:r>
              <w:rPr/>
              <w:t> </w:t>
            </w:r>
          </w:p>
        </w:tc>
        <w:tc>
          <w:tcPr>
            <w:tcW w:w="184" w:type="dxa"/>
            <w:tcBorders/>
            <w:shd w:fill="CCEEFF" w:val="clear"/>
            <w:vAlign w:val="bottom"/>
          </w:tcPr>
          <w:p>
            <w:pPr>
              <w:pStyle w:val="TableContents"/>
              <w:bidi w:val="0"/>
              <w:spacing w:before="0" w:after="283"/>
              <w:jc w:val="left"/>
              <w:rPr/>
            </w:pPr>
            <w:r>
              <w:rPr/>
              <w:t> </w:t>
            </w:r>
          </w:p>
        </w:tc>
        <w:tc>
          <w:tcPr>
            <w:tcW w:w="1059" w:type="dxa"/>
            <w:tcBorders/>
            <w:shd w:fill="CCEEFF" w:val="clear"/>
            <w:vAlign w:val="bottom"/>
          </w:tcPr>
          <w:p>
            <w:pPr>
              <w:pStyle w:val="TableContents"/>
              <w:bidi w:val="0"/>
              <w:spacing w:before="0" w:after="283"/>
              <w:jc w:val="right"/>
              <w:rPr/>
            </w:pPr>
            <w:r>
              <w:rPr/>
              <w:t>-</w:t>
            </w:r>
          </w:p>
        </w:tc>
        <w:tc>
          <w:tcPr>
            <w:tcW w:w="10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right"/>
              <w:rPr/>
            </w:pPr>
            <w:r>
              <w:rPr/>
              <w:t> </w:t>
            </w:r>
          </w:p>
        </w:tc>
        <w:tc>
          <w:tcPr>
            <w:tcW w:w="184" w:type="dxa"/>
            <w:tcBorders/>
            <w:shd w:fill="CCEEFF" w:val="clear"/>
            <w:vAlign w:val="bottom"/>
          </w:tcPr>
          <w:p>
            <w:pPr>
              <w:pStyle w:val="TableContents"/>
              <w:bidi w:val="0"/>
              <w:spacing w:before="0" w:after="283"/>
              <w:jc w:val="left"/>
              <w:rPr/>
            </w:pPr>
            <w:r>
              <w:rPr/>
              <w:t> </w:t>
            </w:r>
          </w:p>
        </w:tc>
        <w:tc>
          <w:tcPr>
            <w:tcW w:w="1059" w:type="dxa"/>
            <w:tcBorders/>
            <w:shd w:fill="CCEEFF" w:val="clear"/>
            <w:vAlign w:val="bottom"/>
          </w:tcPr>
          <w:p>
            <w:pPr>
              <w:pStyle w:val="TableContents"/>
              <w:bidi w:val="0"/>
              <w:spacing w:before="0" w:after="283"/>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3" w:type="dxa"/>
            <w:tcBorders/>
            <w:shd w:fill="CCEEFF" w:val="clear"/>
            <w:vAlign w:val="bottom"/>
          </w:tcPr>
          <w:p>
            <w:pPr>
              <w:pStyle w:val="TableContents"/>
              <w:bidi w:val="0"/>
              <w:spacing w:before="0" w:after="283"/>
              <w:jc w:val="left"/>
              <w:rPr/>
            </w:pPr>
            <w:r>
              <w:rPr/>
              <w:t> </w:t>
            </w:r>
          </w:p>
        </w:tc>
        <w:tc>
          <w:tcPr>
            <w:tcW w:w="936" w:type="dxa"/>
            <w:tcBorders/>
            <w:shd w:fill="CCEEFF" w:val="clear"/>
            <w:vAlign w:val="bottom"/>
          </w:tcPr>
          <w:p>
            <w:pPr>
              <w:pStyle w:val="TableContents"/>
              <w:bidi w:val="0"/>
              <w:spacing w:before="0" w:after="283"/>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4" w:type="dxa"/>
            <w:tcBorders/>
            <w:shd w:fill="CCEEFF" w:val="clear"/>
            <w:vAlign w:val="bottom"/>
          </w:tcPr>
          <w:p>
            <w:pPr>
              <w:pStyle w:val="TableContents"/>
              <w:bidi w:val="0"/>
              <w:spacing w:before="0" w:after="283"/>
              <w:jc w:val="left"/>
              <w:rPr/>
            </w:pPr>
            <w:r>
              <w:rPr/>
              <w:t> </w:t>
            </w:r>
          </w:p>
        </w:tc>
        <w:tc>
          <w:tcPr>
            <w:tcW w:w="1059" w:type="dxa"/>
            <w:tcBorders/>
            <w:shd w:fill="CCEEFF" w:val="clear"/>
            <w:vAlign w:val="bottom"/>
          </w:tcPr>
          <w:p>
            <w:pPr>
              <w:pStyle w:val="TableContents"/>
              <w:bidi w:val="0"/>
              <w:spacing w:before="0" w:after="283"/>
              <w:jc w:val="right"/>
              <w:rPr/>
            </w:pPr>
            <w:r>
              <w:rPr/>
              <w:t>-</w:t>
            </w:r>
          </w:p>
        </w:tc>
        <w:tc>
          <w:tcPr>
            <w:tcW w:w="100" w:type="dxa"/>
            <w:tcBorders/>
            <w:shd w:fill="CCEEFF" w:val="clear"/>
            <w:vAlign w:val="bottom"/>
          </w:tcPr>
          <w:p>
            <w:pPr>
              <w:pStyle w:val="TableContents"/>
              <w:bidi w:val="0"/>
              <w:spacing w:before="0" w:after="283"/>
              <w:jc w:val="left"/>
              <w:rPr/>
            </w:pPr>
            <w:r>
              <w:rPr/>
              <w:t> </w:t>
            </w:r>
          </w:p>
        </w:tc>
      </w:tr>
      <w:tr>
        <w:trPr/>
        <w:tc>
          <w:tcPr>
            <w:tcW w:w="4744" w:type="dxa"/>
            <w:tcBorders/>
            <w:vAlign w:val="bottom"/>
          </w:tcPr>
          <w:p>
            <w:pPr>
              <w:pStyle w:val="TableContents"/>
              <w:bidi w:val="0"/>
              <w:spacing w:lineRule="auto" w:line="240" w:before="0" w:after="0"/>
              <w:ind w:left="0" w:right="0" w:firstLine="200"/>
              <w:jc w:val="left"/>
              <w:rPr/>
            </w:pPr>
            <w:r>
              <w:rPr/>
              <w:t>Other changes (A)</w:t>
            </w:r>
          </w:p>
        </w:tc>
        <w:tc>
          <w:tcPr>
            <w:tcW w:w="60" w:type="dxa"/>
            <w:tcBorders/>
            <w:vAlign w:val="bottom"/>
          </w:tcPr>
          <w:p>
            <w:pPr>
              <w:pStyle w:val="TableContents"/>
              <w:bidi w:val="0"/>
              <w:spacing w:before="0" w:after="283"/>
              <w:jc w:val="right"/>
              <w:rPr/>
            </w:pPr>
            <w:r>
              <w:rPr/>
              <w:t> </w:t>
            </w:r>
          </w:p>
        </w:tc>
        <w:tc>
          <w:tcPr>
            <w:tcW w:w="184" w:type="dxa"/>
            <w:tcBorders>
              <w:bottom w:val="single" w:sz="12" w:space="0" w:color="000000"/>
            </w:tcBorders>
            <w:tcMar>
              <w:bottom w:w="28" w:type="dxa"/>
            </w:tcMar>
            <w:vAlign w:val="bottom"/>
          </w:tcPr>
          <w:p>
            <w:pPr>
              <w:pStyle w:val="TableContents"/>
              <w:bidi w:val="0"/>
              <w:spacing w:before="0" w:after="283"/>
              <w:jc w:val="left"/>
              <w:rPr/>
            </w:pPr>
            <w:r>
              <w:rPr/>
              <w:t> </w:t>
            </w:r>
          </w:p>
        </w:tc>
        <w:tc>
          <w:tcPr>
            <w:tcW w:w="1059" w:type="dxa"/>
            <w:tcBorders>
              <w:bottom w:val="single" w:sz="12" w:space="0" w:color="000000"/>
            </w:tcBorders>
            <w:tcMar>
              <w:bottom w:w="28" w:type="dxa"/>
            </w:tcMar>
            <w:vAlign w:val="bottom"/>
          </w:tcPr>
          <w:p>
            <w:pPr>
              <w:pStyle w:val="TableContents"/>
              <w:bidi w:val="0"/>
              <w:spacing w:before="0" w:after="283"/>
              <w:jc w:val="right"/>
              <w:rPr/>
            </w:pPr>
            <w:r>
              <w:rPr/>
              <w:t>1</w:t>
            </w:r>
          </w:p>
        </w:tc>
        <w:tc>
          <w:tcPr>
            <w:tcW w:w="10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right"/>
              <w:rPr/>
            </w:pPr>
            <w:r>
              <w:rPr/>
              <w:t> </w:t>
            </w:r>
          </w:p>
        </w:tc>
        <w:tc>
          <w:tcPr>
            <w:tcW w:w="184" w:type="dxa"/>
            <w:tcBorders>
              <w:bottom w:val="single" w:sz="12" w:space="0" w:color="000000"/>
            </w:tcBorders>
            <w:tcMar>
              <w:bottom w:w="28" w:type="dxa"/>
            </w:tcMar>
            <w:vAlign w:val="bottom"/>
          </w:tcPr>
          <w:p>
            <w:pPr>
              <w:pStyle w:val="TableContents"/>
              <w:bidi w:val="0"/>
              <w:spacing w:before="0" w:after="283"/>
              <w:jc w:val="left"/>
              <w:rPr/>
            </w:pPr>
            <w:r>
              <w:rPr/>
              <w:t> </w:t>
            </w:r>
          </w:p>
        </w:tc>
        <w:tc>
          <w:tcPr>
            <w:tcW w:w="1059" w:type="dxa"/>
            <w:tcBorders>
              <w:bottom w:val="single" w:sz="12" w:space="0" w:color="000000"/>
            </w:tcBorders>
            <w:tcMar>
              <w:bottom w:w="28" w:type="dxa"/>
            </w:tcMar>
            <w:vAlign w:val="bottom"/>
          </w:tcPr>
          <w:p>
            <w:pPr>
              <w:pStyle w:val="TableContents"/>
              <w:bidi w:val="0"/>
              <w:spacing w:before="0" w:after="283"/>
              <w:jc w:val="right"/>
              <w:rPr/>
            </w:pPr>
            <w:r>
              <w:rPr/>
              <w:t>(1</w:t>
            </w:r>
          </w:p>
        </w:tc>
        <w:tc>
          <w:tcPr>
            <w:tcW w:w="95" w:type="dxa"/>
            <w:tcBorders/>
            <w:vAlign w:val="bottom"/>
          </w:tcPr>
          <w:p>
            <w:pPr>
              <w:pStyle w:val="TableContents"/>
              <w:bidi w:val="0"/>
              <w:spacing w:before="0" w:after="283"/>
              <w:jc w:val="left"/>
              <w:rPr/>
            </w:pPr>
            <w:r>
              <w:rPr/>
              <w:t>)</w:t>
            </w:r>
          </w:p>
        </w:tc>
        <w:tc>
          <w:tcPr>
            <w:tcW w:w="60" w:type="dxa"/>
            <w:tcBorders/>
            <w:vAlign w:val="bottom"/>
          </w:tcPr>
          <w:p>
            <w:pPr>
              <w:pStyle w:val="TableContents"/>
              <w:bidi w:val="0"/>
              <w:spacing w:before="0" w:after="283"/>
              <w:jc w:val="right"/>
              <w:rPr/>
            </w:pPr>
            <w:r>
              <w:rPr/>
              <w:t> </w:t>
            </w:r>
          </w:p>
        </w:tc>
        <w:tc>
          <w:tcPr>
            <w:tcW w:w="163" w:type="dxa"/>
            <w:tcBorders>
              <w:bottom w:val="single" w:sz="12" w:space="0" w:color="000000"/>
            </w:tcBorders>
            <w:tcMar>
              <w:bottom w:w="28" w:type="dxa"/>
            </w:tcMar>
            <w:vAlign w:val="bottom"/>
          </w:tcPr>
          <w:p>
            <w:pPr>
              <w:pStyle w:val="TableContents"/>
              <w:bidi w:val="0"/>
              <w:spacing w:before="0" w:after="283"/>
              <w:jc w:val="left"/>
              <w:rPr/>
            </w:pPr>
            <w:r>
              <w:rPr/>
              <w:t> </w:t>
            </w:r>
          </w:p>
        </w:tc>
        <w:tc>
          <w:tcPr>
            <w:tcW w:w="936" w:type="dxa"/>
            <w:tcBorders>
              <w:bottom w:val="single" w:sz="12" w:space="0" w:color="000000"/>
            </w:tcBorders>
            <w:tcMar>
              <w:bottom w:w="28" w:type="dxa"/>
            </w:tcMar>
            <w:vAlign w:val="bottom"/>
          </w:tcPr>
          <w:p>
            <w:pPr>
              <w:pStyle w:val="TableContents"/>
              <w:bidi w:val="0"/>
              <w:spacing w:before="0" w:after="283"/>
              <w:jc w:val="right"/>
              <w:rPr/>
            </w:pPr>
            <w:r>
              <w:rPr/>
              <w:t>(15</w:t>
            </w:r>
          </w:p>
        </w:tc>
        <w:tc>
          <w:tcPr>
            <w:tcW w:w="95" w:type="dxa"/>
            <w:tcBorders/>
            <w:vAlign w:val="bottom"/>
          </w:tcPr>
          <w:p>
            <w:pPr>
              <w:pStyle w:val="TableContents"/>
              <w:bidi w:val="0"/>
              <w:spacing w:before="0" w:after="283"/>
              <w:jc w:val="left"/>
              <w:rPr/>
            </w:pPr>
            <w:r>
              <w:rPr/>
              <w:t>)</w:t>
            </w:r>
          </w:p>
        </w:tc>
        <w:tc>
          <w:tcPr>
            <w:tcW w:w="60" w:type="dxa"/>
            <w:tcBorders/>
            <w:vAlign w:val="bottom"/>
          </w:tcPr>
          <w:p>
            <w:pPr>
              <w:pStyle w:val="TableContents"/>
              <w:bidi w:val="0"/>
              <w:spacing w:before="0" w:after="283"/>
              <w:jc w:val="right"/>
              <w:rPr/>
            </w:pPr>
            <w:r>
              <w:rPr/>
              <w:t> </w:t>
            </w:r>
          </w:p>
        </w:tc>
        <w:tc>
          <w:tcPr>
            <w:tcW w:w="184" w:type="dxa"/>
            <w:tcBorders>
              <w:bottom w:val="single" w:sz="12" w:space="0" w:color="000000"/>
            </w:tcBorders>
            <w:tcMar>
              <w:bottom w:w="28" w:type="dxa"/>
            </w:tcMar>
            <w:vAlign w:val="bottom"/>
          </w:tcPr>
          <w:p>
            <w:pPr>
              <w:pStyle w:val="TableContents"/>
              <w:bidi w:val="0"/>
              <w:spacing w:before="0" w:after="283"/>
              <w:jc w:val="left"/>
              <w:rPr/>
            </w:pPr>
            <w:r>
              <w:rPr/>
              <w:t> </w:t>
            </w:r>
          </w:p>
        </w:tc>
        <w:tc>
          <w:tcPr>
            <w:tcW w:w="1059" w:type="dxa"/>
            <w:tcBorders>
              <w:bottom w:val="single" w:sz="12" w:space="0" w:color="000000"/>
            </w:tcBorders>
            <w:tcMar>
              <w:bottom w:w="28" w:type="dxa"/>
            </w:tcMar>
            <w:vAlign w:val="bottom"/>
          </w:tcPr>
          <w:p>
            <w:pPr>
              <w:pStyle w:val="TableContents"/>
              <w:bidi w:val="0"/>
              <w:spacing w:before="0" w:after="283"/>
              <w:jc w:val="right"/>
              <w:rPr/>
            </w:pPr>
            <w:r>
              <w:rPr/>
              <w:t>(1</w:t>
            </w:r>
          </w:p>
        </w:tc>
        <w:tc>
          <w:tcPr>
            <w:tcW w:w="100" w:type="dxa"/>
            <w:tcBorders/>
            <w:vAlign w:val="bottom"/>
          </w:tcPr>
          <w:p>
            <w:pPr>
              <w:pStyle w:val="TableContents"/>
              <w:bidi w:val="0"/>
              <w:spacing w:before="0" w:after="283"/>
              <w:jc w:val="left"/>
              <w:rPr/>
            </w:pPr>
            <w:r>
              <w:rPr/>
              <w:t>)</w:t>
            </w:r>
          </w:p>
        </w:tc>
      </w:tr>
      <w:tr>
        <w:trPr/>
        <w:tc>
          <w:tcPr>
            <w:tcW w:w="4744" w:type="dxa"/>
            <w:tcBorders/>
            <w:shd w:fill="CCEEFF" w:val="clear"/>
            <w:vAlign w:val="bottom"/>
          </w:tcPr>
          <w:p>
            <w:pPr>
              <w:pStyle w:val="TableContents"/>
              <w:bidi w:val="0"/>
              <w:spacing w:before="0" w:after="0"/>
              <w:jc w:val="left"/>
              <w:rPr/>
            </w:pPr>
            <w:r>
              <w:rPr/>
              <w:t xml:space="preserve">Purchases and sales: </w:t>
            </w:r>
          </w:p>
        </w:tc>
        <w:tc>
          <w:tcPr>
            <w:tcW w:w="60" w:type="dxa"/>
            <w:tcBorders/>
            <w:shd w:fill="CCEEFF" w:val="clear"/>
            <w:vAlign w:val="bottom"/>
          </w:tcPr>
          <w:p>
            <w:pPr>
              <w:pStyle w:val="TableContents"/>
              <w:bidi w:val="0"/>
              <w:spacing w:before="0" w:after="283"/>
              <w:jc w:val="right"/>
              <w:rPr/>
            </w:pPr>
            <w:r>
              <w:rPr/>
              <w:t> </w:t>
            </w:r>
          </w:p>
        </w:tc>
        <w:tc>
          <w:tcPr>
            <w:tcW w:w="184" w:type="dxa"/>
            <w:tcBorders/>
            <w:shd w:fill="CCEEFF" w:val="clear"/>
            <w:vAlign w:val="bottom"/>
          </w:tcPr>
          <w:p>
            <w:pPr>
              <w:pStyle w:val="TableContents"/>
              <w:bidi w:val="0"/>
              <w:spacing w:before="0" w:after="283"/>
              <w:jc w:val="left"/>
              <w:rPr/>
            </w:pPr>
            <w:r>
              <w:rPr/>
              <w:t>$</w:t>
            </w:r>
          </w:p>
        </w:tc>
        <w:tc>
          <w:tcPr>
            <w:tcW w:w="1059" w:type="dxa"/>
            <w:tcBorders/>
            <w:shd w:fill="CCEEFF" w:val="clear"/>
            <w:vAlign w:val="bottom"/>
          </w:tcPr>
          <w:p>
            <w:pPr>
              <w:pStyle w:val="TableContents"/>
              <w:bidi w:val="0"/>
              <w:spacing w:before="0" w:after="283"/>
              <w:jc w:val="right"/>
              <w:rPr/>
            </w:pPr>
            <w:r>
              <w:rPr/>
              <w:t>1</w:t>
            </w:r>
          </w:p>
        </w:tc>
        <w:tc>
          <w:tcPr>
            <w:tcW w:w="100"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right"/>
              <w:rPr/>
            </w:pPr>
            <w:r>
              <w:rPr/>
              <w:t> </w:t>
            </w:r>
          </w:p>
        </w:tc>
        <w:tc>
          <w:tcPr>
            <w:tcW w:w="184" w:type="dxa"/>
            <w:tcBorders/>
            <w:shd w:fill="CCEEFF" w:val="clear"/>
            <w:vAlign w:val="bottom"/>
          </w:tcPr>
          <w:p>
            <w:pPr>
              <w:pStyle w:val="TableContents"/>
              <w:bidi w:val="0"/>
              <w:spacing w:before="0" w:after="0"/>
              <w:jc w:val="left"/>
              <w:rPr/>
            </w:pPr>
            <w:r>
              <w:rPr/>
              <w:t>$</w:t>
            </w:r>
          </w:p>
        </w:tc>
        <w:tc>
          <w:tcPr>
            <w:tcW w:w="1059" w:type="dxa"/>
            <w:tcBorders/>
            <w:shd w:fill="CCEEFF" w:val="clear"/>
            <w:vAlign w:val="bottom"/>
          </w:tcPr>
          <w:p>
            <w:pPr>
              <w:pStyle w:val="TableContents"/>
              <w:bidi w:val="0"/>
              <w:spacing w:before="0" w:after="0"/>
              <w:jc w:val="right"/>
              <w:rPr/>
            </w:pPr>
            <w:r>
              <w:rPr/>
              <w:t>(1</w:t>
            </w:r>
          </w:p>
        </w:tc>
        <w:tc>
          <w:tcPr>
            <w:tcW w:w="9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right"/>
              <w:rPr/>
            </w:pPr>
            <w:r>
              <w:rPr/>
              <w:t> </w:t>
            </w:r>
          </w:p>
        </w:tc>
        <w:tc>
          <w:tcPr>
            <w:tcW w:w="163" w:type="dxa"/>
            <w:tcBorders/>
            <w:shd w:fill="CCEEFF" w:val="clear"/>
            <w:vAlign w:val="bottom"/>
          </w:tcPr>
          <w:p>
            <w:pPr>
              <w:pStyle w:val="TableContents"/>
              <w:bidi w:val="0"/>
              <w:spacing w:before="0" w:after="283"/>
              <w:jc w:val="left"/>
              <w:rPr/>
            </w:pPr>
            <w:r>
              <w:rPr/>
              <w:t>$</w:t>
            </w:r>
          </w:p>
        </w:tc>
        <w:tc>
          <w:tcPr>
            <w:tcW w:w="936" w:type="dxa"/>
            <w:tcBorders/>
            <w:shd w:fill="CCEEFF" w:val="clear"/>
            <w:vAlign w:val="bottom"/>
          </w:tcPr>
          <w:p>
            <w:pPr>
              <w:pStyle w:val="TableContents"/>
              <w:bidi w:val="0"/>
              <w:spacing w:before="0" w:after="283"/>
              <w:jc w:val="right"/>
              <w:rPr/>
            </w:pPr>
            <w:r>
              <w:rPr/>
              <w:t>(15</w:t>
            </w:r>
          </w:p>
        </w:tc>
        <w:tc>
          <w:tcPr>
            <w:tcW w:w="95" w:type="dxa"/>
            <w:tcBorders/>
            <w:shd w:fill="CCEEFF" w:val="clear"/>
            <w:vAlign w:val="bottom"/>
          </w:tcPr>
          <w:p>
            <w:pPr>
              <w:pStyle w:val="TableContents"/>
              <w:bidi w:val="0"/>
              <w:spacing w:before="0" w:after="283"/>
              <w:jc w:val="left"/>
              <w:rPr/>
            </w:pPr>
            <w:r>
              <w:rPr/>
              <w:t>)</w:t>
            </w:r>
          </w:p>
        </w:tc>
        <w:tc>
          <w:tcPr>
            <w:tcW w:w="60" w:type="dxa"/>
            <w:tcBorders/>
            <w:shd w:fill="CCEEFF" w:val="clear"/>
            <w:vAlign w:val="bottom"/>
          </w:tcPr>
          <w:p>
            <w:pPr>
              <w:pStyle w:val="TableContents"/>
              <w:bidi w:val="0"/>
              <w:spacing w:before="0" w:after="283"/>
              <w:jc w:val="right"/>
              <w:rPr/>
            </w:pPr>
            <w:r>
              <w:rPr/>
              <w:t> </w:t>
            </w:r>
          </w:p>
        </w:tc>
        <w:tc>
          <w:tcPr>
            <w:tcW w:w="184" w:type="dxa"/>
            <w:tcBorders/>
            <w:shd w:fill="CCEEFF" w:val="clear"/>
            <w:vAlign w:val="bottom"/>
          </w:tcPr>
          <w:p>
            <w:pPr>
              <w:pStyle w:val="TableContents"/>
              <w:bidi w:val="0"/>
              <w:spacing w:before="0" w:after="283"/>
              <w:jc w:val="left"/>
              <w:rPr/>
            </w:pPr>
            <w:r>
              <w:rPr/>
              <w:t>$</w:t>
            </w:r>
          </w:p>
        </w:tc>
        <w:tc>
          <w:tcPr>
            <w:tcW w:w="1059" w:type="dxa"/>
            <w:tcBorders/>
            <w:shd w:fill="CCEEFF" w:val="clear"/>
            <w:vAlign w:val="bottom"/>
          </w:tcPr>
          <w:p>
            <w:pPr>
              <w:pStyle w:val="TableContents"/>
              <w:bidi w:val="0"/>
              <w:spacing w:before="0" w:after="283"/>
              <w:jc w:val="right"/>
              <w:rPr/>
            </w:pPr>
            <w:r>
              <w:rPr/>
              <w:t>(1</w:t>
            </w:r>
          </w:p>
        </w:tc>
        <w:tc>
          <w:tcPr>
            <w:tcW w:w="100" w:type="dxa"/>
            <w:tcBorders/>
            <w:shd w:fill="CCEEFF" w:val="clear"/>
            <w:vAlign w:val="bottom"/>
          </w:tcPr>
          <w:p>
            <w:pPr>
              <w:pStyle w:val="TableContents"/>
              <w:bidi w:val="0"/>
              <w:spacing w:before="0" w:after="283"/>
              <w:jc w:val="left"/>
              <w:rPr/>
            </w:pPr>
            <w:r>
              <w:rPr/>
              <w:t>)</w:t>
            </w:r>
          </w:p>
        </w:tc>
      </w:tr>
      <w:tr>
        <w:trPr/>
        <w:tc>
          <w:tcPr>
            <w:tcW w:w="4744" w:type="dxa"/>
            <w:tcBorders/>
            <w:vAlign w:val="bottom"/>
          </w:tcPr>
          <w:p>
            <w:pPr>
              <w:pStyle w:val="TableContents"/>
              <w:bidi w:val="0"/>
              <w:spacing w:before="0" w:after="0"/>
              <w:jc w:val="left"/>
              <w:rPr/>
            </w:pPr>
            <w:r>
              <w:rPr/>
              <w:t>Changes in Fair Value due to:</w:t>
            </w:r>
          </w:p>
        </w:tc>
        <w:tc>
          <w:tcPr>
            <w:tcW w:w="60" w:type="dxa"/>
            <w:tcBorders/>
            <w:vAlign w:val="bottom"/>
          </w:tcPr>
          <w:p>
            <w:pPr>
              <w:pStyle w:val="TableContents"/>
              <w:bidi w:val="0"/>
              <w:spacing w:before="0" w:after="283"/>
              <w:jc w:val="right"/>
              <w:rPr/>
            </w:pPr>
            <w:r>
              <w:rPr/>
              <w:t> </w:t>
            </w:r>
          </w:p>
        </w:tc>
        <w:tc>
          <w:tcPr>
            <w:tcW w:w="184" w:type="dxa"/>
            <w:tcBorders/>
            <w:vAlign w:val="bottom"/>
          </w:tcPr>
          <w:p>
            <w:pPr>
              <w:pStyle w:val="TableContents"/>
              <w:bidi w:val="0"/>
              <w:spacing w:before="0" w:after="283"/>
              <w:jc w:val="left"/>
              <w:rPr/>
            </w:pPr>
            <w:r>
              <w:rPr/>
              <w:t> </w:t>
            </w:r>
          </w:p>
        </w:tc>
        <w:tc>
          <w:tcPr>
            <w:tcW w:w="1059" w:type="dxa"/>
            <w:tcBorders/>
            <w:vAlign w:val="bottom"/>
          </w:tcPr>
          <w:p>
            <w:pPr>
              <w:pStyle w:val="TableContents"/>
              <w:bidi w:val="0"/>
              <w:spacing w:before="0" w:after="283"/>
              <w:jc w:val="right"/>
              <w:rPr/>
            </w:pPr>
            <w:r>
              <w:rPr/>
              <w:t> </w:t>
            </w:r>
          </w:p>
        </w:tc>
        <w:tc>
          <w:tcPr>
            <w:tcW w:w="10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right"/>
              <w:rPr/>
            </w:pPr>
            <w:r>
              <w:rPr/>
              <w:t> </w:t>
            </w:r>
          </w:p>
        </w:tc>
        <w:tc>
          <w:tcPr>
            <w:tcW w:w="184" w:type="dxa"/>
            <w:tcBorders/>
            <w:vAlign w:val="bottom"/>
          </w:tcPr>
          <w:p>
            <w:pPr>
              <w:pStyle w:val="TableContents"/>
              <w:bidi w:val="0"/>
              <w:spacing w:before="0" w:after="283"/>
              <w:jc w:val="left"/>
              <w:rPr/>
            </w:pPr>
            <w:r>
              <w:rPr/>
              <w:t> </w:t>
            </w:r>
          </w:p>
        </w:tc>
        <w:tc>
          <w:tcPr>
            <w:tcW w:w="1059"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3" w:type="dxa"/>
            <w:tcBorders/>
            <w:vAlign w:val="bottom"/>
          </w:tcPr>
          <w:p>
            <w:pPr>
              <w:pStyle w:val="TableContents"/>
              <w:bidi w:val="0"/>
              <w:spacing w:before="0" w:after="283"/>
              <w:jc w:val="left"/>
              <w:rPr/>
            </w:pPr>
            <w:r>
              <w:rPr/>
              <w:t> </w:t>
            </w:r>
          </w:p>
        </w:tc>
        <w:tc>
          <w:tcPr>
            <w:tcW w:w="936"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4" w:type="dxa"/>
            <w:tcBorders/>
            <w:vAlign w:val="bottom"/>
          </w:tcPr>
          <w:p>
            <w:pPr>
              <w:pStyle w:val="TableContents"/>
              <w:bidi w:val="0"/>
              <w:spacing w:before="0" w:after="283"/>
              <w:jc w:val="left"/>
              <w:rPr/>
            </w:pPr>
            <w:r>
              <w:rPr/>
              <w:t> </w:t>
            </w:r>
          </w:p>
        </w:tc>
        <w:tc>
          <w:tcPr>
            <w:tcW w:w="1059" w:type="dxa"/>
            <w:tcBorders/>
            <w:vAlign w:val="bottom"/>
          </w:tcPr>
          <w:p>
            <w:pPr>
              <w:pStyle w:val="TableContents"/>
              <w:bidi w:val="0"/>
              <w:spacing w:before="0" w:after="283"/>
              <w:jc w:val="right"/>
              <w:rPr/>
            </w:pPr>
            <w:r>
              <w:rPr/>
              <w:t> </w:t>
            </w:r>
          </w:p>
        </w:tc>
        <w:tc>
          <w:tcPr>
            <w:tcW w:w="100" w:type="dxa"/>
            <w:tcBorders/>
            <w:vAlign w:val="bottom"/>
          </w:tcPr>
          <w:p>
            <w:pPr>
              <w:pStyle w:val="TableContents"/>
              <w:bidi w:val="0"/>
              <w:spacing w:before="0" w:after="283"/>
              <w:jc w:val="left"/>
              <w:rPr/>
            </w:pPr>
            <w:r>
              <w:rPr/>
              <w:t> </w:t>
            </w:r>
          </w:p>
        </w:tc>
      </w:tr>
      <w:tr>
        <w:trPr/>
        <w:tc>
          <w:tcPr>
            <w:tcW w:w="4744" w:type="dxa"/>
            <w:tcBorders/>
            <w:shd w:fill="CCEEFF" w:val="clear"/>
            <w:vAlign w:val="bottom"/>
          </w:tcPr>
          <w:p>
            <w:pPr>
              <w:pStyle w:val="TableContents"/>
              <w:bidi w:val="0"/>
              <w:spacing w:before="0" w:after="0"/>
              <w:ind w:left="0" w:right="0" w:firstLine="200"/>
              <w:jc w:val="left"/>
              <w:rPr/>
            </w:pPr>
            <w:r>
              <w:rPr/>
              <w:t>Changes in valuation inputs or assumptions used in valuation model</w:t>
            </w:r>
          </w:p>
        </w:tc>
        <w:tc>
          <w:tcPr>
            <w:tcW w:w="60" w:type="dxa"/>
            <w:tcBorders/>
            <w:shd w:fill="CCEEFF" w:val="clear"/>
            <w:vAlign w:val="bottom"/>
          </w:tcPr>
          <w:p>
            <w:pPr>
              <w:pStyle w:val="TableContents"/>
              <w:bidi w:val="0"/>
              <w:spacing w:before="0" w:after="283"/>
              <w:jc w:val="right"/>
              <w:rPr/>
            </w:pPr>
            <w:r>
              <w:rPr/>
              <w:t> </w:t>
            </w:r>
          </w:p>
        </w:tc>
        <w:tc>
          <w:tcPr>
            <w:tcW w:w="184" w:type="dxa"/>
            <w:tcBorders/>
            <w:shd w:fill="CCEEFF" w:val="clear"/>
            <w:vAlign w:val="bottom"/>
          </w:tcPr>
          <w:p>
            <w:pPr>
              <w:pStyle w:val="TableContents"/>
              <w:bidi w:val="0"/>
              <w:spacing w:before="0" w:after="283"/>
              <w:jc w:val="left"/>
              <w:rPr/>
            </w:pPr>
            <w:r>
              <w:rPr/>
              <w:t> </w:t>
            </w:r>
          </w:p>
        </w:tc>
        <w:tc>
          <w:tcPr>
            <w:tcW w:w="1059" w:type="dxa"/>
            <w:tcBorders/>
            <w:shd w:fill="CCEEFF" w:val="clear"/>
            <w:vAlign w:val="bottom"/>
          </w:tcPr>
          <w:p>
            <w:pPr>
              <w:pStyle w:val="TableContents"/>
              <w:bidi w:val="0"/>
              <w:spacing w:before="0" w:after="283"/>
              <w:jc w:val="right"/>
              <w:rPr/>
            </w:pPr>
            <w:r>
              <w:rPr/>
              <w:t>1,451</w:t>
            </w:r>
          </w:p>
        </w:tc>
        <w:tc>
          <w:tcPr>
            <w:tcW w:w="100"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right"/>
              <w:rPr/>
            </w:pPr>
            <w:r>
              <w:rPr/>
              <w:t> </w:t>
            </w:r>
          </w:p>
        </w:tc>
        <w:tc>
          <w:tcPr>
            <w:tcW w:w="184" w:type="dxa"/>
            <w:tcBorders/>
            <w:shd w:fill="CCEEFF" w:val="clear"/>
            <w:vAlign w:val="bottom"/>
          </w:tcPr>
          <w:p>
            <w:pPr>
              <w:pStyle w:val="TableContents"/>
              <w:bidi w:val="0"/>
              <w:spacing w:before="0" w:after="283"/>
              <w:jc w:val="left"/>
              <w:rPr/>
            </w:pPr>
            <w:r>
              <w:rPr/>
              <w:t> </w:t>
            </w:r>
          </w:p>
        </w:tc>
        <w:tc>
          <w:tcPr>
            <w:tcW w:w="1059" w:type="dxa"/>
            <w:tcBorders/>
            <w:shd w:fill="CCEEFF" w:val="clear"/>
            <w:vAlign w:val="bottom"/>
          </w:tcPr>
          <w:p>
            <w:pPr>
              <w:pStyle w:val="TableContents"/>
              <w:bidi w:val="0"/>
              <w:spacing w:before="0" w:after="283"/>
              <w:jc w:val="right"/>
              <w:rPr/>
            </w:pPr>
            <w:r>
              <w:rPr/>
              <w:t>1,216</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3" w:type="dxa"/>
            <w:tcBorders/>
            <w:shd w:fill="CCEEFF" w:val="clear"/>
            <w:vAlign w:val="bottom"/>
          </w:tcPr>
          <w:p>
            <w:pPr>
              <w:pStyle w:val="TableContents"/>
              <w:bidi w:val="0"/>
              <w:spacing w:before="0" w:after="283"/>
              <w:jc w:val="left"/>
              <w:rPr/>
            </w:pPr>
            <w:r>
              <w:rPr/>
              <w:t> </w:t>
            </w:r>
          </w:p>
        </w:tc>
        <w:tc>
          <w:tcPr>
            <w:tcW w:w="936" w:type="dxa"/>
            <w:tcBorders/>
            <w:shd w:fill="CCEEFF" w:val="clear"/>
            <w:vAlign w:val="bottom"/>
          </w:tcPr>
          <w:p>
            <w:pPr>
              <w:pStyle w:val="TableContents"/>
              <w:bidi w:val="0"/>
              <w:spacing w:before="0" w:after="283"/>
              <w:jc w:val="right"/>
              <w:rPr/>
            </w:pPr>
            <w:r>
              <w:rPr/>
              <w:t>3,196</w:t>
            </w:r>
          </w:p>
        </w:tc>
        <w:tc>
          <w:tcPr>
            <w:tcW w:w="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right"/>
              <w:rPr/>
            </w:pPr>
            <w:r>
              <w:rPr/>
              <w:t> </w:t>
            </w:r>
          </w:p>
        </w:tc>
        <w:tc>
          <w:tcPr>
            <w:tcW w:w="184" w:type="dxa"/>
            <w:tcBorders/>
            <w:shd w:fill="CCEEFF" w:val="clear"/>
            <w:vAlign w:val="bottom"/>
          </w:tcPr>
          <w:p>
            <w:pPr>
              <w:pStyle w:val="TableContents"/>
              <w:bidi w:val="0"/>
              <w:spacing w:before="0" w:after="283"/>
              <w:jc w:val="left"/>
              <w:rPr/>
            </w:pPr>
            <w:r>
              <w:rPr/>
              <w:t> </w:t>
            </w:r>
          </w:p>
        </w:tc>
        <w:tc>
          <w:tcPr>
            <w:tcW w:w="1059" w:type="dxa"/>
            <w:tcBorders/>
            <w:shd w:fill="CCEEFF" w:val="clear"/>
            <w:vAlign w:val="bottom"/>
          </w:tcPr>
          <w:p>
            <w:pPr>
              <w:pStyle w:val="TableContents"/>
              <w:bidi w:val="0"/>
              <w:spacing w:before="0" w:after="283"/>
              <w:jc w:val="right"/>
              <w:rPr/>
            </w:pPr>
            <w:r>
              <w:rPr/>
              <w:t>(2,033</w:t>
            </w:r>
          </w:p>
        </w:tc>
        <w:tc>
          <w:tcPr>
            <w:tcW w:w="100" w:type="dxa"/>
            <w:tcBorders/>
            <w:shd w:fill="CCEEFF" w:val="clear"/>
            <w:vAlign w:val="bottom"/>
          </w:tcPr>
          <w:p>
            <w:pPr>
              <w:pStyle w:val="TableContents"/>
              <w:bidi w:val="0"/>
              <w:spacing w:before="0" w:after="283"/>
              <w:jc w:val="left"/>
              <w:rPr/>
            </w:pPr>
            <w:r>
              <w:rPr/>
              <w:t>)</w:t>
            </w:r>
          </w:p>
        </w:tc>
      </w:tr>
      <w:tr>
        <w:trPr/>
        <w:tc>
          <w:tcPr>
            <w:tcW w:w="4744" w:type="dxa"/>
            <w:tcBorders/>
            <w:vAlign w:val="bottom"/>
          </w:tcPr>
          <w:p>
            <w:pPr>
              <w:pStyle w:val="TableContents"/>
              <w:bidi w:val="0"/>
              <w:spacing w:lineRule="auto" w:line="240" w:before="0" w:after="0"/>
              <w:ind w:left="0" w:right="0" w:hanging="0"/>
              <w:jc w:val="left"/>
              <w:rPr/>
            </w:pPr>
            <w:r>
              <w:rPr/>
              <w:t>Other changes in fair value (B)</w:t>
            </w:r>
          </w:p>
        </w:tc>
        <w:tc>
          <w:tcPr>
            <w:tcW w:w="60" w:type="dxa"/>
            <w:tcBorders/>
            <w:vAlign w:val="bottom"/>
          </w:tcPr>
          <w:p>
            <w:pPr>
              <w:pStyle w:val="TableContents"/>
              <w:bidi w:val="0"/>
              <w:spacing w:before="0" w:after="283"/>
              <w:jc w:val="right"/>
              <w:rPr/>
            </w:pPr>
            <w:r>
              <w:rPr/>
              <w:t> </w:t>
            </w:r>
          </w:p>
        </w:tc>
        <w:tc>
          <w:tcPr>
            <w:tcW w:w="184" w:type="dxa"/>
            <w:tcBorders>
              <w:bottom w:val="single" w:sz="12" w:space="0" w:color="000000"/>
            </w:tcBorders>
            <w:tcMar>
              <w:bottom w:w="28" w:type="dxa"/>
            </w:tcMar>
            <w:vAlign w:val="bottom"/>
          </w:tcPr>
          <w:p>
            <w:pPr>
              <w:pStyle w:val="TableContents"/>
              <w:bidi w:val="0"/>
              <w:spacing w:before="0" w:after="283"/>
              <w:jc w:val="left"/>
              <w:rPr/>
            </w:pPr>
            <w:r>
              <w:rPr/>
              <w:t> </w:t>
            </w:r>
          </w:p>
        </w:tc>
        <w:tc>
          <w:tcPr>
            <w:tcW w:w="1059" w:type="dxa"/>
            <w:tcBorders>
              <w:bottom w:val="single" w:sz="12" w:space="0" w:color="000000"/>
            </w:tcBorders>
            <w:tcMar>
              <w:bottom w:w="28" w:type="dxa"/>
            </w:tcMar>
            <w:vAlign w:val="bottom"/>
          </w:tcPr>
          <w:p>
            <w:pPr>
              <w:pStyle w:val="TableContents"/>
              <w:bidi w:val="0"/>
              <w:spacing w:before="0" w:after="283"/>
              <w:jc w:val="right"/>
              <w:rPr/>
            </w:pPr>
            <w:r>
              <w:rPr/>
              <w:t>(3,802</w:t>
            </w:r>
          </w:p>
        </w:tc>
        <w:tc>
          <w:tcPr>
            <w:tcW w:w="100" w:type="dxa"/>
            <w:tcBorders/>
            <w:vAlign w:val="bottom"/>
          </w:tcPr>
          <w:p>
            <w:pPr>
              <w:pStyle w:val="TableContents"/>
              <w:bidi w:val="0"/>
              <w:spacing w:before="0" w:after="283"/>
              <w:jc w:val="left"/>
              <w:rPr/>
            </w:pPr>
            <w:r>
              <w:rPr/>
              <w:t>)</w:t>
            </w:r>
          </w:p>
        </w:tc>
        <w:tc>
          <w:tcPr>
            <w:tcW w:w="63" w:type="dxa"/>
            <w:tcBorders/>
            <w:vAlign w:val="bottom"/>
          </w:tcPr>
          <w:p>
            <w:pPr>
              <w:pStyle w:val="TableContents"/>
              <w:bidi w:val="0"/>
              <w:spacing w:before="0" w:after="283"/>
              <w:jc w:val="right"/>
              <w:rPr/>
            </w:pPr>
            <w:r>
              <w:rPr/>
              <w:t> </w:t>
            </w:r>
          </w:p>
        </w:tc>
        <w:tc>
          <w:tcPr>
            <w:tcW w:w="184" w:type="dxa"/>
            <w:tcBorders>
              <w:bottom w:val="single" w:sz="12" w:space="0" w:color="000000"/>
            </w:tcBorders>
            <w:tcMar>
              <w:bottom w:w="28" w:type="dxa"/>
            </w:tcMar>
            <w:vAlign w:val="bottom"/>
          </w:tcPr>
          <w:p>
            <w:pPr>
              <w:pStyle w:val="TableContents"/>
              <w:bidi w:val="0"/>
              <w:spacing w:before="0" w:after="283"/>
              <w:jc w:val="left"/>
              <w:rPr/>
            </w:pPr>
            <w:r>
              <w:rPr/>
              <w:t> </w:t>
            </w:r>
          </w:p>
        </w:tc>
        <w:tc>
          <w:tcPr>
            <w:tcW w:w="1059" w:type="dxa"/>
            <w:tcBorders>
              <w:bottom w:val="single" w:sz="12" w:space="0" w:color="000000"/>
            </w:tcBorders>
            <w:tcMar>
              <w:bottom w:w="28" w:type="dxa"/>
            </w:tcMar>
            <w:vAlign w:val="bottom"/>
          </w:tcPr>
          <w:p>
            <w:pPr>
              <w:pStyle w:val="TableContents"/>
              <w:bidi w:val="0"/>
              <w:spacing w:before="0" w:after="283"/>
              <w:jc w:val="right"/>
              <w:rPr/>
            </w:pPr>
            <w:r>
              <w:rPr/>
              <w:t>(3,947</w:t>
            </w:r>
          </w:p>
        </w:tc>
        <w:tc>
          <w:tcPr>
            <w:tcW w:w="95" w:type="dxa"/>
            <w:tcBorders/>
            <w:vAlign w:val="bottom"/>
          </w:tcPr>
          <w:p>
            <w:pPr>
              <w:pStyle w:val="TableContents"/>
              <w:bidi w:val="0"/>
              <w:spacing w:before="0" w:after="283"/>
              <w:jc w:val="left"/>
              <w:rPr/>
            </w:pPr>
            <w:r>
              <w:rPr/>
              <w:t>)</w:t>
            </w:r>
          </w:p>
        </w:tc>
        <w:tc>
          <w:tcPr>
            <w:tcW w:w="60" w:type="dxa"/>
            <w:tcBorders/>
            <w:vAlign w:val="bottom"/>
          </w:tcPr>
          <w:p>
            <w:pPr>
              <w:pStyle w:val="TableContents"/>
              <w:bidi w:val="0"/>
              <w:spacing w:before="0" w:after="283"/>
              <w:jc w:val="right"/>
              <w:rPr/>
            </w:pPr>
            <w:r>
              <w:rPr/>
              <w:t> </w:t>
            </w:r>
          </w:p>
        </w:tc>
        <w:tc>
          <w:tcPr>
            <w:tcW w:w="163" w:type="dxa"/>
            <w:tcBorders>
              <w:bottom w:val="single" w:sz="12" w:space="0" w:color="000000"/>
            </w:tcBorders>
            <w:tcMar>
              <w:bottom w:w="28" w:type="dxa"/>
            </w:tcMar>
            <w:vAlign w:val="bottom"/>
          </w:tcPr>
          <w:p>
            <w:pPr>
              <w:pStyle w:val="TableContents"/>
              <w:bidi w:val="0"/>
              <w:spacing w:before="0" w:after="283"/>
              <w:jc w:val="left"/>
              <w:rPr/>
            </w:pPr>
            <w:r>
              <w:rPr/>
              <w:t> </w:t>
            </w:r>
          </w:p>
        </w:tc>
        <w:tc>
          <w:tcPr>
            <w:tcW w:w="936" w:type="dxa"/>
            <w:tcBorders>
              <w:bottom w:val="single" w:sz="12" w:space="0" w:color="000000"/>
            </w:tcBorders>
            <w:tcMar>
              <w:bottom w:w="28" w:type="dxa"/>
            </w:tcMar>
            <w:vAlign w:val="bottom"/>
          </w:tcPr>
          <w:p>
            <w:pPr>
              <w:pStyle w:val="TableContents"/>
              <w:bidi w:val="0"/>
              <w:spacing w:before="0" w:after="283"/>
              <w:jc w:val="right"/>
              <w:rPr/>
            </w:pPr>
            <w:r>
              <w:rPr/>
              <w:t>(6,908</w:t>
            </w:r>
          </w:p>
        </w:tc>
        <w:tc>
          <w:tcPr>
            <w:tcW w:w="95" w:type="dxa"/>
            <w:tcBorders/>
            <w:vAlign w:val="bottom"/>
          </w:tcPr>
          <w:p>
            <w:pPr>
              <w:pStyle w:val="TableContents"/>
              <w:bidi w:val="0"/>
              <w:spacing w:before="0" w:after="283"/>
              <w:jc w:val="left"/>
              <w:rPr/>
            </w:pPr>
            <w:r>
              <w:rPr/>
              <w:t>)</w:t>
            </w:r>
          </w:p>
        </w:tc>
        <w:tc>
          <w:tcPr>
            <w:tcW w:w="60" w:type="dxa"/>
            <w:tcBorders/>
            <w:vAlign w:val="bottom"/>
          </w:tcPr>
          <w:p>
            <w:pPr>
              <w:pStyle w:val="TableContents"/>
              <w:bidi w:val="0"/>
              <w:spacing w:before="0" w:after="283"/>
              <w:jc w:val="right"/>
              <w:rPr/>
            </w:pPr>
            <w:r>
              <w:rPr/>
              <w:t> </w:t>
            </w:r>
          </w:p>
        </w:tc>
        <w:tc>
          <w:tcPr>
            <w:tcW w:w="184" w:type="dxa"/>
            <w:tcBorders>
              <w:bottom w:val="single" w:sz="12" w:space="0" w:color="000000"/>
            </w:tcBorders>
            <w:tcMar>
              <w:bottom w:w="28" w:type="dxa"/>
            </w:tcMar>
            <w:vAlign w:val="bottom"/>
          </w:tcPr>
          <w:p>
            <w:pPr>
              <w:pStyle w:val="TableContents"/>
              <w:bidi w:val="0"/>
              <w:spacing w:before="0" w:after="283"/>
              <w:jc w:val="left"/>
              <w:rPr/>
            </w:pPr>
            <w:r>
              <w:rPr/>
              <w:t> </w:t>
            </w:r>
          </w:p>
        </w:tc>
        <w:tc>
          <w:tcPr>
            <w:tcW w:w="1059" w:type="dxa"/>
            <w:tcBorders>
              <w:bottom w:val="single" w:sz="12" w:space="0" w:color="000000"/>
            </w:tcBorders>
            <w:tcMar>
              <w:bottom w:w="28" w:type="dxa"/>
            </w:tcMar>
            <w:vAlign w:val="bottom"/>
          </w:tcPr>
          <w:p>
            <w:pPr>
              <w:pStyle w:val="TableContents"/>
              <w:bidi w:val="0"/>
              <w:spacing w:before="0" w:after="283"/>
              <w:jc w:val="right"/>
              <w:rPr/>
            </w:pPr>
            <w:r>
              <w:rPr/>
              <w:t>(7,023</w:t>
            </w:r>
          </w:p>
        </w:tc>
        <w:tc>
          <w:tcPr>
            <w:tcW w:w="100" w:type="dxa"/>
            <w:tcBorders/>
            <w:vAlign w:val="bottom"/>
          </w:tcPr>
          <w:p>
            <w:pPr>
              <w:pStyle w:val="TableContents"/>
              <w:bidi w:val="0"/>
              <w:spacing w:before="0" w:after="283"/>
              <w:jc w:val="left"/>
              <w:rPr/>
            </w:pPr>
            <w:r>
              <w:rPr/>
              <w:t>)</w:t>
            </w:r>
          </w:p>
        </w:tc>
      </w:tr>
      <w:tr>
        <w:trPr/>
        <w:tc>
          <w:tcPr>
            <w:tcW w:w="4744" w:type="dxa"/>
            <w:tcBorders/>
            <w:shd w:fill="CCEEFF" w:val="clear"/>
            <w:vAlign w:val="bottom"/>
          </w:tcPr>
          <w:p>
            <w:pPr>
              <w:pStyle w:val="TableContents"/>
              <w:bidi w:val="0"/>
              <w:spacing w:before="0" w:after="0"/>
              <w:jc w:val="left"/>
              <w:rPr/>
            </w:pPr>
            <w:r>
              <w:rPr/>
              <w:t>Unrealized loss included in Net Income</w:t>
            </w:r>
          </w:p>
        </w:tc>
        <w:tc>
          <w:tcPr>
            <w:tcW w:w="60" w:type="dxa"/>
            <w:tcBorders/>
            <w:shd w:fill="CCEEFF" w:val="clear"/>
            <w:vAlign w:val="bottom"/>
          </w:tcPr>
          <w:p>
            <w:pPr>
              <w:pStyle w:val="TableContents"/>
              <w:bidi w:val="0"/>
              <w:spacing w:before="0" w:after="283"/>
              <w:jc w:val="right"/>
              <w:rPr/>
            </w:pPr>
            <w:r>
              <w:rPr/>
              <w:t> </w:t>
            </w:r>
          </w:p>
        </w:tc>
        <w:tc>
          <w:tcPr>
            <w:tcW w:w="184" w:type="dxa"/>
            <w:tcBorders>
              <w:bottom w:val="single" w:sz="12" w:space="0" w:color="000000"/>
            </w:tcBorders>
            <w:shd w:fill="CCEEFF" w:val="clear"/>
            <w:tcMar>
              <w:bottom w:w="28" w:type="dxa"/>
            </w:tcMar>
            <w:vAlign w:val="bottom"/>
          </w:tcPr>
          <w:p>
            <w:pPr>
              <w:pStyle w:val="TableContents"/>
              <w:bidi w:val="0"/>
              <w:spacing w:before="0" w:after="283"/>
              <w:jc w:val="left"/>
              <w:rPr/>
            </w:pPr>
            <w:r>
              <w:rPr/>
              <w:t>$</w:t>
            </w:r>
          </w:p>
        </w:tc>
        <w:tc>
          <w:tcPr>
            <w:tcW w:w="1059" w:type="dxa"/>
            <w:tcBorders>
              <w:bottom w:val="single" w:sz="12" w:space="0" w:color="000000"/>
            </w:tcBorders>
            <w:shd w:fill="CCEEFF" w:val="clear"/>
            <w:tcMar>
              <w:bottom w:w="28" w:type="dxa"/>
            </w:tcMar>
            <w:vAlign w:val="bottom"/>
          </w:tcPr>
          <w:p>
            <w:pPr>
              <w:pStyle w:val="TableContents"/>
              <w:bidi w:val="0"/>
              <w:spacing w:before="0" w:after="283"/>
              <w:jc w:val="right"/>
              <w:rPr/>
            </w:pPr>
            <w:r>
              <w:rPr/>
              <w:t>(2,351</w:t>
            </w:r>
          </w:p>
        </w:tc>
        <w:tc>
          <w:tcPr>
            <w:tcW w:w="100" w:type="dxa"/>
            <w:tcBorders/>
            <w:shd w:fill="CCEEFF" w:val="clear"/>
            <w:vAlign w:val="bottom"/>
          </w:tcPr>
          <w:p>
            <w:pPr>
              <w:pStyle w:val="TableContents"/>
              <w:bidi w:val="0"/>
              <w:spacing w:before="0" w:after="283"/>
              <w:jc w:val="left"/>
              <w:rPr/>
            </w:pPr>
            <w:r>
              <w:rPr/>
              <w:t>)</w:t>
            </w:r>
          </w:p>
        </w:tc>
        <w:tc>
          <w:tcPr>
            <w:tcW w:w="63" w:type="dxa"/>
            <w:tcBorders/>
            <w:shd w:fill="CCEEFF" w:val="clear"/>
            <w:vAlign w:val="bottom"/>
          </w:tcPr>
          <w:p>
            <w:pPr>
              <w:pStyle w:val="TableContents"/>
              <w:bidi w:val="0"/>
              <w:spacing w:before="0" w:after="283"/>
              <w:jc w:val="right"/>
              <w:rPr/>
            </w:pPr>
            <w:r>
              <w:rPr/>
              <w:t> </w:t>
            </w:r>
          </w:p>
        </w:tc>
        <w:tc>
          <w:tcPr>
            <w:tcW w:w="184" w:type="dxa"/>
            <w:tcBorders>
              <w:bottom w:val="single" w:sz="12" w:space="0" w:color="000000"/>
            </w:tcBorders>
            <w:shd w:fill="CCEEFF" w:val="clear"/>
            <w:tcMar>
              <w:bottom w:w="28" w:type="dxa"/>
            </w:tcMar>
            <w:vAlign w:val="bottom"/>
          </w:tcPr>
          <w:p>
            <w:pPr>
              <w:pStyle w:val="TableContents"/>
              <w:bidi w:val="0"/>
              <w:spacing w:before="0" w:after="283"/>
              <w:jc w:val="left"/>
              <w:rPr/>
            </w:pPr>
            <w:r>
              <w:rPr/>
              <w:t>$</w:t>
            </w:r>
          </w:p>
        </w:tc>
        <w:tc>
          <w:tcPr>
            <w:tcW w:w="1059" w:type="dxa"/>
            <w:tcBorders>
              <w:bottom w:val="single" w:sz="12" w:space="0" w:color="000000"/>
            </w:tcBorders>
            <w:shd w:fill="CCEEFF" w:val="clear"/>
            <w:tcMar>
              <w:bottom w:w="28" w:type="dxa"/>
            </w:tcMar>
            <w:vAlign w:val="bottom"/>
          </w:tcPr>
          <w:p>
            <w:pPr>
              <w:pStyle w:val="TableContents"/>
              <w:bidi w:val="0"/>
              <w:spacing w:before="0" w:after="283"/>
              <w:jc w:val="right"/>
              <w:rPr/>
            </w:pPr>
            <w:r>
              <w:rPr/>
              <w:t>(2,731</w:t>
            </w:r>
          </w:p>
        </w:tc>
        <w:tc>
          <w:tcPr>
            <w:tcW w:w="95" w:type="dxa"/>
            <w:tcBorders/>
            <w:shd w:fill="CCEEFF" w:val="clear"/>
            <w:vAlign w:val="bottom"/>
          </w:tcPr>
          <w:p>
            <w:pPr>
              <w:pStyle w:val="TableContents"/>
              <w:bidi w:val="0"/>
              <w:spacing w:before="0" w:after="283"/>
              <w:jc w:val="left"/>
              <w:rPr/>
            </w:pPr>
            <w:r>
              <w:rPr/>
              <w:t>)</w:t>
            </w:r>
          </w:p>
        </w:tc>
        <w:tc>
          <w:tcPr>
            <w:tcW w:w="60" w:type="dxa"/>
            <w:tcBorders/>
            <w:shd w:fill="CCEEFF" w:val="clear"/>
            <w:vAlign w:val="bottom"/>
          </w:tcPr>
          <w:p>
            <w:pPr>
              <w:pStyle w:val="TableContents"/>
              <w:bidi w:val="0"/>
              <w:spacing w:before="0" w:after="283"/>
              <w:jc w:val="right"/>
              <w:rPr/>
            </w:pPr>
            <w:r>
              <w:rPr/>
              <w:t> </w:t>
            </w:r>
          </w:p>
        </w:tc>
        <w:tc>
          <w:tcPr>
            <w:tcW w:w="163" w:type="dxa"/>
            <w:tcBorders>
              <w:bottom w:val="single" w:sz="12" w:space="0" w:color="000000"/>
            </w:tcBorders>
            <w:shd w:fill="CCEEFF" w:val="clear"/>
            <w:tcMar>
              <w:bottom w:w="28" w:type="dxa"/>
            </w:tcMar>
            <w:vAlign w:val="bottom"/>
          </w:tcPr>
          <w:p>
            <w:pPr>
              <w:pStyle w:val="TableContents"/>
              <w:bidi w:val="0"/>
              <w:spacing w:before="0" w:after="283"/>
              <w:jc w:val="left"/>
              <w:rPr/>
            </w:pPr>
            <w:r>
              <w:rPr/>
              <w:t>$</w:t>
            </w:r>
          </w:p>
        </w:tc>
        <w:tc>
          <w:tcPr>
            <w:tcW w:w="936" w:type="dxa"/>
            <w:tcBorders>
              <w:bottom w:val="single" w:sz="12" w:space="0" w:color="000000"/>
            </w:tcBorders>
            <w:shd w:fill="CCEEFF" w:val="clear"/>
            <w:tcMar>
              <w:bottom w:w="28" w:type="dxa"/>
            </w:tcMar>
            <w:vAlign w:val="bottom"/>
          </w:tcPr>
          <w:p>
            <w:pPr>
              <w:pStyle w:val="TableContents"/>
              <w:bidi w:val="0"/>
              <w:spacing w:before="0" w:after="283"/>
              <w:jc w:val="right"/>
              <w:rPr/>
            </w:pPr>
            <w:r>
              <w:rPr/>
              <w:t>(3,712</w:t>
            </w:r>
          </w:p>
        </w:tc>
        <w:tc>
          <w:tcPr>
            <w:tcW w:w="95" w:type="dxa"/>
            <w:tcBorders/>
            <w:shd w:fill="CCEEFF" w:val="clear"/>
            <w:vAlign w:val="bottom"/>
          </w:tcPr>
          <w:p>
            <w:pPr>
              <w:pStyle w:val="TableContents"/>
              <w:bidi w:val="0"/>
              <w:spacing w:before="0" w:after="283"/>
              <w:jc w:val="left"/>
              <w:rPr/>
            </w:pPr>
            <w:r>
              <w:rPr/>
              <w:t>)</w:t>
            </w:r>
          </w:p>
        </w:tc>
        <w:tc>
          <w:tcPr>
            <w:tcW w:w="60" w:type="dxa"/>
            <w:tcBorders/>
            <w:shd w:fill="CCEEFF" w:val="clear"/>
            <w:vAlign w:val="bottom"/>
          </w:tcPr>
          <w:p>
            <w:pPr>
              <w:pStyle w:val="TableContents"/>
              <w:bidi w:val="0"/>
              <w:spacing w:before="0" w:after="283"/>
              <w:jc w:val="right"/>
              <w:rPr/>
            </w:pPr>
            <w:r>
              <w:rPr/>
              <w:t> </w:t>
            </w:r>
          </w:p>
        </w:tc>
        <w:tc>
          <w:tcPr>
            <w:tcW w:w="184" w:type="dxa"/>
            <w:tcBorders>
              <w:bottom w:val="single" w:sz="12" w:space="0" w:color="000000"/>
            </w:tcBorders>
            <w:shd w:fill="CCEEFF" w:val="clear"/>
            <w:tcMar>
              <w:bottom w:w="28" w:type="dxa"/>
            </w:tcMar>
            <w:vAlign w:val="bottom"/>
          </w:tcPr>
          <w:p>
            <w:pPr>
              <w:pStyle w:val="TableContents"/>
              <w:bidi w:val="0"/>
              <w:spacing w:before="0" w:after="283"/>
              <w:jc w:val="left"/>
              <w:rPr/>
            </w:pPr>
            <w:r>
              <w:rPr/>
              <w:t>$</w:t>
            </w:r>
          </w:p>
        </w:tc>
        <w:tc>
          <w:tcPr>
            <w:tcW w:w="1059" w:type="dxa"/>
            <w:tcBorders>
              <w:bottom w:val="single" w:sz="12" w:space="0" w:color="000000"/>
            </w:tcBorders>
            <w:shd w:fill="CCEEFF" w:val="clear"/>
            <w:tcMar>
              <w:bottom w:w="28" w:type="dxa"/>
            </w:tcMar>
            <w:vAlign w:val="bottom"/>
          </w:tcPr>
          <w:p>
            <w:pPr>
              <w:pStyle w:val="TableContents"/>
              <w:bidi w:val="0"/>
              <w:spacing w:before="0" w:after="283"/>
              <w:jc w:val="right"/>
              <w:rPr/>
            </w:pPr>
            <w:r>
              <w:rPr/>
              <w:t>(9,056</w:t>
            </w:r>
          </w:p>
        </w:tc>
        <w:tc>
          <w:tcPr>
            <w:tcW w:w="100" w:type="dxa"/>
            <w:tcBorders/>
            <w:shd w:fill="CCEEFF" w:val="clear"/>
            <w:vAlign w:val="bottom"/>
          </w:tcPr>
          <w:p>
            <w:pPr>
              <w:pStyle w:val="TableContents"/>
              <w:bidi w:val="0"/>
              <w:spacing w:before="0" w:after="283"/>
              <w:jc w:val="left"/>
              <w:rPr/>
            </w:pPr>
            <w:r>
              <w:rPr/>
              <w:t>)</w:t>
            </w:r>
          </w:p>
        </w:tc>
      </w:tr>
      <w:tr>
        <w:trPr/>
        <w:tc>
          <w:tcPr>
            <w:tcW w:w="4744" w:type="dxa"/>
            <w:tcBorders/>
            <w:vAlign w:val="bottom"/>
          </w:tcPr>
          <w:p>
            <w:pPr>
              <w:pStyle w:val="TableContents"/>
              <w:bidi w:val="0"/>
              <w:spacing w:before="0" w:after="0"/>
              <w:jc w:val="left"/>
              <w:rPr>
                <w:b/>
              </w:rPr>
            </w:pPr>
            <w:r>
              <w:rPr>
                <w:b/>
              </w:rPr>
              <w:t>Balance at end of period</w:t>
            </w:r>
          </w:p>
        </w:tc>
        <w:tc>
          <w:tcPr>
            <w:tcW w:w="60" w:type="dxa"/>
            <w:tcBorders/>
            <w:vAlign w:val="bottom"/>
          </w:tcPr>
          <w:p>
            <w:pPr>
              <w:pStyle w:val="TableContents"/>
              <w:bidi w:val="0"/>
              <w:spacing w:before="0" w:after="283"/>
              <w:jc w:val="right"/>
              <w:rPr/>
            </w:pPr>
            <w:r>
              <w:rPr/>
              <w:t> </w:t>
            </w:r>
          </w:p>
        </w:tc>
        <w:tc>
          <w:tcPr>
            <w:tcW w:w="184" w:type="dxa"/>
            <w:tcBorders/>
            <w:vAlign w:val="bottom"/>
          </w:tcPr>
          <w:p>
            <w:pPr>
              <w:pStyle w:val="TableContents"/>
              <w:bidi w:val="0"/>
              <w:spacing w:before="0" w:after="283"/>
              <w:jc w:val="left"/>
              <w:rPr>
                <w:b/>
              </w:rPr>
            </w:pPr>
            <w:r>
              <w:rPr>
                <w:b/>
              </w:rPr>
              <w:t>$</w:t>
            </w:r>
          </w:p>
        </w:tc>
        <w:tc>
          <w:tcPr>
            <w:tcW w:w="1059" w:type="dxa"/>
            <w:tcBorders/>
            <w:vAlign w:val="bottom"/>
          </w:tcPr>
          <w:p>
            <w:pPr>
              <w:pStyle w:val="TableContents"/>
              <w:bidi w:val="0"/>
              <w:spacing w:before="0" w:after="283"/>
              <w:jc w:val="right"/>
              <w:rPr>
                <w:b/>
              </w:rPr>
            </w:pPr>
            <w:r>
              <w:rPr>
                <w:b/>
              </w:rPr>
              <w:t>211,105</w:t>
            </w:r>
          </w:p>
        </w:tc>
        <w:tc>
          <w:tcPr>
            <w:tcW w:w="100"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right"/>
              <w:rPr/>
            </w:pPr>
            <w:r>
              <w:rPr/>
              <w:t> </w:t>
            </w:r>
          </w:p>
        </w:tc>
        <w:tc>
          <w:tcPr>
            <w:tcW w:w="184" w:type="dxa"/>
            <w:tcBorders/>
            <w:vAlign w:val="bottom"/>
          </w:tcPr>
          <w:p>
            <w:pPr>
              <w:pStyle w:val="TableContents"/>
              <w:bidi w:val="0"/>
              <w:spacing w:before="0" w:after="283"/>
              <w:jc w:val="left"/>
              <w:rPr>
                <w:b/>
              </w:rPr>
            </w:pPr>
            <w:r>
              <w:rPr>
                <w:b/>
              </w:rPr>
              <w:t>$</w:t>
            </w:r>
          </w:p>
        </w:tc>
        <w:tc>
          <w:tcPr>
            <w:tcW w:w="1059" w:type="dxa"/>
            <w:tcBorders/>
            <w:vAlign w:val="bottom"/>
          </w:tcPr>
          <w:p>
            <w:pPr>
              <w:pStyle w:val="TableContents"/>
              <w:bidi w:val="0"/>
              <w:spacing w:before="0" w:after="283"/>
              <w:jc w:val="right"/>
              <w:rPr>
                <w:b/>
              </w:rPr>
            </w:pPr>
            <w:r>
              <w:rPr>
                <w:b/>
              </w:rPr>
              <w:t>224,601</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3" w:type="dxa"/>
            <w:tcBorders/>
            <w:vAlign w:val="bottom"/>
          </w:tcPr>
          <w:p>
            <w:pPr>
              <w:pStyle w:val="TableContents"/>
              <w:bidi w:val="0"/>
              <w:spacing w:before="0" w:after="283"/>
              <w:jc w:val="left"/>
              <w:rPr>
                <w:b/>
              </w:rPr>
            </w:pPr>
            <w:r>
              <w:rPr>
                <w:b/>
              </w:rPr>
              <w:t>$</w:t>
            </w:r>
          </w:p>
        </w:tc>
        <w:tc>
          <w:tcPr>
            <w:tcW w:w="936" w:type="dxa"/>
            <w:tcBorders/>
            <w:vAlign w:val="bottom"/>
          </w:tcPr>
          <w:p>
            <w:pPr>
              <w:pStyle w:val="TableContents"/>
              <w:bidi w:val="0"/>
              <w:spacing w:before="0" w:after="283"/>
              <w:jc w:val="right"/>
              <w:rPr>
                <w:b/>
              </w:rPr>
            </w:pPr>
            <w:r>
              <w:rPr>
                <w:b/>
              </w:rPr>
              <w:t>211,105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4" w:type="dxa"/>
            <w:tcBorders/>
            <w:vAlign w:val="bottom"/>
          </w:tcPr>
          <w:p>
            <w:pPr>
              <w:pStyle w:val="TableContents"/>
              <w:bidi w:val="0"/>
              <w:spacing w:before="0" w:after="283"/>
              <w:jc w:val="left"/>
              <w:rPr>
                <w:b/>
              </w:rPr>
            </w:pPr>
            <w:r>
              <w:rPr>
                <w:b/>
              </w:rPr>
              <w:t>$</w:t>
            </w:r>
          </w:p>
        </w:tc>
        <w:tc>
          <w:tcPr>
            <w:tcW w:w="1059" w:type="dxa"/>
            <w:tcBorders/>
            <w:vAlign w:val="bottom"/>
          </w:tcPr>
          <w:p>
            <w:pPr>
              <w:pStyle w:val="TableContents"/>
              <w:bidi w:val="0"/>
              <w:spacing w:before="0" w:after="283"/>
              <w:jc w:val="right"/>
              <w:rPr>
                <w:b/>
              </w:rPr>
            </w:pPr>
            <w:r>
              <w:rPr>
                <w:b/>
              </w:rPr>
              <w:t>224,601</w:t>
            </w:r>
          </w:p>
        </w:tc>
        <w:tc>
          <w:tcPr>
            <w:tcW w:w="100" w:type="dxa"/>
            <w:tcBorders/>
            <w:vAlign w:val="bottom"/>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336"/>
        <w:gridCol w:w="9869"/>
      </w:tblGrid>
      <w:tr>
        <w:trPr/>
        <w:tc>
          <w:tcPr>
            <w:tcW w:w="336" w:type="dxa"/>
            <w:tcBorders/>
            <w:vAlign w:val="center"/>
          </w:tcPr>
          <w:p>
            <w:pPr>
              <w:pStyle w:val="TableContents"/>
              <w:bidi w:val="0"/>
              <w:spacing w:before="0" w:after="283"/>
              <w:jc w:val="left"/>
              <w:rPr/>
            </w:pPr>
            <w:r>
              <w:rPr/>
              <w:t>(A)</w:t>
            </w:r>
          </w:p>
        </w:tc>
        <w:tc>
          <w:tcPr>
            <w:tcW w:w="9869" w:type="dxa"/>
            <w:tcBorders/>
            <w:vAlign w:val="center"/>
          </w:tcPr>
          <w:p>
            <w:pPr>
              <w:pStyle w:val="TableContents"/>
              <w:bidi w:val="0"/>
              <w:spacing w:before="0" w:after="0"/>
              <w:jc w:val="both"/>
              <w:rPr>
                <w:color w:val="000000"/>
              </w:rPr>
            </w:pPr>
            <w:r>
              <w:rPr>
                <w:color w:val="000000"/>
              </w:rPr>
              <w:t>Represents purchase price adjustments, principally contractual prepayment protection, and changes due to the Company’s repurchase of the underlying collateral.</w:t>
            </w:r>
          </w:p>
        </w:tc>
      </w:tr>
    </w:tbl>
    <w:tbl>
      <w:tblPr>
        <w:tblW w:w="8770" w:type="dxa"/>
        <w:jc w:val="left"/>
        <w:tblInd w:w="0" w:type="dxa"/>
        <w:tblLayout w:type="fixed"/>
        <w:tblCellMar>
          <w:top w:w="0" w:type="dxa"/>
          <w:left w:w="0" w:type="dxa"/>
          <w:bottom w:w="0" w:type="dxa"/>
          <w:right w:w="0" w:type="dxa"/>
        </w:tblCellMar>
      </w:tblPr>
      <w:tblGrid>
        <w:gridCol w:w="350"/>
        <w:gridCol w:w="8420"/>
      </w:tblGrid>
      <w:tr>
        <w:trPr/>
        <w:tc>
          <w:tcPr>
            <w:tcW w:w="350" w:type="dxa"/>
            <w:tcBorders/>
            <w:vAlign w:val="center"/>
          </w:tcPr>
          <w:p>
            <w:pPr>
              <w:pStyle w:val="TableContents"/>
              <w:bidi w:val="0"/>
              <w:spacing w:before="0" w:after="283"/>
              <w:jc w:val="left"/>
              <w:rPr/>
            </w:pPr>
            <w:r>
              <w:rPr/>
              <w:t>(B)</w:t>
            </w:r>
          </w:p>
        </w:tc>
        <w:tc>
          <w:tcPr>
            <w:tcW w:w="8420" w:type="dxa"/>
            <w:tcBorders/>
            <w:vAlign w:val="center"/>
          </w:tcPr>
          <w:p>
            <w:pPr>
              <w:pStyle w:val="TableContents"/>
              <w:bidi w:val="0"/>
              <w:spacing w:before="0" w:after="0"/>
              <w:jc w:val="both"/>
              <w:rPr>
                <w:color w:val="000000"/>
              </w:rPr>
            </w:pPr>
            <w:r>
              <w:rPr>
                <w:color w:val="000000"/>
              </w:rPr>
              <w:t>Represents changes due to realization of expected cash flows and estimated MSR runoff.</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39</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shd w:fill="FFFFFF" w:val="clear"/>
        </w:rPr>
      </w:pPr>
      <w:r>
        <w:rPr>
          <w:rFonts w:ascii="Times New Roman" w:hAnsi="Times New Roman"/>
          <w:b w:val="false"/>
          <w:color w:val="000000"/>
          <w:sz w:val="20"/>
          <w:shd w:fill="FFFFFF" w:val="clear"/>
        </w:rPr>
        <w:t>The tables below present information about the significant unobservable inputs used in the fair value measurement of the Company’s Servicing Related Assets classified as Level 3 fair value assets as of the dates indicated (dollars in thousands):</w:t>
      </w:r>
    </w:p>
    <w:p>
      <w:pPr>
        <w:pStyle w:val="TextBody"/>
        <w:bidi w:val="0"/>
        <w:spacing w:before="0" w:after="0"/>
        <w:jc w:val="center"/>
        <w:rPr>
          <w:rFonts w:ascii="Times New Roman" w:hAnsi="Times New Roman"/>
          <w:b/>
          <w:sz w:val="20"/>
        </w:rPr>
      </w:pPr>
      <w:r>
        <w:rPr>
          <w:rFonts w:ascii="Times New Roman" w:hAnsi="Times New Roman"/>
          <w:b/>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Fair Value Measurements</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As of June 30, 2026</w:t>
      </w:r>
    </w:p>
    <w:p>
      <w:pPr>
        <w:pStyle w:val="TextBody"/>
        <w:bidi w:val="0"/>
        <w:spacing w:before="0" w:after="0"/>
        <w:jc w:val="left"/>
        <w:rPr/>
      </w:pPr>
      <w:r>
        <w:rPr/>
      </w:r>
    </w:p>
    <w:tbl>
      <w:tblPr>
        <w:tblW w:w="9254" w:type="dxa"/>
        <w:jc w:val="left"/>
        <w:tblInd w:w="0" w:type="dxa"/>
        <w:tblLayout w:type="fixed"/>
        <w:tblCellMar>
          <w:top w:w="0" w:type="dxa"/>
          <w:left w:w="0" w:type="dxa"/>
          <w:bottom w:w="0" w:type="dxa"/>
          <w:right w:w="0" w:type="dxa"/>
        </w:tblCellMar>
      </w:tblPr>
      <w:tblGrid>
        <w:gridCol w:w="950"/>
        <w:gridCol w:w="60"/>
        <w:gridCol w:w="200"/>
        <w:gridCol w:w="800"/>
        <w:gridCol w:w="60"/>
        <w:gridCol w:w="1790"/>
        <w:gridCol w:w="60"/>
        <w:gridCol w:w="2570"/>
        <w:gridCol w:w="60"/>
        <w:gridCol w:w="60"/>
        <w:gridCol w:w="950"/>
        <w:gridCol w:w="185"/>
        <w:gridCol w:w="60"/>
        <w:gridCol w:w="389"/>
        <w:gridCol w:w="860"/>
        <w:gridCol w:w="200"/>
      </w:tblGrid>
      <w:tr>
        <w:trPr/>
        <w:tc>
          <w:tcPr>
            <w:tcW w:w="950" w:type="dxa"/>
            <w:tcBorders/>
            <w:vAlign w:val="bottom"/>
          </w:tcPr>
          <w:p>
            <w:pPr>
              <w:pStyle w:val="TableContents"/>
              <w:bidi w:val="0"/>
              <w:spacing w:before="0" w:after="0"/>
              <w:ind w:left="180" w:right="0" w:hanging="180"/>
              <w:jc w:val="left"/>
              <w:rPr/>
            </w:pPr>
            <w:r>
              <w:rPr/>
              <w:t> </w:t>
            </w:r>
          </w:p>
        </w:tc>
        <w:tc>
          <w:tcPr>
            <w:tcW w:w="60" w:type="dxa"/>
            <w:tcBorders/>
            <w:vAlign w:val="bottom"/>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Fair Value</w:t>
            </w:r>
          </w:p>
        </w:tc>
        <w:tc>
          <w:tcPr>
            <w:tcW w:w="60" w:type="dxa"/>
            <w:tcBorders/>
            <w:vAlign w:val="bottom"/>
          </w:tcPr>
          <w:p>
            <w:pPr>
              <w:pStyle w:val="TableContents"/>
              <w:bidi w:val="0"/>
              <w:spacing w:before="0" w:after="283"/>
              <w:jc w:val="left"/>
              <w:rPr/>
            </w:pPr>
            <w:r>
              <w:rPr/>
              <w:t> </w:t>
            </w:r>
          </w:p>
        </w:tc>
        <w:tc>
          <w:tcPr>
            <w:tcW w:w="1790" w:type="dxa"/>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Valuation Technique</w:t>
            </w:r>
          </w:p>
        </w:tc>
        <w:tc>
          <w:tcPr>
            <w:tcW w:w="60" w:type="dxa"/>
            <w:tcBorders/>
            <w:vAlign w:val="bottom"/>
          </w:tcPr>
          <w:p>
            <w:pPr>
              <w:pStyle w:val="TableContents"/>
              <w:bidi w:val="0"/>
              <w:spacing w:before="0" w:after="283"/>
              <w:jc w:val="left"/>
              <w:rPr/>
            </w:pPr>
            <w:r>
              <w:rPr/>
              <w:t> </w:t>
            </w:r>
          </w:p>
        </w:tc>
        <w:tc>
          <w:tcPr>
            <w:tcW w:w="2570" w:type="dxa"/>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 xml:space="preserve">Unobservable Input </w:t>
            </w:r>
            <w:r>
              <w:rPr>
                <w:rFonts w:ascii="Times New Roman" w:hAnsi="Times New Roman"/>
                <w:b/>
                <w:position w:val="7"/>
                <w:sz w:val="16"/>
                <w:sz w:val="20"/>
              </w:rPr>
              <w:t>(A)</w:t>
            </w:r>
          </w:p>
        </w:tc>
        <w:tc>
          <w:tcPr>
            <w:tcW w:w="60" w:type="dxa"/>
            <w:tcBorders/>
            <w:vAlign w:val="bottom"/>
          </w:tcPr>
          <w:p>
            <w:pPr>
              <w:pStyle w:val="TableContents"/>
              <w:bidi w:val="0"/>
              <w:spacing w:before="0" w:after="283"/>
              <w:jc w:val="left"/>
              <w:rPr/>
            </w:pPr>
            <w:r>
              <w:rPr/>
              <w:t> </w:t>
            </w:r>
          </w:p>
        </w:tc>
        <w:tc>
          <w:tcPr>
            <w:tcW w:w="101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Range</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bottom"/>
          </w:tcPr>
          <w:p>
            <w:pPr>
              <w:pStyle w:val="TableContents"/>
              <w:bidi w:val="0"/>
              <w:spacing w:before="0" w:after="0"/>
              <w:jc w:val="center"/>
              <w:rPr>
                <w:b/>
              </w:rPr>
            </w:pPr>
            <w:r>
              <w:rPr>
                <w:b/>
              </w:rPr>
              <w:t xml:space="preserve">Weighted </w:t>
            </w:r>
          </w:p>
          <w:p>
            <w:pPr>
              <w:pStyle w:val="TableContents"/>
              <w:bidi w:val="0"/>
              <w:spacing w:lineRule="auto" w:line="240" w:before="0" w:after="0"/>
              <w:jc w:val="center"/>
              <w:rPr>
                <w:b/>
              </w:rPr>
            </w:pPr>
            <w:r>
              <w:rPr>
                <w:b/>
              </w:rPr>
              <w:t>Average (B)</w:t>
            </w:r>
          </w:p>
        </w:tc>
        <w:tc>
          <w:tcPr>
            <w:tcW w:w="200" w:type="dxa"/>
            <w:tcBorders/>
            <w:vAlign w:val="bottom"/>
          </w:tcPr>
          <w:p>
            <w:pPr>
              <w:pStyle w:val="TableContents"/>
              <w:bidi w:val="0"/>
              <w:spacing w:before="0" w:after="283"/>
              <w:jc w:val="left"/>
              <w:rPr/>
            </w:pPr>
            <w:r>
              <w:rPr/>
              <w:t> </w:t>
            </w:r>
          </w:p>
        </w:tc>
      </w:tr>
      <w:tr>
        <w:trPr/>
        <w:tc>
          <w:tcPr>
            <w:tcW w:w="950" w:type="dxa"/>
            <w:tcBorders/>
            <w:shd w:fill="CCEEFF" w:val="clear"/>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MSRs</w:t>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0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211,105</w:t>
            </w:r>
          </w:p>
        </w:tc>
        <w:tc>
          <w:tcPr>
            <w:tcW w:w="60" w:type="dxa"/>
            <w:tcBorders/>
            <w:shd w:fill="CCEEFF" w:val="clear"/>
            <w:vAlign w:val="bottom"/>
          </w:tcPr>
          <w:p>
            <w:pPr>
              <w:pStyle w:val="TableContents"/>
              <w:bidi w:val="0"/>
              <w:spacing w:before="0" w:after="283"/>
              <w:jc w:val="left"/>
              <w:rPr/>
            </w:pPr>
            <w:r>
              <w:rPr/>
              <w:t> </w:t>
            </w:r>
          </w:p>
        </w:tc>
        <w:tc>
          <w:tcPr>
            <w:tcW w:w="1790" w:type="dxa"/>
            <w:tcBorders/>
            <w:shd w:fill="CCEEFF" w:val="clear"/>
            <w:vAlign w:val="center"/>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Discounted cash flow</w:t>
            </w:r>
          </w:p>
        </w:tc>
        <w:tc>
          <w:tcPr>
            <w:tcW w:w="60" w:type="dxa"/>
            <w:tcBorders/>
            <w:shd w:fill="CCEEFF" w:val="clear"/>
            <w:vAlign w:val="bottom"/>
          </w:tcPr>
          <w:p>
            <w:pPr>
              <w:pStyle w:val="TableContents"/>
              <w:bidi w:val="0"/>
              <w:spacing w:before="0" w:after="283"/>
              <w:jc w:val="left"/>
              <w:rPr/>
            </w:pPr>
            <w:r>
              <w:rPr/>
              <w:t> </w:t>
            </w:r>
          </w:p>
        </w:tc>
        <w:tc>
          <w:tcPr>
            <w:tcW w:w="257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Constant prepayment speed</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3.0% - 12.5</w:t>
            </w:r>
          </w:p>
        </w:tc>
        <w:tc>
          <w:tcPr>
            <w:tcW w:w="18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389" w:type="dxa"/>
            <w:tcBorders/>
            <w:shd w:fill="CCEEFF" w:val="clear"/>
            <w:vAlign w:val="bottom"/>
          </w:tcPr>
          <w:p>
            <w:pPr>
              <w:pStyle w:val="TableContents"/>
              <w:bidi w:val="0"/>
              <w:spacing w:before="0" w:after="283"/>
              <w:jc w:val="left"/>
              <w:rPr/>
            </w:pPr>
            <w:r>
              <w:rPr/>
              <w:t> </w:t>
            </w:r>
          </w:p>
        </w:tc>
        <w:tc>
          <w:tcPr>
            <w:tcW w:w="86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6.4</w:t>
            </w:r>
          </w:p>
        </w:tc>
        <w:tc>
          <w:tcPr>
            <w:tcW w:w="20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950" w:type="dxa"/>
            <w:tcBorders/>
            <w:vAlign w:val="bottom"/>
          </w:tcPr>
          <w:p>
            <w:pPr>
              <w:pStyle w:val="TableContents"/>
              <w:bidi w:val="0"/>
              <w:spacing w:before="0" w:after="0"/>
              <w:ind w:left="180" w:right="0" w:hanging="180"/>
              <w:jc w:val="left"/>
              <w:rPr/>
            </w:pPr>
            <w:r>
              <w:rPr/>
              <w:t> </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790" w:type="dxa"/>
            <w:tcBorders/>
            <w:vAlign w:val="bottom"/>
          </w:tcPr>
          <w:p>
            <w:pPr>
              <w:pStyle w:val="TableContents"/>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257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Discount rate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9.5</w:t>
            </w:r>
          </w:p>
        </w:tc>
        <w:tc>
          <w:tcPr>
            <w:tcW w:w="20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950" w:type="dxa"/>
            <w:tcBorders/>
            <w:shd w:fill="CCEEFF" w:val="clear"/>
            <w:vAlign w:val="bottom"/>
          </w:tcPr>
          <w:p>
            <w:pPr>
              <w:pStyle w:val="TableContents"/>
              <w:bidi w:val="0"/>
              <w:spacing w:before="0" w:after="283"/>
              <w:jc w:val="left"/>
              <w:rPr/>
            </w:pPr>
            <w:r>
              <w:rPr/>
            </w:r>
          </w:p>
        </w:tc>
        <w:tc>
          <w:tcPr>
            <w:tcW w:w="60" w:type="dxa"/>
            <w:tcBorders/>
            <w:shd w:fill="CCEEFF" w:val="clear"/>
            <w:vAlign w:val="bottom"/>
          </w:tcPr>
          <w:p>
            <w:pPr>
              <w:pStyle w:val="TableContents"/>
              <w:bidi w:val="0"/>
              <w:spacing w:before="0" w:after="283"/>
              <w:jc w:val="left"/>
              <w:rPr/>
            </w:pPr>
            <w:r>
              <w:rPr/>
            </w:r>
          </w:p>
        </w:tc>
        <w:tc>
          <w:tcPr>
            <w:tcW w:w="200" w:type="dxa"/>
            <w:tcBorders>
              <w:bottom w:val="single" w:sz="12" w:space="0" w:color="000000"/>
            </w:tcBorders>
            <w:shd w:fill="CCEEFF" w:val="clear"/>
            <w:tcMar>
              <w:bottom w:w="28" w:type="dxa"/>
            </w:tcMar>
            <w:vAlign w:val="bottom"/>
          </w:tcPr>
          <w:p>
            <w:pPr>
              <w:pStyle w:val="TableContents"/>
              <w:bidi w:val="0"/>
              <w:spacing w:before="0" w:after="283"/>
              <w:jc w:val="left"/>
              <w:rPr/>
            </w:pPr>
            <w:r>
              <w:rPr/>
            </w:r>
          </w:p>
        </w:tc>
        <w:tc>
          <w:tcPr>
            <w:tcW w:w="800" w:type="dxa"/>
            <w:tcBorders>
              <w:bottom w:val="single" w:sz="12" w:space="0" w:color="000000"/>
            </w:tcBorders>
            <w:shd w:fill="CCEEFF" w:val="clear"/>
            <w:tcMar>
              <w:bottom w:w="28" w:type="dxa"/>
            </w:tcMar>
            <w:vAlign w:val="bottom"/>
          </w:tcPr>
          <w:p>
            <w:pPr>
              <w:pStyle w:val="TableContents"/>
              <w:bidi w:val="0"/>
              <w:spacing w:before="0" w:after="283"/>
              <w:jc w:val="left"/>
              <w:rPr/>
            </w:pPr>
            <w:r>
              <w:rPr/>
            </w:r>
          </w:p>
        </w:tc>
        <w:tc>
          <w:tcPr>
            <w:tcW w:w="60" w:type="dxa"/>
            <w:tcBorders/>
            <w:shd w:fill="CCEEFF" w:val="clear"/>
            <w:vAlign w:val="bottom"/>
          </w:tcPr>
          <w:p>
            <w:pPr>
              <w:pStyle w:val="TableContents"/>
              <w:bidi w:val="0"/>
              <w:spacing w:before="0" w:after="283"/>
              <w:jc w:val="left"/>
              <w:rPr/>
            </w:pPr>
            <w:r>
              <w:rPr/>
              <w:t> </w:t>
            </w:r>
          </w:p>
        </w:tc>
        <w:tc>
          <w:tcPr>
            <w:tcW w:w="1790" w:type="dxa"/>
            <w:tcBorders/>
            <w:shd w:fill="CCEEFF" w:val="clear"/>
            <w:vAlign w:val="bottom"/>
          </w:tcPr>
          <w:p>
            <w:pPr>
              <w:pStyle w:val="TableContents"/>
              <w:bidi w:val="0"/>
              <w:spacing w:before="0" w:after="0"/>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7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Annual cost to service, per loan</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89"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6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87</w:t>
            </w:r>
          </w:p>
        </w:tc>
        <w:tc>
          <w:tcPr>
            <w:tcW w:w="200" w:type="dxa"/>
            <w:tcBorders/>
            <w:shd w:fill="CCEEFF" w:val="clear"/>
            <w:vAlign w:val="bottom"/>
          </w:tcPr>
          <w:p>
            <w:pPr>
              <w:pStyle w:val="TableContents"/>
              <w:bidi w:val="0"/>
              <w:spacing w:before="0" w:after="283"/>
              <w:jc w:val="left"/>
              <w:rPr/>
            </w:pPr>
            <w:r>
              <w:rPr/>
              <w:t> </w:t>
            </w:r>
          </w:p>
        </w:tc>
      </w:tr>
      <w:tr>
        <w:trPr/>
        <w:tc>
          <w:tcPr>
            <w:tcW w:w="950" w:type="dxa"/>
            <w:tcBorders/>
            <w:vAlign w:val="bottom"/>
          </w:tcPr>
          <w:p>
            <w:pPr>
              <w:pStyle w:val="TableContents"/>
              <w:bidi w:val="0"/>
              <w:spacing w:before="0" w:after="283"/>
              <w:jc w:val="left"/>
              <w:rPr>
                <w:b/>
              </w:rPr>
            </w:pPr>
            <w:r>
              <w:rPr>
                <w:b/>
              </w:rPr>
              <w:t xml:space="preserve">TOTAL </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b/>
              </w:rPr>
            </w:pPr>
            <w:r>
              <w:rPr>
                <w:b/>
              </w:rPr>
              <w:t xml:space="preserve">$ </w:t>
            </w:r>
          </w:p>
        </w:tc>
        <w:tc>
          <w:tcPr>
            <w:tcW w:w="800" w:type="dxa"/>
            <w:tcBorders/>
            <w:vAlign w:val="bottom"/>
          </w:tcPr>
          <w:p>
            <w:pPr>
              <w:pStyle w:val="TableContents"/>
              <w:bidi w:val="0"/>
              <w:spacing w:before="0" w:after="283"/>
              <w:jc w:val="right"/>
              <w:rPr>
                <w:b/>
              </w:rPr>
            </w:pPr>
            <w:r>
              <w:rPr>
                <w:b/>
              </w:rPr>
              <w:t>211,105</w:t>
            </w:r>
          </w:p>
        </w:tc>
        <w:tc>
          <w:tcPr>
            <w:tcW w:w="60" w:type="dxa"/>
            <w:tcBorders/>
            <w:vAlign w:val="bottom"/>
          </w:tcPr>
          <w:p>
            <w:pPr>
              <w:pStyle w:val="TableContents"/>
              <w:bidi w:val="0"/>
              <w:spacing w:before="0" w:after="283"/>
              <w:jc w:val="left"/>
              <w:rPr/>
            </w:pPr>
            <w:r>
              <w:rPr/>
              <w:t> </w:t>
            </w:r>
          </w:p>
        </w:tc>
        <w:tc>
          <w:tcPr>
            <w:tcW w:w="17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As of December 31, 2025</w:t>
      </w:r>
    </w:p>
    <w:p>
      <w:pPr>
        <w:pStyle w:val="TextBody"/>
        <w:bidi w:val="0"/>
        <w:spacing w:before="0" w:after="0"/>
        <w:jc w:val="left"/>
        <w:rPr/>
      </w:pPr>
      <w:r>
        <w:rPr/>
      </w:r>
    </w:p>
    <w:tbl>
      <w:tblPr>
        <w:tblW w:w="8918" w:type="dxa"/>
        <w:jc w:val="left"/>
        <w:tblInd w:w="0" w:type="dxa"/>
        <w:tblLayout w:type="fixed"/>
        <w:tblCellMar>
          <w:top w:w="0" w:type="dxa"/>
          <w:left w:w="0" w:type="dxa"/>
          <w:bottom w:w="0" w:type="dxa"/>
          <w:right w:w="0" w:type="dxa"/>
        </w:tblCellMar>
      </w:tblPr>
      <w:tblGrid>
        <w:gridCol w:w="725"/>
        <w:gridCol w:w="60"/>
        <w:gridCol w:w="142"/>
        <w:gridCol w:w="792"/>
        <w:gridCol w:w="60"/>
        <w:gridCol w:w="1790"/>
        <w:gridCol w:w="60"/>
        <w:gridCol w:w="2570"/>
        <w:gridCol w:w="60"/>
        <w:gridCol w:w="60"/>
        <w:gridCol w:w="905"/>
        <w:gridCol w:w="185"/>
        <w:gridCol w:w="60"/>
        <w:gridCol w:w="389"/>
        <w:gridCol w:w="860"/>
        <w:gridCol w:w="200"/>
      </w:tblGrid>
      <w:tr>
        <w:trPr/>
        <w:tc>
          <w:tcPr>
            <w:tcW w:w="725" w:type="dxa"/>
            <w:tcBorders/>
            <w:vAlign w:val="bottom"/>
          </w:tcPr>
          <w:p>
            <w:pPr>
              <w:pStyle w:val="TableContents"/>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93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Fair Value</w:t>
            </w:r>
          </w:p>
        </w:tc>
        <w:tc>
          <w:tcPr>
            <w:tcW w:w="60" w:type="dxa"/>
            <w:tcBorders/>
            <w:vAlign w:val="bottom"/>
          </w:tcPr>
          <w:p>
            <w:pPr>
              <w:pStyle w:val="TableContents"/>
              <w:bidi w:val="0"/>
              <w:spacing w:before="0" w:after="283"/>
              <w:jc w:val="left"/>
              <w:rPr/>
            </w:pPr>
            <w:r>
              <w:rPr/>
              <w:t> </w:t>
            </w:r>
          </w:p>
        </w:tc>
        <w:tc>
          <w:tcPr>
            <w:tcW w:w="1790" w:type="dxa"/>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Valuation Technique</w:t>
            </w:r>
          </w:p>
        </w:tc>
        <w:tc>
          <w:tcPr>
            <w:tcW w:w="60" w:type="dxa"/>
            <w:tcBorders/>
            <w:vAlign w:val="bottom"/>
          </w:tcPr>
          <w:p>
            <w:pPr>
              <w:pStyle w:val="TableContents"/>
              <w:bidi w:val="0"/>
              <w:spacing w:before="0" w:after="283"/>
              <w:jc w:val="left"/>
              <w:rPr/>
            </w:pPr>
            <w:r>
              <w:rPr/>
              <w:t> </w:t>
            </w:r>
          </w:p>
        </w:tc>
        <w:tc>
          <w:tcPr>
            <w:tcW w:w="2570" w:type="dxa"/>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 xml:space="preserve">Unobservable Input </w:t>
            </w:r>
            <w:r>
              <w:rPr>
                <w:rFonts w:ascii="Times New Roman" w:hAnsi="Times New Roman"/>
                <w:b/>
                <w:position w:val="7"/>
                <w:sz w:val="16"/>
                <w:sz w:val="20"/>
              </w:rPr>
              <w:t>(A)</w:t>
            </w:r>
          </w:p>
        </w:tc>
        <w:tc>
          <w:tcPr>
            <w:tcW w:w="60" w:type="dxa"/>
            <w:tcBorders/>
            <w:vAlign w:val="bottom"/>
          </w:tcPr>
          <w:p>
            <w:pPr>
              <w:pStyle w:val="TableContents"/>
              <w:bidi w:val="0"/>
              <w:spacing w:before="0" w:after="283"/>
              <w:jc w:val="left"/>
              <w:rPr/>
            </w:pPr>
            <w:r>
              <w:rPr/>
              <w:t> </w:t>
            </w:r>
          </w:p>
        </w:tc>
        <w:tc>
          <w:tcPr>
            <w:tcW w:w="96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Range</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bottom"/>
          </w:tcPr>
          <w:p>
            <w:pPr>
              <w:pStyle w:val="TableContents"/>
              <w:bidi w:val="0"/>
              <w:spacing w:before="0" w:after="0"/>
              <w:jc w:val="center"/>
              <w:rPr>
                <w:b/>
              </w:rPr>
            </w:pPr>
            <w:r>
              <w:rPr>
                <w:b/>
              </w:rPr>
              <w:t xml:space="preserve">Weighted </w:t>
            </w:r>
          </w:p>
          <w:p>
            <w:pPr>
              <w:pStyle w:val="TableContents"/>
              <w:bidi w:val="0"/>
              <w:spacing w:lineRule="auto" w:line="240" w:before="0" w:after="0"/>
              <w:jc w:val="center"/>
              <w:rPr>
                <w:b/>
              </w:rPr>
            </w:pPr>
            <w:r>
              <w:rPr>
                <w:b/>
              </w:rPr>
              <w:t>Average (B)</w:t>
            </w:r>
          </w:p>
        </w:tc>
        <w:tc>
          <w:tcPr>
            <w:tcW w:w="200" w:type="dxa"/>
            <w:tcBorders/>
            <w:vAlign w:val="bottom"/>
          </w:tcPr>
          <w:p>
            <w:pPr>
              <w:pStyle w:val="TableContents"/>
              <w:bidi w:val="0"/>
              <w:spacing w:before="0" w:after="283"/>
              <w:jc w:val="left"/>
              <w:rPr/>
            </w:pPr>
            <w:r>
              <w:rPr/>
              <w:t> </w:t>
            </w:r>
          </w:p>
        </w:tc>
      </w:tr>
      <w:tr>
        <w:trPr/>
        <w:tc>
          <w:tcPr>
            <w:tcW w:w="725" w:type="dxa"/>
            <w:tcBorders/>
            <w:shd w:fill="CCEEFF" w:val="clear"/>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MSRs</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9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214,831</w:t>
            </w:r>
          </w:p>
        </w:tc>
        <w:tc>
          <w:tcPr>
            <w:tcW w:w="60" w:type="dxa"/>
            <w:tcBorders/>
            <w:shd w:fill="CCEEFF" w:val="clear"/>
            <w:vAlign w:val="bottom"/>
          </w:tcPr>
          <w:p>
            <w:pPr>
              <w:pStyle w:val="TableContents"/>
              <w:bidi w:val="0"/>
              <w:spacing w:before="0" w:after="283"/>
              <w:jc w:val="left"/>
              <w:rPr/>
            </w:pPr>
            <w:r>
              <w:rPr/>
              <w:t> </w:t>
            </w:r>
          </w:p>
        </w:tc>
        <w:tc>
          <w:tcPr>
            <w:tcW w:w="17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Discounted cash flow</w:t>
            </w:r>
          </w:p>
        </w:tc>
        <w:tc>
          <w:tcPr>
            <w:tcW w:w="60" w:type="dxa"/>
            <w:tcBorders/>
            <w:shd w:fill="CCEEFF" w:val="clear"/>
            <w:vAlign w:val="bottom"/>
          </w:tcPr>
          <w:p>
            <w:pPr>
              <w:pStyle w:val="TableContents"/>
              <w:bidi w:val="0"/>
              <w:spacing w:before="0" w:after="283"/>
              <w:jc w:val="left"/>
              <w:rPr/>
            </w:pPr>
            <w:r>
              <w:rPr/>
              <w:t> </w:t>
            </w:r>
          </w:p>
        </w:tc>
        <w:tc>
          <w:tcPr>
            <w:tcW w:w="257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Constant prepayment speed</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4.0% -13.3</w:t>
            </w:r>
          </w:p>
        </w:tc>
        <w:tc>
          <w:tcPr>
            <w:tcW w:w="18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389" w:type="dxa"/>
            <w:tcBorders/>
            <w:shd w:fill="CCEEFF" w:val="clear"/>
            <w:vAlign w:val="bottom"/>
          </w:tcPr>
          <w:p>
            <w:pPr>
              <w:pStyle w:val="TableContents"/>
              <w:bidi w:val="0"/>
              <w:spacing w:before="0" w:after="283"/>
              <w:jc w:val="left"/>
              <w:rPr/>
            </w:pPr>
            <w:r>
              <w:rPr/>
              <w:t> </w:t>
            </w:r>
          </w:p>
        </w:tc>
        <w:tc>
          <w:tcPr>
            <w:tcW w:w="86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6.5</w:t>
            </w:r>
          </w:p>
        </w:tc>
        <w:tc>
          <w:tcPr>
            <w:tcW w:w="20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725" w:type="dxa"/>
            <w:tcBorders/>
            <w:vAlign w:val="bottom"/>
          </w:tcPr>
          <w:p>
            <w:pPr>
              <w:pStyle w:val="TableContents"/>
              <w:bidi w:val="0"/>
              <w:spacing w:before="0" w:after="0"/>
              <w:ind w:left="180" w:right="0" w:hanging="180"/>
              <w:jc w:val="left"/>
              <w:rPr/>
            </w:pPr>
            <w:r>
              <w:rPr/>
              <w:t> </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79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790" w:type="dxa"/>
            <w:tcBorders/>
            <w:vAlign w:val="bottom"/>
          </w:tcPr>
          <w:p>
            <w:pPr>
              <w:pStyle w:val="TableContents"/>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257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Discount rate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9.2</w:t>
            </w:r>
          </w:p>
        </w:tc>
        <w:tc>
          <w:tcPr>
            <w:tcW w:w="20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725" w:type="dxa"/>
            <w:tcBorders/>
            <w:shd w:fill="CCEEFF" w:val="clear"/>
            <w:vAlign w:val="bottom"/>
          </w:tcPr>
          <w:p>
            <w:pPr>
              <w:pStyle w:val="TableContents"/>
              <w:bidi w:val="0"/>
              <w:spacing w:before="0" w:after="0"/>
              <w:ind w:left="180" w:right="0" w:hanging="180"/>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92" w:type="dxa"/>
            <w:tcBorders>
              <w:bottom w:val="single" w:sz="12" w:space="0" w:color="000000"/>
            </w:tcBorders>
            <w:shd w:fill="CCEEFF" w:val="clear"/>
            <w:tcMar>
              <w:bottom w:w="28" w:type="dxa"/>
            </w:tcM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790" w:type="dxa"/>
            <w:tcBorders/>
            <w:shd w:fill="CCEEFF" w:val="clear"/>
            <w:vAlign w:val="bottom"/>
          </w:tcPr>
          <w:p>
            <w:pPr>
              <w:pStyle w:val="TableContents"/>
              <w:bidi w:val="0"/>
              <w:spacing w:before="0" w:after="0"/>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7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Annual cost to service, per loan</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89"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6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87</w:t>
            </w:r>
          </w:p>
        </w:tc>
        <w:tc>
          <w:tcPr>
            <w:tcW w:w="200" w:type="dxa"/>
            <w:tcBorders/>
            <w:shd w:fill="CCEEFF" w:val="clear"/>
            <w:vAlign w:val="bottom"/>
          </w:tcPr>
          <w:p>
            <w:pPr>
              <w:pStyle w:val="TableContents"/>
              <w:bidi w:val="0"/>
              <w:spacing w:before="0" w:after="283"/>
              <w:jc w:val="left"/>
              <w:rPr/>
            </w:pPr>
            <w:r>
              <w:rPr/>
              <w:t> </w:t>
            </w:r>
          </w:p>
        </w:tc>
      </w:tr>
      <w:tr>
        <w:trPr/>
        <w:tc>
          <w:tcPr>
            <w:tcW w:w="72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792"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214,831</w:t>
            </w:r>
          </w:p>
        </w:tc>
        <w:tc>
          <w:tcPr>
            <w:tcW w:w="60" w:type="dxa"/>
            <w:tcBorders/>
            <w:vAlign w:val="bottom"/>
          </w:tcPr>
          <w:p>
            <w:pPr>
              <w:pStyle w:val="TableContents"/>
              <w:bidi w:val="0"/>
              <w:spacing w:before="0" w:after="283"/>
              <w:jc w:val="left"/>
              <w:rPr/>
            </w:pPr>
            <w:r>
              <w:rPr/>
              <w:t> </w:t>
            </w:r>
          </w:p>
        </w:tc>
        <w:tc>
          <w:tcPr>
            <w:tcW w:w="1790" w:type="dxa"/>
            <w:tcBorders/>
            <w:vAlign w:val="bottom"/>
          </w:tcPr>
          <w:p>
            <w:pPr>
              <w:pStyle w:val="TableContents"/>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2570" w:type="dxa"/>
            <w:tcBorders/>
            <w:vAlign w:val="bottom"/>
          </w:tcPr>
          <w:p>
            <w:pPr>
              <w:pStyle w:val="TableContents"/>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232"/>
        <w:gridCol w:w="9935"/>
      </w:tblGrid>
      <w:tr>
        <w:trPr/>
        <w:tc>
          <w:tcPr>
            <w:tcW w:w="38" w:type="dxa"/>
            <w:tcBorders/>
            <w:vAlign w:val="center"/>
          </w:tcPr>
          <w:p>
            <w:pPr>
              <w:pStyle w:val="TableContents"/>
              <w:bidi w:val="0"/>
              <w:spacing w:before="0" w:after="283"/>
              <w:jc w:val="left"/>
              <w:rPr/>
            </w:pPr>
            <w:r>
              <w:rPr/>
            </w:r>
          </w:p>
        </w:tc>
        <w:tc>
          <w:tcPr>
            <w:tcW w:w="232" w:type="dxa"/>
            <w:tcBorders/>
            <w:vAlign w:val="center"/>
          </w:tcPr>
          <w:p>
            <w:pPr>
              <w:pStyle w:val="TableContents"/>
              <w:bidi w:val="0"/>
              <w:spacing w:before="0" w:after="283"/>
              <w:jc w:val="both"/>
              <w:rPr>
                <w:rFonts w:ascii="Times New Roman" w:hAnsi="Times New Roman"/>
                <w:sz w:val="20"/>
              </w:rPr>
            </w:pPr>
            <w:r>
              <w:rPr>
                <w:rFonts w:ascii="Times New Roman" w:hAnsi="Times New Roman"/>
                <w:sz w:val="20"/>
              </w:rPr>
              <w:t>(A)</w:t>
            </w:r>
          </w:p>
        </w:tc>
        <w:tc>
          <w:tcPr>
            <w:tcW w:w="993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Significant increases (decreases) in any of the inputs in isolation may result in significantly lower (higher) fair value measurements. A change in the assumption used for discount rates may be accompanied by a directionally similar change in the assumption used for the probability of uncollected payments and a directionally opposite change in the assumption used for prepayment rates.</w:t>
            </w:r>
          </w:p>
        </w:tc>
      </w:tr>
    </w:tbl>
    <w:tbl>
      <w:tblPr>
        <w:tblW w:w="9558" w:type="dxa"/>
        <w:jc w:val="left"/>
        <w:tblInd w:w="0" w:type="dxa"/>
        <w:tblLayout w:type="fixed"/>
        <w:tblCellMar>
          <w:top w:w="0" w:type="dxa"/>
          <w:left w:w="0" w:type="dxa"/>
          <w:bottom w:w="0" w:type="dxa"/>
          <w:right w:w="0" w:type="dxa"/>
        </w:tblCellMar>
      </w:tblPr>
      <w:tblGrid>
        <w:gridCol w:w="38"/>
        <w:gridCol w:w="275"/>
        <w:gridCol w:w="9245"/>
      </w:tblGrid>
      <w:tr>
        <w:trPr/>
        <w:tc>
          <w:tcPr>
            <w:tcW w:w="38" w:type="dxa"/>
            <w:tcBorders/>
            <w:vAlign w:val="center"/>
          </w:tcPr>
          <w:p>
            <w:pPr>
              <w:pStyle w:val="TableContents"/>
              <w:bidi w:val="0"/>
              <w:spacing w:before="0" w:after="283"/>
              <w:jc w:val="left"/>
              <w:rPr/>
            </w:pPr>
            <w:r>
              <w:rPr/>
            </w:r>
          </w:p>
        </w:tc>
        <w:tc>
          <w:tcPr>
            <w:tcW w:w="27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(B)</w:t>
            </w:r>
          </w:p>
        </w:tc>
        <w:tc>
          <w:tcPr>
            <w:tcW w:w="924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Weighted averages for unobservable inputs are calculated based on the unpaid principal balance of the portfolios.</w:t>
            </w:r>
          </w:p>
        </w:tc>
      </w:tr>
    </w:tbl>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Fair Value of Financial Assets and Liabilities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In accordance with ASC 820, the Company is required to disclose the fair value of financial instruments, both assets and liabilities recognized and not recognized in the consolidated balance sheets, for which fair value can be estimated. The following describes the Company’s methods for estimating the fair value for financial instruments.</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0"/>
              <w:jc w:val="left"/>
              <w:rPr/>
            </w:pPr>
            <w:r>
              <w:rPr/>
            </w:r>
          </w:p>
        </w:tc>
        <w:tc>
          <w:tcPr>
            <w:tcW w:w="110" w:type="dxa"/>
            <w:tcBorders/>
            <w:vAlign w:val="center"/>
          </w:tcPr>
          <w:p>
            <w:pPr>
              <w:pStyle w:val="TableContents"/>
              <w:bidi w:val="0"/>
              <w:spacing w:before="0" w:after="283"/>
              <w:jc w:val="both"/>
              <w:rPr/>
            </w:pPr>
            <w:r>
              <w:rPr/>
              <w:t>•</w:t>
            </w:r>
          </w:p>
        </w:tc>
        <w:tc>
          <w:tcPr>
            <w:tcW w:w="10057" w:type="dxa"/>
            <w:tcBorders/>
            <w:vAlign w:val="center"/>
          </w:tcPr>
          <w:p>
            <w:pPr>
              <w:pStyle w:val="TableContents"/>
              <w:bidi w:val="0"/>
              <w:spacing w:before="0" w:after="0"/>
              <w:ind w:left="0" w:right="0" w:firstLine="540"/>
              <w:jc w:val="both"/>
              <w:rPr>
                <w:rFonts w:ascii="Times New Roman" w:hAnsi="Times New Roman"/>
                <w:sz w:val="20"/>
              </w:rPr>
            </w:pPr>
            <w:r>
              <w:rPr>
                <w:rFonts w:ascii="Times New Roman" w:hAnsi="Times New Roman"/>
                <w:sz w:val="20"/>
              </w:rPr>
              <w:t>RMBS available for sale securities, Servicing Related Assets, derivative assets and derivative liabilities are recurring fair value measurements; carrying value equals fair value. See discussion of valuation methods and assumptions within the “Fair Value Measurements” section of this footnote.</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0"/>
              <w:jc w:val="left"/>
              <w:rPr/>
            </w:pPr>
            <w:r>
              <w:rPr/>
            </w:r>
          </w:p>
        </w:tc>
        <w:tc>
          <w:tcPr>
            <w:tcW w:w="110" w:type="dxa"/>
            <w:tcBorders/>
            <w:vAlign w:val="center"/>
          </w:tcPr>
          <w:p>
            <w:pPr>
              <w:pStyle w:val="TableContents"/>
              <w:bidi w:val="0"/>
              <w:spacing w:before="0" w:after="283"/>
              <w:jc w:val="both"/>
              <w:rPr/>
            </w:pPr>
            <w:r>
              <w:rPr/>
              <w:t>•</w:t>
            </w:r>
          </w:p>
        </w:tc>
        <w:tc>
          <w:tcPr>
            <w:tcW w:w="10057" w:type="dxa"/>
            <w:tcBorders/>
            <w:vAlign w:val="center"/>
          </w:tcPr>
          <w:p>
            <w:pPr>
              <w:pStyle w:val="TableContents"/>
              <w:bidi w:val="0"/>
              <w:spacing w:before="0" w:after="0"/>
              <w:ind w:left="0" w:right="0" w:firstLine="540"/>
              <w:jc w:val="both"/>
              <w:rPr>
                <w:rFonts w:ascii="Times New Roman" w:hAnsi="Times New Roman"/>
                <w:sz w:val="20"/>
              </w:rPr>
            </w:pPr>
            <w:r>
              <w:rPr>
                <w:rFonts w:ascii="Times New Roman" w:hAnsi="Times New Roman"/>
                <w:sz w:val="20"/>
              </w:rPr>
              <w:t>Cash and cash equivalents and restricted cash have a carrying value which approximates fair value because of the short maturities of these instruments.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0"/>
              <w:jc w:val="left"/>
              <w:rPr/>
            </w:pPr>
            <w:r>
              <w:rPr/>
            </w:r>
          </w:p>
        </w:tc>
        <w:tc>
          <w:tcPr>
            <w:tcW w:w="110" w:type="dxa"/>
            <w:tcBorders/>
            <w:vAlign w:val="center"/>
          </w:tcPr>
          <w:p>
            <w:pPr>
              <w:pStyle w:val="TableContents"/>
              <w:bidi w:val="0"/>
              <w:spacing w:before="0" w:after="283"/>
              <w:jc w:val="both"/>
              <w:rPr/>
            </w:pPr>
            <w:r>
              <w:rPr/>
              <w:t>•</w:t>
            </w:r>
          </w:p>
        </w:tc>
        <w:tc>
          <w:tcPr>
            <w:tcW w:w="10057" w:type="dxa"/>
            <w:tcBorders/>
            <w:vAlign w:val="center"/>
          </w:tcPr>
          <w:p>
            <w:pPr>
              <w:pStyle w:val="TableContents"/>
              <w:bidi w:val="0"/>
              <w:spacing w:before="0" w:after="0"/>
              <w:ind w:left="0" w:right="0" w:firstLine="540"/>
              <w:jc w:val="both"/>
              <w:rPr>
                <w:rFonts w:ascii="Times New Roman" w:hAnsi="Times New Roman"/>
                <w:sz w:val="20"/>
              </w:rPr>
            </w:pPr>
            <w:r>
              <w:rPr>
                <w:rFonts w:ascii="Times New Roman" w:hAnsi="Times New Roman"/>
                <w:sz w:val="20"/>
              </w:rPr>
              <w:t>The carrying value of servicing receivables, repurchase agreements and corporate debt that mature in less than one year generally approximates fair value due to the short maturities. The Company does not hold any repurchase agreements that are considered long-term.</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b w:val="false"/>
          <w:i w:val="false"/>
          <w:caps w:val="false"/>
          <w:smallCaps w:val="false"/>
          <w:color w:val="000000"/>
          <w:sz w:val="20"/>
          <w:shd w:fill="FFFFFF" w:val="clear"/>
        </w:rPr>
        <w:t>Corporate debt that matures in more than one year consists solely of financing secured by Aurora’s Servicing Related Assets. All of the Company’s debt is revolving and bears interest at adjustable rates. The Company considers that the amount of the corporate debt generally approximates fair value.</w:t>
      </w:r>
      <w:r>
        <w:rPr>
          <w:rFonts w:ascii="Times New Roman" w:hAnsi="Times New Roman"/>
          <w:color w:val="000000"/>
          <w:sz w:val="20"/>
          <w:shd w:fill="FFFFFF" w:val="clear"/>
        </w:rPr>
        <w:t xml:space="preserve"> </w:t>
      </w:r>
    </w:p>
    <w:p>
      <w:pPr>
        <w:pStyle w:val="TextBody"/>
        <w:bidi w:val="0"/>
        <w:spacing w:before="0" w:after="0"/>
        <w:jc w:val="both"/>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40</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rFonts w:ascii="Times New Roman" w:hAnsi="Times New Roman"/>
          <w:b/>
          <w:i w:val="false"/>
          <w:caps w:val="false"/>
          <w:smallCaps w:val="false"/>
          <w:color w:val="000000"/>
          <w:sz w:val="20"/>
          <w:shd w:fill="FFFFFF" w:val="clear"/>
        </w:rPr>
      </w:pPr>
      <w:r>
        <w:rPr>
          <w:rFonts w:ascii="Times New Roman" w:hAnsi="Times New Roman"/>
          <w:b/>
          <w:i w:val="false"/>
          <w:caps w:val="false"/>
          <w:smallCaps w:val="false"/>
          <w:color w:val="000000"/>
          <w:sz w:val="20"/>
          <w:shd w:fill="FFFFFF" w:val="clear"/>
        </w:rPr>
        <w:t>Note 9 — Commitments and Contingencies</w:t>
      </w:r>
    </w:p>
    <w:p>
      <w:pPr>
        <w:pStyle w:val="TextBody"/>
        <w:bidi w:val="0"/>
        <w:spacing w:before="0" w:after="0"/>
        <w:jc w:val="left"/>
        <w:rPr>
          <w:b w:val="false"/>
          <w:i w:val="false"/>
          <w:caps w:val="false"/>
          <w:smallCaps w:val="false"/>
        </w:rPr>
      </w:pPr>
      <w:r>
        <w:rPr>
          <w:b w:val="false"/>
          <w:i w:val="false"/>
          <w:caps w:val="false"/>
          <w:smallCaps w:val="false"/>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The commitments and contingencies of the Company as of June 30, 2026 and December 31, 2025 are described below.</w:t>
      </w:r>
    </w:p>
    <w:p>
      <w:pPr>
        <w:pStyle w:val="TextBody"/>
        <w:bidi w:val="0"/>
        <w:spacing w:before="0" w:after="0"/>
        <w:jc w:val="left"/>
        <w:rPr>
          <w:rFonts w:ascii="Times New Roman" w:hAnsi="Times New Roman"/>
          <w:b/>
          <w:i/>
          <w:sz w:val="20"/>
        </w:rPr>
      </w:pPr>
      <w:r>
        <w:rPr>
          <w:rFonts w:ascii="Times New Roman" w:hAnsi="Times New Roman"/>
          <w:b/>
          <w:i/>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b/>
          <w:i/>
          <w:caps w:val="false"/>
          <w:smallCaps w:val="false"/>
          <w:color w:val="000000"/>
          <w:sz w:val="20"/>
          <w:shd w:fill="FFFFFF" w:val="clear"/>
        </w:rPr>
        <w:t>Legal and Regulatory</w:t>
      </w:r>
      <w:r>
        <w:rPr>
          <w:rFonts w:ascii="Times New Roman" w:hAnsi="Times New Roman"/>
          <w:color w:val="000000"/>
          <w:sz w:val="20"/>
          <w:shd w:fill="FFFFFF" w:val="clear"/>
        </w:rPr>
        <w:t xml:space="preserve">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 xml:space="preserve">From time to time, the Company may be subject to potential liability under laws and government regulations and various claims and legal actions arising in the ordinary course of business. Liabilities are established for legal claims when payments associated with the claims become probable and the costs can be reasonably estimated. The actual costs of resolving legal claims may be substantially higher or lower than the amounts established for those claims. The Company has established immaterial reserves for these possible matters. Based on information currently available, management is not aware of any legal or regulatory claims that would have a material effect on the Company’s consolidated financial statements. </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Commitments to Purchase/Sell RMBS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 xml:space="preserve">As of June 30, 2026 and December 31, 2025, the Company held forward TBA purchase and sale commitments with counterparties, which are forward Agency RMBS trades, whereby the Company committed to purchasing or selling a pool of securities at a particular interest rate. As of the date of the trade, the mortgage-backed securities underlying the pool that will be delivered to fulfill a TBA trade are not yet designated. The securities are typically “to be announced” 48 hours prior to the established trade settlement date. See Note 2 — Basis of Presentation and Significant Accounting Policies for details of unsettled RMBS trades, if any, as of June 30, 2026 and December 31, 2025. </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 xml:space="preserve">See Note 2 — Basis of Presentation and Significant Accounting Policies for details of unsettled RMBS trades, if any, as of June 30, 2026 and December 31, 2025. </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Acknowledgment Agreements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In connection with the Fannie Mae MSR Financing Facility (as defined below in Note 11), entered into by Aurora and QRS III, those parties also entered into an acknowledgment agreement with Fannie Mae. Pursuant to that agreement, Fannie Mae consented to the pledge by Aurora and QRS III of their respective interests in MSRs for loans owned or securitized by Fannie Mae, and acknowledged the security interest of the lender in those MSRs. See Note 11—Notes Payable for a description of the Fannie Mae MSR Financing Facility and the financing facility it replaced.</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In connection with the Freddie Mac MSR Revolver (as defined below in Note 11), Aurora, QRS V, and the lender, with a limited joinder by the Company, entered into an acknowledgement agreement with Freddie Mac pursuant to which Freddie Mac consented to the pledge of the Freddie Mac MSRs securing the Freddie Mac MSR Revolver. Aurora and the lender also entered into a consent agreement with Freddie Mac pursuant to which Freddie Mac consented to the pledge of Aurora’s rights to reimbursement for advances on the underlying loans. See Note 11—Notes Payable for a description of the Freddie Mac MSR Revolver.</w:t>
      </w:r>
    </w:p>
    <w:p>
      <w:pPr>
        <w:pStyle w:val="TextBody"/>
        <w:bidi w:val="0"/>
        <w:spacing w:before="0" w:after="0"/>
        <w:jc w:val="both"/>
        <w:rPr>
          <w:rFonts w:ascii="Times New Roman" w:hAnsi="Times New Roman"/>
          <w:b/>
          <w:i/>
          <w:color w:val="000000"/>
          <w:sz w:val="20"/>
        </w:rPr>
      </w:pPr>
      <w:r>
        <w:rPr>
          <w:rFonts w:ascii="Times New Roman" w:hAnsi="Times New Roman"/>
          <w:b/>
          <w:i/>
          <w:color w:val="000000"/>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41</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Operating Lease</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Company’s operating lease relates to its corporate office space and was originally set to expire on August 19, 2026. In June 2026, the Company entered into an amendment to the lease agreement that extended the lease term to November 30, 2026. Operating lease right-of-use (“ROU”) asset represents the right to use an underlying asset for the lease term and lease liabilities represent obligations to make lease payments arising from the lease. The Company recognizes lease expense on a straight-line basis over the lease term. The lease cost for each of the three-month periods ended June 30, 2026 and June 30, 2025 was approximately $19,000. The lease cost for each of the six-month periods ended June 30, 2026 and June 30, 2025 was approximately $37,500. Cash used for the operating lease during each of the six-month periods ended June 30, 2026 and June 30, 2025 was approximately $37,500.</w:t>
      </w:r>
    </w:p>
    <w:p>
      <w:pPr>
        <w:pStyle w:val="TextBody"/>
        <w:bidi w:val="0"/>
        <w:spacing w:before="0" w:after="0"/>
        <w:jc w:val="left"/>
        <w:rPr/>
      </w:pPr>
      <w:r>
        <w:rPr/>
      </w:r>
    </w:p>
    <w:p>
      <w:pPr>
        <w:pStyle w:val="TextBody"/>
        <w:bidi w:val="0"/>
        <w:spacing w:before="0" w:after="0"/>
        <w:ind w:left="0" w:right="0" w:firstLine="900"/>
        <w:jc w:val="both"/>
        <w:rPr>
          <w:rFonts w:ascii="Times New Roman" w:hAnsi="Times New Roman"/>
          <w:color w:val="000000"/>
          <w:sz w:val="20"/>
        </w:rPr>
      </w:pPr>
      <w:r>
        <w:rPr>
          <w:rFonts w:ascii="Times New Roman" w:hAnsi="Times New Roman"/>
          <w:color w:val="000000"/>
          <w:sz w:val="20"/>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table below summarizes the Company’s future commitments under the operating lease (dollars in thousands):</w:t>
      </w:r>
    </w:p>
    <w:p>
      <w:pPr>
        <w:pStyle w:val="TextBody"/>
        <w:bidi w:val="0"/>
        <w:spacing w:before="0" w:after="0"/>
        <w:jc w:val="left"/>
        <w:rPr>
          <w:rFonts w:ascii="Times New Roman" w:hAnsi="Times New Roman"/>
        </w:rPr>
      </w:pPr>
      <w:r>
        <w:rPr>
          <w:rFonts w:ascii="Times New Roman" w:hAnsi="Times New Roman"/>
        </w:rPr>
      </w:r>
    </w:p>
    <w:tbl>
      <w:tblPr>
        <w:tblW w:w="5049" w:type="dxa"/>
        <w:jc w:val="left"/>
        <w:tblInd w:w="0" w:type="dxa"/>
        <w:tblLayout w:type="fixed"/>
        <w:tblCellMar>
          <w:top w:w="0" w:type="dxa"/>
          <w:left w:w="0" w:type="dxa"/>
          <w:bottom w:w="0" w:type="dxa"/>
          <w:right w:w="0" w:type="dxa"/>
        </w:tblCellMar>
      </w:tblPr>
      <w:tblGrid>
        <w:gridCol w:w="3440"/>
        <w:gridCol w:w="60"/>
        <w:gridCol w:w="519"/>
        <w:gridCol w:w="955"/>
        <w:gridCol w:w="75"/>
      </w:tblGrid>
      <w:tr>
        <w:trPr/>
        <w:tc>
          <w:tcPr>
            <w:tcW w:w="3440" w:type="dxa"/>
            <w:tcBorders/>
            <w:vAlign w:val="bottom"/>
          </w:tcPr>
          <w:p>
            <w:pPr>
              <w:pStyle w:val="TableContents"/>
              <w:bidi w:val="0"/>
              <w:spacing w:before="0" w:after="0"/>
              <w:jc w:val="left"/>
              <w:rPr>
                <w:color w:val="000000"/>
              </w:rPr>
            </w:pPr>
            <w:r>
              <w:rPr>
                <w:color w:val="000000"/>
              </w:rPr>
              <w:t> </w:t>
            </w:r>
          </w:p>
        </w:tc>
        <w:tc>
          <w:tcPr>
            <w:tcW w:w="60" w:type="dxa"/>
            <w:tcBorders/>
            <w:vAlign w:val="bottom"/>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Operating Lease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Commitments</w:t>
            </w:r>
          </w:p>
        </w:tc>
        <w:tc>
          <w:tcPr>
            <w:tcW w:w="75" w:type="dxa"/>
            <w:tcBorders/>
            <w:vAlign w:val="bottom"/>
          </w:tcPr>
          <w:p>
            <w:pPr>
              <w:pStyle w:val="TableContents"/>
              <w:bidi w:val="0"/>
              <w:spacing w:before="0" w:after="283"/>
              <w:jc w:val="left"/>
              <w:rPr/>
            </w:pPr>
            <w:r>
              <w:rPr/>
              <w:t> </w:t>
            </w:r>
          </w:p>
        </w:tc>
      </w:tr>
      <w:tr>
        <w:trPr/>
        <w:tc>
          <w:tcPr>
            <w:tcW w:w="344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2026</w:t>
            </w:r>
          </w:p>
        </w:tc>
        <w:tc>
          <w:tcPr>
            <w:tcW w:w="60" w:type="dxa"/>
            <w:tcBorders/>
            <w:shd w:fill="CCEEFF" w:val="clear"/>
            <w:vAlign w:val="bottom"/>
          </w:tcPr>
          <w:p>
            <w:pPr>
              <w:pStyle w:val="TableContents"/>
              <w:bidi w:val="0"/>
              <w:spacing w:before="0" w:after="283"/>
              <w:jc w:val="left"/>
              <w:rPr/>
            </w:pPr>
            <w:r>
              <w:rPr/>
              <w:t> </w:t>
            </w:r>
          </w:p>
        </w:tc>
        <w:tc>
          <w:tcPr>
            <w:tcW w:w="519"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32</w:t>
            </w:r>
          </w:p>
        </w:tc>
        <w:tc>
          <w:tcPr>
            <w:tcW w:w="75" w:type="dxa"/>
            <w:tcBorders/>
            <w:shd w:fill="CCEEFF" w:val="clear"/>
            <w:vAlign w:val="bottom"/>
          </w:tcPr>
          <w:p>
            <w:pPr>
              <w:pStyle w:val="TableContents"/>
              <w:bidi w:val="0"/>
              <w:spacing w:before="0" w:after="283"/>
              <w:jc w:val="left"/>
              <w:rPr/>
            </w:pPr>
            <w:r>
              <w:rPr/>
              <w:t> </w:t>
            </w:r>
          </w:p>
        </w:tc>
      </w:tr>
      <w:tr>
        <w:trPr/>
        <w:tc>
          <w:tcPr>
            <w:tcW w:w="3440" w:type="dxa"/>
            <w:tcBorders/>
            <w:vAlign w:val="bottom"/>
          </w:tcPr>
          <w:p>
            <w:pPr>
              <w:pStyle w:val="TableContents"/>
              <w:bidi w:val="0"/>
              <w:spacing w:before="0" w:after="0"/>
              <w:ind w:left="180" w:right="0" w:hanging="180"/>
              <w:jc w:val="left"/>
              <w:rPr>
                <w:rFonts w:ascii="Times New Roman" w:hAnsi="Times New Roman"/>
                <w:b/>
                <w:color w:val="000000"/>
                <w:sz w:val="20"/>
              </w:rPr>
            </w:pPr>
            <w:r>
              <w:rPr>
                <w:rFonts w:ascii="Times New Roman" w:hAnsi="Times New Roman"/>
                <w:b/>
                <w:color w:val="000000"/>
                <w:sz w:val="20"/>
              </w:rPr>
              <w:t>Remaining undiscounted lease payments</w:t>
            </w:r>
          </w:p>
        </w:tc>
        <w:tc>
          <w:tcPr>
            <w:tcW w:w="60"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left"/>
              <w:rPr/>
            </w:pPr>
            <w:r>
              <w:rPr/>
              <w:t> </w:t>
            </w:r>
          </w:p>
        </w:tc>
        <w:tc>
          <w:tcPr>
            <w:tcW w:w="955" w:type="dxa"/>
            <w:tcBorders/>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32</w:t>
            </w:r>
          </w:p>
        </w:tc>
        <w:tc>
          <w:tcPr>
            <w:tcW w:w="75" w:type="dxa"/>
            <w:tcBorders/>
            <w:vAlign w:val="bottom"/>
          </w:tcPr>
          <w:p>
            <w:pPr>
              <w:pStyle w:val="TableContents"/>
              <w:bidi w:val="0"/>
              <w:spacing w:before="0" w:after="283"/>
              <w:jc w:val="left"/>
              <w:rPr/>
            </w:pPr>
            <w:r>
              <w:rPr/>
              <w:t> </w:t>
            </w:r>
          </w:p>
        </w:tc>
      </w:tr>
      <w:tr>
        <w:trPr/>
        <w:tc>
          <w:tcPr>
            <w:tcW w:w="344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Less: imputed interest</w:t>
            </w:r>
          </w:p>
        </w:tc>
        <w:tc>
          <w:tcPr>
            <w:tcW w:w="60" w:type="dxa"/>
            <w:tcBorders/>
            <w:shd w:fill="CCEEFF" w:val="clear"/>
            <w:vAlign w:val="bottom"/>
          </w:tcPr>
          <w:p>
            <w:pPr>
              <w:pStyle w:val="TableContents"/>
              <w:bidi w:val="0"/>
              <w:spacing w:before="0" w:after="283"/>
              <w:jc w:val="left"/>
              <w:rPr/>
            </w:pPr>
            <w:r>
              <w:rPr/>
              <w:t> </w:t>
            </w:r>
          </w:p>
        </w:tc>
        <w:tc>
          <w:tcPr>
            <w:tcW w:w="51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5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w:t>
            </w:r>
          </w:p>
        </w:tc>
        <w:tc>
          <w:tcPr>
            <w:tcW w:w="75" w:type="dxa"/>
            <w:tcBorders/>
            <w:shd w:fill="CCEEFF" w:val="clear"/>
            <w:vAlign w:val="bottom"/>
          </w:tcPr>
          <w:p>
            <w:pPr>
              <w:pStyle w:val="TableContents"/>
              <w:bidi w:val="0"/>
              <w:spacing w:before="0" w:after="283"/>
              <w:jc w:val="left"/>
              <w:rPr/>
            </w:pPr>
            <w:r>
              <w:rPr/>
              <w:t> </w:t>
            </w:r>
          </w:p>
        </w:tc>
      </w:tr>
      <w:tr>
        <w:trPr/>
        <w:tc>
          <w:tcPr>
            <w:tcW w:w="3440" w:type="dxa"/>
            <w:tcBorders/>
            <w:vAlign w:val="bottom"/>
          </w:tcPr>
          <w:p>
            <w:pPr>
              <w:pStyle w:val="TableContents"/>
              <w:bidi w:val="0"/>
              <w:spacing w:before="0" w:after="0"/>
              <w:ind w:left="180" w:right="0" w:hanging="180"/>
              <w:jc w:val="left"/>
              <w:rPr>
                <w:rFonts w:ascii="Times New Roman" w:hAnsi="Times New Roman"/>
                <w:b/>
                <w:color w:val="000000"/>
                <w:sz w:val="20"/>
              </w:rPr>
            </w:pPr>
            <w:r>
              <w:rPr>
                <w:rFonts w:ascii="Times New Roman" w:hAnsi="Times New Roman"/>
                <w:b/>
                <w:color w:val="000000"/>
                <w:sz w:val="20"/>
              </w:rPr>
              <w:t>Remaining discounted lease payments</w:t>
            </w:r>
          </w:p>
        </w:tc>
        <w:tc>
          <w:tcPr>
            <w:tcW w:w="60"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955" w:type="dxa"/>
            <w:tcBorders/>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31</w:t>
            </w:r>
          </w:p>
        </w:tc>
        <w:tc>
          <w:tcPr>
            <w:tcW w:w="75"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Other information related to the operating lease is summarized below as of the periods indicated:</w:t>
      </w:r>
    </w:p>
    <w:p>
      <w:pPr>
        <w:pStyle w:val="TextBody"/>
        <w:bidi w:val="0"/>
        <w:spacing w:before="0" w:after="0"/>
        <w:jc w:val="left"/>
        <w:rPr>
          <w:rFonts w:ascii="Times New Roman" w:hAnsi="Times New Roman"/>
        </w:rPr>
      </w:pPr>
      <w:r>
        <w:rPr>
          <w:rFonts w:ascii="Times New Roman" w:hAnsi="Times New Roman"/>
        </w:rPr>
      </w:r>
    </w:p>
    <w:tbl>
      <w:tblPr>
        <w:tblW w:w="10205" w:type="dxa"/>
        <w:jc w:val="left"/>
        <w:tblInd w:w="0" w:type="dxa"/>
        <w:tblLayout w:type="fixed"/>
        <w:tblCellMar>
          <w:top w:w="0" w:type="dxa"/>
          <w:left w:w="0" w:type="dxa"/>
          <w:bottom w:w="0" w:type="dxa"/>
          <w:right w:w="0" w:type="dxa"/>
        </w:tblCellMar>
      </w:tblPr>
      <w:tblGrid>
        <w:gridCol w:w="4500"/>
        <w:gridCol w:w="2696"/>
        <w:gridCol w:w="60"/>
        <w:gridCol w:w="257"/>
        <w:gridCol w:w="784"/>
        <w:gridCol w:w="185"/>
        <w:gridCol w:w="60"/>
        <w:gridCol w:w="363"/>
        <w:gridCol w:w="1111"/>
        <w:gridCol w:w="189"/>
      </w:tblGrid>
      <w:tr>
        <w:trPr/>
        <w:tc>
          <w:tcPr>
            <w:tcW w:w="4500" w:type="dxa"/>
            <w:tcBorders/>
            <w:vAlign w:val="bottom"/>
          </w:tcPr>
          <w:p>
            <w:pPr>
              <w:pStyle w:val="TableContents"/>
              <w:bidi w:val="0"/>
              <w:spacing w:before="0" w:after="0"/>
              <w:ind w:left="180" w:right="0" w:firstLine="4500"/>
              <w:jc w:val="center"/>
              <w:rPr>
                <w:rFonts w:ascii="Times New Roman" w:hAnsi="Times New Roman" w:eastAsia="Times New Roman" w:cs="Times New Roman"/>
                <w:b/>
                <w:color w:val="000000"/>
                <w:sz w:val="20"/>
              </w:rPr>
            </w:pPr>
            <w:r>
              <w:rPr>
                <w:rFonts w:eastAsia="Times New Roman" w:cs="Times New Roman" w:ascii="Times New Roman" w:hAnsi="Times New Roman"/>
                <w:b/>
                <w:color w:val="000000"/>
                <w:sz w:val="20"/>
              </w:rPr>
            </w:r>
          </w:p>
        </w:tc>
        <w:tc>
          <w:tcPr>
            <w:tcW w:w="2696" w:type="dxa"/>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Classification</w:t>
            </w:r>
          </w:p>
        </w:tc>
        <w:tc>
          <w:tcPr>
            <w:tcW w:w="60" w:type="dxa"/>
            <w:tcBorders/>
            <w:vAlign w:val="bottom"/>
          </w:tcPr>
          <w:p>
            <w:pPr>
              <w:pStyle w:val="TableContents"/>
              <w:bidi w:val="0"/>
              <w:spacing w:before="0" w:after="283"/>
              <w:jc w:val="left"/>
              <w:rPr/>
            </w:pPr>
            <w:r>
              <w:rPr/>
              <w:t> </w:t>
            </w:r>
          </w:p>
        </w:tc>
        <w:tc>
          <w:tcPr>
            <w:tcW w:w="1041"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June 30, 2026</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December 31, 2025</w:t>
            </w:r>
          </w:p>
        </w:tc>
        <w:tc>
          <w:tcPr>
            <w:tcW w:w="189" w:type="dxa"/>
            <w:tcBorders/>
            <w:vAlign w:val="bottom"/>
          </w:tcPr>
          <w:p>
            <w:pPr>
              <w:pStyle w:val="TableContents"/>
              <w:bidi w:val="0"/>
              <w:spacing w:before="0" w:after="283"/>
              <w:jc w:val="left"/>
              <w:rPr/>
            </w:pPr>
            <w:r>
              <w:rPr/>
              <w:t> </w:t>
            </w:r>
          </w:p>
        </w:tc>
      </w:tr>
      <w:tr>
        <w:trPr/>
        <w:tc>
          <w:tcPr>
            <w:tcW w:w="450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ROU Assets</w:t>
            </w:r>
          </w:p>
        </w:tc>
        <w:tc>
          <w:tcPr>
            <w:tcW w:w="2696" w:type="dxa"/>
            <w:tcBorders/>
            <w:shd w:fill="CCEEFF" w:val="cle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Receivables and other assets</w:t>
            </w:r>
          </w:p>
        </w:tc>
        <w:tc>
          <w:tcPr>
            <w:tcW w:w="60" w:type="dxa"/>
            <w:tcBorders/>
            <w:shd w:fill="CCEEFF" w:val="clear"/>
            <w:vAlign w:val="bottom"/>
          </w:tcPr>
          <w:p>
            <w:pPr>
              <w:pStyle w:val="TableContents"/>
              <w:bidi w:val="0"/>
              <w:spacing w:before="0" w:after="283"/>
              <w:jc w:val="right"/>
              <w:rPr/>
            </w:pPr>
            <w:r>
              <w:rPr/>
              <w:t> </w:t>
            </w:r>
          </w:p>
        </w:tc>
        <w:tc>
          <w:tcPr>
            <w:tcW w:w="257"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8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31</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63"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111"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40</w:t>
            </w:r>
          </w:p>
        </w:tc>
        <w:tc>
          <w:tcPr>
            <w:tcW w:w="189" w:type="dxa"/>
            <w:tcBorders/>
            <w:shd w:fill="CCEEFF" w:val="clear"/>
            <w:vAlign w:val="bottom"/>
          </w:tcPr>
          <w:p>
            <w:pPr>
              <w:pStyle w:val="TableContents"/>
              <w:bidi w:val="0"/>
              <w:spacing w:before="0" w:after="283"/>
              <w:jc w:val="left"/>
              <w:rPr/>
            </w:pPr>
            <w:r>
              <w:rPr/>
              <w:t> </w:t>
            </w:r>
          </w:p>
        </w:tc>
      </w:tr>
      <w:tr>
        <w:trPr/>
        <w:tc>
          <w:tcPr>
            <w:tcW w:w="450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Lease Liabilities</w:t>
            </w:r>
          </w:p>
        </w:tc>
        <w:tc>
          <w:tcPr>
            <w:tcW w:w="2696" w:type="dxa"/>
            <w:tcBorders/>
            <w:vAlign w:val="bottom"/>
          </w:tcPr>
          <w:p>
            <w:pPr>
              <w:pStyle w:val="TableContents"/>
              <w:bidi w:val="0"/>
              <w:spacing w:before="0" w:after="0"/>
              <w:jc w:val="center"/>
              <w:rPr>
                <w:rFonts w:ascii="Times New Roman" w:hAnsi="Times New Roman"/>
                <w:b w:val="false"/>
                <w:color w:val="000000"/>
                <w:sz w:val="20"/>
              </w:rPr>
            </w:pPr>
            <w:r>
              <w:rPr>
                <w:rFonts w:ascii="Times New Roman" w:hAnsi="Times New Roman"/>
                <w:b w:val="false"/>
                <w:color w:val="000000"/>
                <w:sz w:val="20"/>
              </w:rPr>
              <w:t>Accrued expenses and other liabilities</w:t>
            </w:r>
          </w:p>
        </w:tc>
        <w:tc>
          <w:tcPr>
            <w:tcW w:w="60" w:type="dxa"/>
            <w:tcBorders/>
            <w:vAlign w:val="bottom"/>
          </w:tcPr>
          <w:p>
            <w:pPr>
              <w:pStyle w:val="TableContents"/>
              <w:bidi w:val="0"/>
              <w:spacing w:before="0" w:after="283"/>
              <w:jc w:val="right"/>
              <w:rPr/>
            </w:pPr>
            <w:r>
              <w:rPr/>
              <w:t> </w:t>
            </w:r>
          </w:p>
        </w:tc>
        <w:tc>
          <w:tcPr>
            <w:tcW w:w="257"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84"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(31</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363"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111"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(40</w:t>
            </w:r>
          </w:p>
        </w:tc>
        <w:tc>
          <w:tcPr>
            <w:tcW w:w="189"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450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Weighted average remaining lease term in years</w:t>
            </w:r>
          </w:p>
        </w:tc>
        <w:tc>
          <w:tcPr>
            <w:tcW w:w="2696" w:type="dxa"/>
            <w:tcBorders/>
            <w:shd w:fill="CCEEFF" w:val="clear"/>
            <w:vAlign w:val="bottom"/>
          </w:tcPr>
          <w:p>
            <w:pPr>
              <w:pStyle w:val="TableContents"/>
              <w:bidi w:val="0"/>
              <w:spacing w:before="0" w:after="0"/>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pPr>
            <w:r>
              <w:rPr/>
              <w:t> </w:t>
            </w:r>
          </w:p>
        </w:tc>
        <w:tc>
          <w:tcPr>
            <w:tcW w:w="257" w:type="dxa"/>
            <w:tcBorders/>
            <w:shd w:fill="CCEEFF" w:val="clear"/>
            <w:vAlign w:val="bottom"/>
          </w:tcPr>
          <w:p>
            <w:pPr>
              <w:pStyle w:val="TableContents"/>
              <w:bidi w:val="0"/>
              <w:spacing w:before="0" w:after="283"/>
              <w:jc w:val="left"/>
              <w:rPr/>
            </w:pPr>
            <w:r>
              <w:rPr/>
              <w:t> </w:t>
            </w:r>
          </w:p>
        </w:tc>
        <w:tc>
          <w:tcPr>
            <w:tcW w:w="78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0.4</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63"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0.6</w:t>
            </w:r>
          </w:p>
        </w:tc>
        <w:tc>
          <w:tcPr>
            <w:tcW w:w="189" w:type="dxa"/>
            <w:tcBorders/>
            <w:shd w:fill="CCEEFF" w:val="clear"/>
            <w:vAlign w:val="bottom"/>
          </w:tcPr>
          <w:p>
            <w:pPr>
              <w:pStyle w:val="TableContents"/>
              <w:bidi w:val="0"/>
              <w:spacing w:before="0" w:after="283"/>
              <w:jc w:val="left"/>
              <w:rPr/>
            </w:pPr>
            <w:r>
              <w:rPr/>
              <w:t> </w:t>
            </w:r>
          </w:p>
        </w:tc>
      </w:tr>
      <w:tr>
        <w:trPr/>
        <w:tc>
          <w:tcPr>
            <w:tcW w:w="450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Weighted average discount rate </w:t>
            </w:r>
            <w:r>
              <w:rPr>
                <w:rFonts w:ascii="Times New Roman" w:hAnsi="Times New Roman"/>
                <w:color w:val="000000"/>
                <w:position w:val="7"/>
                <w:sz w:val="16"/>
                <w:sz w:val="20"/>
              </w:rPr>
              <w:t>(A)</w:t>
            </w:r>
          </w:p>
        </w:tc>
        <w:tc>
          <w:tcPr>
            <w:tcW w:w="2696" w:type="dxa"/>
            <w:tcBorders/>
            <w:vAlign w:val="bottom"/>
          </w:tcPr>
          <w:p>
            <w:pPr>
              <w:pStyle w:val="TableContents"/>
              <w:bidi w:val="0"/>
              <w:spacing w:before="0" w:after="0"/>
              <w:jc w:val="left"/>
              <w:rPr>
                <w:color w:val="000000"/>
              </w:rPr>
            </w:pPr>
            <w:r>
              <w:rPr>
                <w:color w:val="000000"/>
              </w:rPr>
              <w:t> </w:t>
            </w:r>
          </w:p>
        </w:tc>
        <w:tc>
          <w:tcPr>
            <w:tcW w:w="60" w:type="dxa"/>
            <w:tcBorders/>
            <w:vAlign w:val="bottom"/>
          </w:tcPr>
          <w:p>
            <w:pPr>
              <w:pStyle w:val="TableContents"/>
              <w:bidi w:val="0"/>
              <w:spacing w:before="0" w:after="283"/>
              <w:jc w:val="right"/>
              <w:rPr/>
            </w:pPr>
            <w:r>
              <w:rPr/>
              <w:t> </w:t>
            </w:r>
          </w:p>
        </w:tc>
        <w:tc>
          <w:tcPr>
            <w:tcW w:w="257" w:type="dxa"/>
            <w:tcBorders/>
            <w:vAlign w:val="bottom"/>
          </w:tcPr>
          <w:p>
            <w:pPr>
              <w:pStyle w:val="TableContents"/>
              <w:bidi w:val="0"/>
              <w:spacing w:before="0" w:after="283"/>
              <w:jc w:val="left"/>
              <w:rPr/>
            </w:pPr>
            <w:r>
              <w:rPr/>
              <w:t> </w:t>
            </w:r>
          </w:p>
        </w:tc>
        <w:tc>
          <w:tcPr>
            <w:tcW w:w="784"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6.49</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363"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8.18</w:t>
            </w:r>
          </w:p>
        </w:tc>
        <w:tc>
          <w:tcPr>
            <w:tcW w:w="189"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0" w:after="0"/>
        <w:jc w:val="left"/>
        <w:rPr>
          <w:rFonts w:ascii="Times New Roman" w:hAnsi="Times New Roman"/>
        </w:rPr>
      </w:pPr>
      <w:r>
        <w:rPr>
          <w:rFonts w:ascii="Times New Roman" w:hAnsi="Times New Roman"/>
        </w:rPr>
      </w:r>
    </w:p>
    <w:tbl>
      <w:tblPr>
        <w:tblW w:w="8620" w:type="dxa"/>
        <w:jc w:val="left"/>
        <w:tblInd w:w="0" w:type="dxa"/>
        <w:tblLayout w:type="fixed"/>
        <w:tblCellMar>
          <w:top w:w="0" w:type="dxa"/>
          <w:left w:w="0" w:type="dxa"/>
          <w:bottom w:w="0" w:type="dxa"/>
          <w:right w:w="0" w:type="dxa"/>
        </w:tblCellMar>
      </w:tblPr>
      <w:tblGrid>
        <w:gridCol w:w="365"/>
        <w:gridCol w:w="8255"/>
      </w:tblGrid>
      <w:tr>
        <w:trPr/>
        <w:tc>
          <w:tcPr>
            <w:tcW w:w="365" w:type="dxa"/>
            <w:tcBorders/>
            <w:vAlign w:val="center"/>
          </w:tcPr>
          <w:p>
            <w:pPr>
              <w:pStyle w:val="TableContents"/>
              <w:bidi w:val="0"/>
              <w:spacing w:before="0" w:after="0"/>
              <w:jc w:val="left"/>
              <w:rPr>
                <w:color w:val="000000"/>
              </w:rPr>
            </w:pPr>
            <w:r>
              <w:rPr>
                <w:color w:val="000000"/>
              </w:rPr>
              <w:t>(A)</w:t>
            </w:r>
          </w:p>
        </w:tc>
        <w:tc>
          <w:tcPr>
            <w:tcW w:w="8255" w:type="dxa"/>
            <w:tcBorders/>
            <w:vAlign w:val="center"/>
          </w:tcPr>
          <w:p>
            <w:pPr>
              <w:pStyle w:val="TableContents"/>
              <w:bidi w:val="0"/>
              <w:spacing w:before="0" w:after="0"/>
              <w:jc w:val="both"/>
              <w:rPr>
                <w:color w:val="000000"/>
                <w:sz w:val="20"/>
              </w:rPr>
            </w:pPr>
            <w:r>
              <w:rPr>
                <w:color w:val="000000"/>
                <w:sz w:val="20"/>
              </w:rPr>
              <w:t>The Company uses an incremental borrowing rate in determining the present value of lease payments.</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42</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rFonts w:ascii="Times New Roman" w:hAnsi="Times New Roman"/>
          <w:b/>
          <w:i w:val="false"/>
          <w:caps w:val="false"/>
          <w:smallCaps w:val="false"/>
          <w:color w:val="000000"/>
          <w:sz w:val="20"/>
          <w:shd w:fill="FFFFFF" w:val="clear"/>
        </w:rPr>
      </w:pPr>
      <w:r>
        <w:rPr>
          <w:rFonts w:ascii="Times New Roman" w:hAnsi="Times New Roman"/>
          <w:b/>
          <w:i w:val="false"/>
          <w:caps w:val="false"/>
          <w:smallCaps w:val="false"/>
          <w:color w:val="000000"/>
          <w:sz w:val="20"/>
          <w:shd w:fill="FFFFFF" w:val="clear"/>
        </w:rPr>
        <w:t>Note 10 — Repurchase Agreements</w:t>
      </w:r>
    </w:p>
    <w:p>
      <w:pPr>
        <w:pStyle w:val="TextBody"/>
        <w:bidi w:val="0"/>
        <w:spacing w:before="0" w:after="0"/>
        <w:jc w:val="left"/>
        <w:rPr>
          <w:rFonts w:ascii="Times New Roman" w:hAnsi="Times New Roman"/>
          <w:b/>
          <w:i w:val="false"/>
          <w:caps w:val="false"/>
          <w:smallCaps w:val="false"/>
          <w:color w:val="000000"/>
          <w:sz w:val="20"/>
          <w:shd w:fill="FFFFFF" w:val="clear"/>
        </w:rPr>
      </w:pPr>
      <w:r>
        <w:rPr>
          <w:rFonts w:ascii="Times New Roman" w:hAnsi="Times New Roman"/>
          <w:b/>
          <w:i w:val="false"/>
          <w:caps w:val="false"/>
          <w:smallCaps w:val="false"/>
          <w:color w:val="000000"/>
          <w:sz w:val="20"/>
          <w:shd w:fill="FFFFFF" w:val="clear"/>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Company had outstanding approximately $1,008.7 million and $1,137.2 million of borrowings under its repurchase agreements as of June 30, 2026 and December 31, 2025, respectively. The Company’s obligations under these agreements had weighted average remaining maturities of 20 days and 16 days as of June 30, 2026 and December 31, 2025, respectively. RMBS and cash have been pledged as collateral under these repurchase agreements (see Note 4).</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repurchase agreements had the following remaining maturities and weighted average rates as of the dates indicated (dollars in thousands):</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Repurchase Agreements Characteristics</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As of June 30, 2026</w:t>
      </w:r>
    </w:p>
    <w:p>
      <w:pPr>
        <w:pStyle w:val="TextBody"/>
        <w:bidi w:val="0"/>
        <w:spacing w:before="0" w:after="0"/>
        <w:jc w:val="left"/>
        <w:rPr/>
      </w:pPr>
      <w:r>
        <w:rPr/>
      </w:r>
    </w:p>
    <w:tbl>
      <w:tblPr>
        <w:tblW w:w="5164" w:type="dxa"/>
        <w:jc w:val="left"/>
        <w:tblInd w:w="0" w:type="dxa"/>
        <w:tblLayout w:type="fixed"/>
        <w:tblCellMar>
          <w:top w:w="0" w:type="dxa"/>
          <w:left w:w="0" w:type="dxa"/>
          <w:bottom w:w="0" w:type="dxa"/>
          <w:right w:w="0" w:type="dxa"/>
        </w:tblCellMar>
      </w:tblPr>
      <w:tblGrid>
        <w:gridCol w:w="2135"/>
        <w:gridCol w:w="60"/>
        <w:gridCol w:w="132"/>
        <w:gridCol w:w="893"/>
        <w:gridCol w:w="60"/>
        <w:gridCol w:w="60"/>
        <w:gridCol w:w="217"/>
        <w:gridCol w:w="1377"/>
        <w:gridCol w:w="230"/>
      </w:tblGrid>
      <w:tr>
        <w:trPr/>
        <w:tc>
          <w:tcPr>
            <w:tcW w:w="2135" w:type="dxa"/>
            <w:tcBorders/>
            <w:vAlign w:val="bottom"/>
          </w:tcPr>
          <w:p>
            <w:pPr>
              <w:pStyle w:val="TableContents"/>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102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Repurchase</w:t>
            </w:r>
          </w:p>
          <w:p>
            <w:pPr>
              <w:pStyle w:val="TableContents"/>
              <w:bidi w:val="0"/>
              <w:spacing w:before="0" w:after="0"/>
              <w:jc w:val="center"/>
              <w:rPr>
                <w:rFonts w:ascii="Times New Roman" w:hAnsi="Times New Roman"/>
                <w:b/>
                <w:sz w:val="20"/>
              </w:rPr>
            </w:pPr>
            <w:r>
              <w:rPr>
                <w:rFonts w:ascii="Times New Roman" w:hAnsi="Times New Roman"/>
                <w:b/>
                <w:sz w:val="20"/>
              </w:rPr>
              <w:t>Agreements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Weighted Average</w:t>
            </w:r>
          </w:p>
          <w:p>
            <w:pPr>
              <w:pStyle w:val="TableContents"/>
              <w:bidi w:val="0"/>
              <w:spacing w:before="0" w:after="0"/>
              <w:jc w:val="center"/>
              <w:rPr>
                <w:rFonts w:ascii="Times New Roman" w:hAnsi="Times New Roman"/>
                <w:b/>
                <w:sz w:val="20"/>
              </w:rPr>
            </w:pPr>
            <w:r>
              <w:rPr>
                <w:rFonts w:ascii="Times New Roman" w:hAnsi="Times New Roman"/>
                <w:b/>
                <w:sz w:val="20"/>
              </w:rPr>
              <w:t>Rate</w:t>
            </w:r>
          </w:p>
        </w:tc>
        <w:tc>
          <w:tcPr>
            <w:tcW w:w="230" w:type="dxa"/>
            <w:tcBorders/>
            <w:vAlign w:val="bottom"/>
          </w:tcPr>
          <w:p>
            <w:pPr>
              <w:pStyle w:val="TableContents"/>
              <w:bidi w:val="0"/>
              <w:spacing w:before="0" w:after="283"/>
              <w:jc w:val="left"/>
              <w:rPr/>
            </w:pPr>
            <w:r>
              <w:rPr/>
              <w:t> </w:t>
            </w:r>
          </w:p>
        </w:tc>
      </w:tr>
      <w:tr>
        <w:trPr/>
        <w:tc>
          <w:tcPr>
            <w:tcW w:w="2135"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Less than one month</w:t>
            </w:r>
          </w:p>
        </w:tc>
        <w:tc>
          <w:tcPr>
            <w:tcW w:w="60" w:type="dxa"/>
            <w:tcBorders/>
            <w:shd w:fill="CCEEFF" w:val="clear"/>
            <w:vAlign w:val="bottom"/>
          </w:tcPr>
          <w:p>
            <w:pPr>
              <w:pStyle w:val="TableContents"/>
              <w:bidi w:val="0"/>
              <w:spacing w:before="0" w:after="283"/>
              <w:jc w:val="right"/>
              <w:rPr/>
            </w:pPr>
            <w:r>
              <w:rPr/>
              <w:t> </w:t>
            </w:r>
          </w:p>
        </w:tc>
        <w:tc>
          <w:tcPr>
            <w:tcW w:w="132"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9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1,008,738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377"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3.76</w:t>
            </w:r>
          </w:p>
        </w:tc>
        <w:tc>
          <w:tcPr>
            <w:tcW w:w="23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2135" w:type="dxa"/>
            <w:tcBorders/>
            <w:vAlign w:val="bottom"/>
          </w:tcPr>
          <w:p>
            <w:pPr>
              <w:pStyle w:val="TableContents"/>
              <w:bidi w:val="0"/>
              <w:spacing w:before="0" w:after="0"/>
              <w:ind w:left="180" w:right="0" w:hanging="180"/>
              <w:jc w:val="left"/>
              <w:rPr>
                <w:rFonts w:ascii="Times New Roman" w:hAnsi="Times New Roman"/>
                <w:b/>
                <w:sz w:val="20"/>
              </w:rPr>
            </w:pPr>
            <w:r>
              <w:rPr>
                <w:rFonts w:ascii="Times New Roman" w:hAnsi="Times New Roman"/>
                <w:b/>
                <w:sz w:val="20"/>
              </w:rPr>
              <w:t>Total/Weighted Average</w:t>
            </w:r>
          </w:p>
        </w:tc>
        <w:tc>
          <w:tcPr>
            <w:tcW w:w="60" w:type="dxa"/>
            <w:tcBorders/>
            <w:vAlign w:val="bottom"/>
          </w:tcPr>
          <w:p>
            <w:pPr>
              <w:pStyle w:val="TableContents"/>
              <w:bidi w:val="0"/>
              <w:spacing w:before="0" w:after="283"/>
              <w:jc w:val="right"/>
              <w:rPr/>
            </w:pPr>
            <w:r>
              <w:rPr/>
              <w:t> </w:t>
            </w:r>
          </w:p>
        </w:tc>
        <w:tc>
          <w:tcPr>
            <w:tcW w:w="132"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893"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1,008,738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7" w:type="dxa"/>
            <w:tcBorders/>
            <w:vAlign w:val="bottom"/>
          </w:tcPr>
          <w:p>
            <w:pPr>
              <w:pStyle w:val="TableContents"/>
              <w:bidi w:val="0"/>
              <w:spacing w:before="0" w:after="283"/>
              <w:jc w:val="left"/>
              <w:rPr/>
            </w:pPr>
            <w:r>
              <w:rPr/>
              <w:t> </w:t>
            </w:r>
          </w:p>
        </w:tc>
        <w:tc>
          <w:tcPr>
            <w:tcW w:w="1377"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3.76</w:t>
            </w:r>
          </w:p>
        </w:tc>
        <w:tc>
          <w:tcPr>
            <w:tcW w:w="23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center"/>
        <w:rPr>
          <w:rFonts w:ascii="Times New Roman" w:hAnsi="Times New Roman"/>
          <w:b/>
          <w:i w:val="false"/>
          <w:caps w:val="false"/>
          <w:smallCaps w:val="false"/>
          <w:color w:val="000000"/>
          <w:sz w:val="20"/>
          <w:shd w:fill="FFFFFF" w:val="clear"/>
        </w:rPr>
      </w:pPr>
      <w:r>
        <w:rPr>
          <w:rFonts w:ascii="Times New Roman" w:hAnsi="Times New Roman"/>
          <w:b/>
          <w:i w:val="false"/>
          <w:caps w:val="false"/>
          <w:smallCaps w:val="false"/>
          <w:color w:val="000000"/>
          <w:sz w:val="20"/>
          <w:shd w:fill="FFFFFF" w:val="clear"/>
        </w:rPr>
        <w:t>As of December 31, 2025</w:t>
      </w:r>
    </w:p>
    <w:p>
      <w:pPr>
        <w:pStyle w:val="TextBody"/>
        <w:bidi w:val="0"/>
        <w:spacing w:before="0" w:after="0"/>
        <w:jc w:val="left"/>
        <w:rPr/>
      </w:pPr>
      <w:r>
        <w:rPr/>
      </w:r>
    </w:p>
    <w:tbl>
      <w:tblPr>
        <w:tblW w:w="5164" w:type="dxa"/>
        <w:jc w:val="left"/>
        <w:tblInd w:w="0" w:type="dxa"/>
        <w:tblLayout w:type="fixed"/>
        <w:tblCellMar>
          <w:top w:w="0" w:type="dxa"/>
          <w:left w:w="0" w:type="dxa"/>
          <w:bottom w:w="0" w:type="dxa"/>
          <w:right w:w="0" w:type="dxa"/>
        </w:tblCellMar>
      </w:tblPr>
      <w:tblGrid>
        <w:gridCol w:w="2135"/>
        <w:gridCol w:w="60"/>
        <w:gridCol w:w="132"/>
        <w:gridCol w:w="893"/>
        <w:gridCol w:w="60"/>
        <w:gridCol w:w="60"/>
        <w:gridCol w:w="217"/>
        <w:gridCol w:w="1377"/>
        <w:gridCol w:w="230"/>
      </w:tblGrid>
      <w:tr>
        <w:trPr/>
        <w:tc>
          <w:tcPr>
            <w:tcW w:w="2135" w:type="dxa"/>
            <w:tcBorders/>
            <w:vAlign w:val="bottom"/>
          </w:tcPr>
          <w:p>
            <w:pPr>
              <w:pStyle w:val="TableContents"/>
              <w:bidi w:val="0"/>
              <w:spacing w:before="0" w:after="0"/>
              <w:ind w:left="180" w:right="0" w:hanging="180"/>
              <w:jc w:val="left"/>
              <w:rPr/>
            </w:pPr>
            <w:r>
              <w:rPr/>
              <w:t> </w:t>
            </w:r>
          </w:p>
        </w:tc>
        <w:tc>
          <w:tcPr>
            <w:tcW w:w="60" w:type="dxa"/>
            <w:tcBorders/>
            <w:vAlign w:val="bottom"/>
          </w:tcPr>
          <w:p>
            <w:pPr>
              <w:pStyle w:val="TableContents"/>
              <w:bidi w:val="0"/>
              <w:spacing w:before="0" w:after="283"/>
              <w:jc w:val="left"/>
              <w:rPr/>
            </w:pPr>
            <w:r>
              <w:rPr/>
              <w:t> </w:t>
            </w:r>
          </w:p>
        </w:tc>
        <w:tc>
          <w:tcPr>
            <w:tcW w:w="102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Repurchase</w:t>
              <w:br/>
              <w:t>Agreements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Weighted Average</w:t>
            </w:r>
          </w:p>
          <w:p>
            <w:pPr>
              <w:pStyle w:val="TableContents"/>
              <w:bidi w:val="0"/>
              <w:spacing w:before="0" w:after="0"/>
              <w:jc w:val="center"/>
              <w:rPr>
                <w:rFonts w:ascii="Times New Roman" w:hAnsi="Times New Roman"/>
                <w:b/>
                <w:sz w:val="20"/>
              </w:rPr>
            </w:pPr>
            <w:r>
              <w:rPr>
                <w:rFonts w:ascii="Times New Roman" w:hAnsi="Times New Roman"/>
                <w:b/>
                <w:sz w:val="20"/>
              </w:rPr>
              <w:t>Rate</w:t>
            </w:r>
          </w:p>
        </w:tc>
        <w:tc>
          <w:tcPr>
            <w:tcW w:w="230" w:type="dxa"/>
            <w:tcBorders/>
            <w:vAlign w:val="bottom"/>
          </w:tcPr>
          <w:p>
            <w:pPr>
              <w:pStyle w:val="TableContents"/>
              <w:bidi w:val="0"/>
              <w:spacing w:before="0" w:after="283"/>
              <w:jc w:val="left"/>
              <w:rPr/>
            </w:pPr>
            <w:r>
              <w:rPr/>
              <w:t> </w:t>
            </w:r>
          </w:p>
        </w:tc>
      </w:tr>
      <w:tr>
        <w:trPr/>
        <w:tc>
          <w:tcPr>
            <w:tcW w:w="2135"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Less than one month</w:t>
            </w:r>
          </w:p>
        </w:tc>
        <w:tc>
          <w:tcPr>
            <w:tcW w:w="60" w:type="dxa"/>
            <w:tcBorders/>
            <w:shd w:fill="CCEEFF" w:val="clear"/>
            <w:vAlign w:val="bottom"/>
          </w:tcPr>
          <w:p>
            <w:pPr>
              <w:pStyle w:val="TableContents"/>
              <w:bidi w:val="0"/>
              <w:spacing w:before="0" w:after="283"/>
              <w:jc w:val="right"/>
              <w:rPr/>
            </w:pPr>
            <w:r>
              <w:rPr/>
              <w:t> </w:t>
            </w:r>
          </w:p>
        </w:tc>
        <w:tc>
          <w:tcPr>
            <w:tcW w:w="132"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9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1,137,200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377"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3.99</w:t>
            </w:r>
          </w:p>
        </w:tc>
        <w:tc>
          <w:tcPr>
            <w:tcW w:w="23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2135" w:type="dxa"/>
            <w:tcBorders/>
            <w:vAlign w:val="bottom"/>
          </w:tcPr>
          <w:p>
            <w:pPr>
              <w:pStyle w:val="TableContents"/>
              <w:bidi w:val="0"/>
              <w:spacing w:before="0" w:after="0"/>
              <w:ind w:left="180" w:right="0" w:hanging="180"/>
              <w:jc w:val="left"/>
              <w:rPr>
                <w:rFonts w:ascii="Times New Roman" w:hAnsi="Times New Roman"/>
                <w:b/>
                <w:sz w:val="20"/>
              </w:rPr>
            </w:pPr>
            <w:r>
              <w:rPr>
                <w:rFonts w:ascii="Times New Roman" w:hAnsi="Times New Roman"/>
                <w:b/>
                <w:sz w:val="20"/>
              </w:rPr>
              <w:t>Total/Weighted Average</w:t>
            </w:r>
          </w:p>
        </w:tc>
        <w:tc>
          <w:tcPr>
            <w:tcW w:w="60" w:type="dxa"/>
            <w:tcBorders/>
            <w:vAlign w:val="bottom"/>
          </w:tcPr>
          <w:p>
            <w:pPr>
              <w:pStyle w:val="TableContents"/>
              <w:bidi w:val="0"/>
              <w:spacing w:before="0" w:after="283"/>
              <w:jc w:val="right"/>
              <w:rPr/>
            </w:pPr>
            <w:r>
              <w:rPr/>
              <w:t> </w:t>
            </w:r>
          </w:p>
        </w:tc>
        <w:tc>
          <w:tcPr>
            <w:tcW w:w="132"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893"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1,137,200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7" w:type="dxa"/>
            <w:tcBorders/>
            <w:vAlign w:val="bottom"/>
          </w:tcPr>
          <w:p>
            <w:pPr>
              <w:pStyle w:val="TableContents"/>
              <w:bidi w:val="0"/>
              <w:spacing w:before="0" w:after="283"/>
              <w:jc w:val="left"/>
              <w:rPr/>
            </w:pPr>
            <w:r>
              <w:rPr/>
              <w:t> </w:t>
            </w:r>
          </w:p>
        </w:tc>
        <w:tc>
          <w:tcPr>
            <w:tcW w:w="1377"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3.99</w:t>
            </w:r>
          </w:p>
        </w:tc>
        <w:tc>
          <w:tcPr>
            <w:tcW w:w="23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r>
    </w:tbl>
    <w:p>
      <w:pPr>
        <w:pStyle w:val="TextBody"/>
        <w:bidi w:val="0"/>
        <w:spacing w:before="0" w:after="0"/>
        <w:jc w:val="left"/>
        <w:rPr/>
      </w:pPr>
      <w:r>
        <w:rPr/>
      </w:r>
    </w:p>
    <w:p>
      <w:pPr>
        <w:pStyle w:val="TextBody"/>
        <w:bidi w:val="0"/>
        <w:spacing w:before="0" w:after="0"/>
        <w:ind w:left="0" w:right="0" w:firstLine="720"/>
        <w:jc w:val="left"/>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b w:val="false"/>
          <w:i w:val="false"/>
          <w:caps w:val="false"/>
          <w:smallCaps w:val="false"/>
          <w:color w:val="000000"/>
          <w:spacing w:val="0"/>
          <w:sz w:val="20"/>
          <w:shd w:fill="FFFFFF" w:val="clear"/>
        </w:rPr>
        <w:t>There were no overnight or demand securities as of June 30, 2026 or December 31, 2025.</w:t>
      </w:r>
      <w:r>
        <w:rPr>
          <w:rFonts w:ascii="Times New Roman" w:hAnsi="Times New Roman"/>
          <w:color w:val="000000"/>
          <w:sz w:val="20"/>
          <w:shd w:fill="FFFFFF" w:val="clear"/>
        </w:rPr>
        <w:t xml:space="preserve">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43</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Note 11 — Notes Payable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As of June 30, 2026, the Company had two separate MSR financing facilities: (i) the Freddie Mac MSR Revolver, which is revolving credit facility for up to $100.0 million that is secured by all Freddie Mac MSRs owned by Aurora; and (ii) the Fannie Mae MSR Revolving Facility, which is a revolving credit facility for up to $100.0 million, that is secured by all Fannie Mae MSRs owned by Aurora. Both financing facilities are available for MSRs as well as certain servicing related advances associated with MSRs.</w:t>
      </w:r>
    </w:p>
    <w:p>
      <w:pPr>
        <w:pStyle w:val="TextBody"/>
        <w:bidi w:val="0"/>
        <w:spacing w:before="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b w:val="false"/>
          <w:i/>
          <w:caps w:val="false"/>
          <w:smallCaps w:val="false"/>
          <w:color w:val="000000"/>
          <w:sz w:val="20"/>
          <w:shd w:fill="FFFFFF" w:val="clear"/>
        </w:rPr>
        <w:t xml:space="preserve">Freddie Mac MSR Revolver. </w:t>
      </w:r>
      <w:r>
        <w:rPr>
          <w:rFonts w:ascii="Times New Roman" w:hAnsi="Times New Roman"/>
          <w:b w:val="false"/>
          <w:i w:val="false"/>
          <w:caps w:val="false"/>
          <w:smallCaps w:val="false"/>
          <w:color w:val="000000"/>
          <w:sz w:val="20"/>
          <w:shd w:fill="FFFFFF" w:val="clear"/>
        </w:rPr>
        <w:t>T</w:t>
      </w:r>
      <w:r>
        <w:rPr>
          <w:rFonts w:ascii="Times New Roman" w:hAnsi="Times New Roman"/>
          <w:b w:val="false"/>
          <w:caps w:val="false"/>
          <w:smallCaps w:val="false"/>
          <w:color w:val="000000"/>
          <w:sz w:val="20"/>
          <w:shd w:fill="FFFFFF" w:val="clear"/>
        </w:rPr>
        <w:t>he Company, Aurora and QRS V (collectively with Aurora and the Company, the “Borrowers”) have entered into a $</w:t>
      </w:r>
      <w:r>
        <w:rPr>
          <w:rFonts w:ascii="Times New Roman" w:hAnsi="Times New Roman"/>
          <w:b w:val="false"/>
          <w:i w:val="false"/>
          <w:caps w:val="false"/>
          <w:smallCaps w:val="false"/>
          <w:color w:val="000000"/>
          <w:sz w:val="20"/>
          <w:shd w:fill="FFFFFF" w:val="clear"/>
        </w:rPr>
        <w:t>100.0</w:t>
      </w:r>
      <w:r>
        <w:rPr>
          <w:rFonts w:ascii="Times New Roman" w:hAnsi="Times New Roman"/>
          <w:b w:val="false"/>
          <w:caps w:val="false"/>
          <w:smallCaps w:val="false"/>
          <w:color w:val="000000"/>
          <w:sz w:val="20"/>
          <w:shd w:fill="FFFFFF" w:val="clear"/>
        </w:rPr>
        <w:t xml:space="preserve"> million revolving credit facility (the “Freddie Mac MSR Revolver”), pursuant to which Aurora pledged all of its existing and future MSRs on loans owned or securitized by Freddie Mac.</w:t>
      </w:r>
      <w:r>
        <w:rPr>
          <w:rFonts w:ascii="Times New Roman" w:hAnsi="Times New Roman"/>
          <w:color w:val="000000"/>
          <w:sz w:val="20"/>
          <w:shd w:fill="FFFFFF" w:val="clear"/>
        </w:rPr>
        <w:t xml:space="preserve"> </w:t>
      </w:r>
      <w:r>
        <w:rPr>
          <w:rFonts w:ascii="Times New Roman" w:hAnsi="Times New Roman"/>
          <w:b w:val="false"/>
          <w:caps w:val="false"/>
          <w:smallCaps w:val="false"/>
          <w:color w:val="000000"/>
          <w:sz w:val="20"/>
          <w:shd w:fill="FFFFFF" w:val="clear"/>
        </w:rPr>
        <w:t xml:space="preserve">In May 2026, the Borrowers entered into an amendment that extended the revolving period for an additional </w:t>
      </w:r>
      <w:r>
        <w:rPr>
          <w:rFonts w:ascii="Times New Roman" w:hAnsi="Times New Roman"/>
          <w:b w:val="false"/>
          <w:i w:val="false"/>
          <w:caps w:val="false"/>
          <w:smallCaps w:val="false"/>
          <w:color w:val="000000"/>
          <w:sz w:val="20"/>
          <w:shd w:fill="FFFFFF" w:val="clear"/>
        </w:rPr>
        <w:t>364</w:t>
      </w:r>
      <w:r>
        <w:rPr>
          <w:rFonts w:ascii="Times New Roman" w:hAnsi="Times New Roman"/>
          <w:b w:val="false"/>
          <w:caps w:val="false"/>
          <w:smallCaps w:val="false"/>
          <w:color w:val="000000"/>
          <w:sz w:val="20"/>
          <w:shd w:fill="FFFFFF" w:val="clear"/>
        </w:rPr>
        <w:t xml:space="preserve"> days with the Borrowers’ option for </w:t>
      </w:r>
      <w:r>
        <w:rPr>
          <w:rFonts w:ascii="Times New Roman" w:hAnsi="Times New Roman"/>
          <w:b w:val="false"/>
          <w:i w:val="false"/>
          <w:caps w:val="false"/>
          <w:smallCaps w:val="false"/>
          <w:color w:val="000000"/>
          <w:sz w:val="20"/>
          <w:shd w:fill="FFFFFF" w:val="clear"/>
        </w:rPr>
        <w:t>one</w:t>
      </w:r>
      <w:r>
        <w:rPr>
          <w:rFonts w:ascii="Times New Roman" w:hAnsi="Times New Roman"/>
          <w:b w:val="false"/>
          <w:caps w:val="false"/>
          <w:smallCaps w:val="false"/>
          <w:color w:val="000000"/>
          <w:sz w:val="20"/>
          <w:shd w:fill="FFFFFF" w:val="clear"/>
        </w:rPr>
        <w:t xml:space="preserve"> renewal for similar terms followed by a </w:t>
      </w:r>
      <w:r>
        <w:rPr>
          <w:rFonts w:ascii="Times New Roman" w:hAnsi="Times New Roman"/>
          <w:b w:val="false"/>
          <w:i w:val="false"/>
          <w:caps w:val="false"/>
          <w:smallCaps w:val="false"/>
          <w:color w:val="000000"/>
          <w:sz w:val="20"/>
          <w:shd w:fill="FFFFFF" w:val="clear"/>
        </w:rPr>
        <w:t>one-year</w:t>
      </w:r>
      <w:r>
        <w:rPr>
          <w:rFonts w:ascii="Times New Roman" w:hAnsi="Times New Roman"/>
          <w:b w:val="false"/>
          <w:caps w:val="false"/>
          <w:smallCaps w:val="false"/>
          <w:color w:val="000000"/>
          <w:sz w:val="20"/>
          <w:shd w:fill="FFFFFF" w:val="clear"/>
        </w:rPr>
        <w:t xml:space="preserve"> term out feature with a </w:t>
      </w:r>
      <w:r>
        <w:rPr>
          <w:rFonts w:ascii="Times New Roman" w:hAnsi="Times New Roman"/>
          <w:b w:val="false"/>
          <w:i w:val="false"/>
          <w:caps w:val="false"/>
          <w:smallCaps w:val="false"/>
          <w:color w:val="000000"/>
          <w:sz w:val="20"/>
          <w:shd w:fill="FFFFFF" w:val="clear"/>
        </w:rPr>
        <w:t>24</w:t>
      </w:r>
      <w:r>
        <w:rPr>
          <w:rFonts w:ascii="Times New Roman" w:hAnsi="Times New Roman"/>
          <w:b w:val="false"/>
          <w:caps w:val="false"/>
          <w:smallCaps w:val="false"/>
          <w:color w:val="000000"/>
          <w:sz w:val="20"/>
          <w:shd w:fill="FFFFFF" w:val="clear"/>
        </w:rPr>
        <w:t xml:space="preserve">-month amortization schedule. Amounts borrowed bear interest at a weighted average borrowing rate of </w:t>
      </w:r>
      <w:r>
        <w:rPr>
          <w:rFonts w:ascii="Times New Roman" w:hAnsi="Times New Roman"/>
          <w:b w:val="false"/>
          <w:i w:val="false"/>
          <w:caps w:val="false"/>
          <w:smallCaps w:val="false"/>
          <w:color w:val="000000"/>
          <w:sz w:val="20"/>
          <w:shd w:fill="FFFFFF" w:val="clear"/>
        </w:rPr>
        <w:t>6.5%</w:t>
      </w:r>
      <w:r>
        <w:rPr>
          <w:rFonts w:ascii="Times New Roman" w:hAnsi="Times New Roman"/>
          <w:b w:val="false"/>
          <w:caps w:val="false"/>
          <w:smallCaps w:val="false"/>
          <w:color w:val="000000"/>
          <w:sz w:val="20"/>
          <w:shd w:fill="FFFFFF" w:val="clear"/>
        </w:rPr>
        <w:t xml:space="preserve">. At June 30, 2026 and December 31, 2025, approximately $54.0 million and $55.5 million respectively, was outstanding under the Freddie Mac MSR Revolver. </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b w:val="false"/>
          <w:i/>
          <w:caps w:val="false"/>
          <w:smallCaps w:val="false"/>
          <w:color w:val="000000"/>
          <w:sz w:val="20"/>
          <w:shd w:fill="FFFFFF" w:val="clear"/>
        </w:rPr>
        <w:t xml:space="preserve">Fannie Mae MSR Revolving Facility. </w:t>
      </w:r>
      <w:r>
        <w:rPr>
          <w:rFonts w:ascii="Times New Roman" w:hAnsi="Times New Roman"/>
          <w:b w:val="false"/>
          <w:i w:val="false"/>
          <w:caps w:val="false"/>
          <w:smallCaps w:val="false"/>
          <w:color w:val="000000"/>
          <w:sz w:val="20"/>
          <w:shd w:fill="FFFFFF" w:val="clear"/>
        </w:rPr>
        <w:t xml:space="preserve">Aurora and QRS III are parties to a loan and security agreement (the “Fannie Mae MSR Revolving Facility”), pursuant to which Aurora and QRS III pledged their respective rights in all existing and future MSRs for loans owned or securitized by Fannie Mae to secure borrowings outstanding from time to time. The original maximum credit amount outstanding at any one time under the Fannie Mae MSR Revolving Facility was $150.0 million. The revolving period is 24 months which may be extended by agreement with the lender. </w:t>
      </w:r>
      <w:r>
        <w:rPr>
          <w:rFonts w:ascii="Times New Roman" w:hAnsi="Times New Roman"/>
          <w:b w:val="false"/>
          <w:i w:val="false"/>
          <w:caps w:val="false"/>
          <w:smallCaps w:val="false"/>
          <w:color w:val="000000"/>
          <w:spacing w:val="0"/>
          <w:sz w:val="20"/>
          <w:shd w:fill="FFFFFF" w:val="clear"/>
        </w:rPr>
        <w:t>In October 2023, Aurora and QRS III entered into an amendment to the Fannie Mae MSR Revolving Facility that extended the revolving period for an additional 24 months.</w:t>
      </w:r>
      <w:r>
        <w:rPr>
          <w:rFonts w:ascii="Times New Roman" w:hAnsi="Times New Roman"/>
          <w:color w:val="000000"/>
          <w:sz w:val="20"/>
          <w:shd w:fill="FFFFFF" w:val="clear"/>
        </w:rPr>
        <w:t xml:space="preserve"> In October 2025, Aurora and QRS III entered into an amendment to the Fannie Mae MSR which (i) extended the revolving period by an additional 24 months, and (ii) reduced the credit amount to $100 million, with the option for Aurora and QRS III to increase the maximum credit to $150 million at any time during the extended 24-month revolving period. The revolving period may be further extended by a period of 1-year by agreement with the lender.</w:t>
      </w:r>
      <w:r>
        <w:rPr>
          <w:rFonts w:ascii="Times New Roman" w:hAnsi="Times New Roman"/>
          <w:caps w:val="false"/>
          <w:smallCaps w:val="false"/>
          <w:color w:val="000000"/>
          <w:sz w:val="20"/>
          <w:shd w:fill="FFFFFF" w:val="clear"/>
        </w:rPr>
        <w:t xml:space="preserve"> </w:t>
      </w:r>
      <w:r>
        <w:rPr>
          <w:rFonts w:ascii="Times New Roman" w:hAnsi="Times New Roman"/>
          <w:b w:val="false"/>
          <w:i w:val="false"/>
          <w:caps w:val="false"/>
          <w:smallCaps w:val="false"/>
          <w:color w:val="000000"/>
          <w:sz w:val="20"/>
          <w:shd w:fill="FFFFFF" w:val="clear"/>
        </w:rPr>
        <w:t>Amounts borrowed bear interest at a weighted average borrowing rate of 6.4%. At the end of the revolving period, the outstanding amount will be converted to a three-year term loan that will bear interest at a rate calculated at a spread over the rate for one-year interest rate swaps. The Company has guaranteed repayment of all indebtedness under the Fannie Mae MSR Revolving Facility. At June 30, 2026 and December 31, 2025, approximately $87.5 million and $90.8 million, respectively, was outstanding under the Fannie Mae MSR Revolving Facility.</w:t>
      </w:r>
    </w:p>
    <w:p>
      <w:pPr>
        <w:pStyle w:val="TextBody"/>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44</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outstanding borrowings had the following remaining maturities as of the dates indicated (dollars in thousands):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Notes Payable Repayment Characteristics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As of June 30, 2026</w:t>
      </w:r>
    </w:p>
    <w:p>
      <w:pPr>
        <w:pStyle w:val="TextBody"/>
        <w:bidi w:val="0"/>
        <w:spacing w:before="0" w:after="0"/>
        <w:jc w:val="left"/>
        <w:rPr>
          <w:rFonts w:ascii="Times New Roman" w:hAnsi="Times New Roman"/>
          <w:sz w:val="20"/>
        </w:rPr>
      </w:pPr>
      <w:r>
        <w:rPr>
          <w:rFonts w:ascii="Times New Roman" w:hAnsi="Times New Roman"/>
          <w:sz w:val="20"/>
        </w:rPr>
      </w:r>
    </w:p>
    <w:tbl>
      <w:tblPr>
        <w:tblW w:w="9195" w:type="dxa"/>
        <w:jc w:val="left"/>
        <w:tblInd w:w="0" w:type="dxa"/>
        <w:tblLayout w:type="fixed"/>
        <w:tblCellMar>
          <w:top w:w="0" w:type="dxa"/>
          <w:left w:w="0" w:type="dxa"/>
          <w:bottom w:w="0" w:type="dxa"/>
          <w:right w:w="0" w:type="dxa"/>
        </w:tblCellMar>
      </w:tblPr>
      <w:tblGrid>
        <w:gridCol w:w="4550"/>
        <w:gridCol w:w="60"/>
        <w:gridCol w:w="268"/>
        <w:gridCol w:w="172"/>
        <w:gridCol w:w="60"/>
        <w:gridCol w:w="60"/>
        <w:gridCol w:w="125"/>
        <w:gridCol w:w="590"/>
        <w:gridCol w:w="60"/>
        <w:gridCol w:w="60"/>
        <w:gridCol w:w="125"/>
        <w:gridCol w:w="485"/>
        <w:gridCol w:w="60"/>
        <w:gridCol w:w="60"/>
        <w:gridCol w:w="125"/>
        <w:gridCol w:w="485"/>
        <w:gridCol w:w="60"/>
        <w:gridCol w:w="60"/>
        <w:gridCol w:w="125"/>
        <w:gridCol w:w="590"/>
        <w:gridCol w:w="60"/>
        <w:gridCol w:w="60"/>
        <w:gridCol w:w="125"/>
        <w:gridCol w:w="695"/>
        <w:gridCol w:w="75"/>
      </w:tblGrid>
      <w:tr>
        <w:trPr/>
        <w:tc>
          <w:tcPr>
            <w:tcW w:w="4550" w:type="dxa"/>
            <w:tcBorders/>
            <w:vAlign w:val="bottom"/>
          </w:tcPr>
          <w:p>
            <w:pPr>
              <w:pStyle w:val="TableContents"/>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44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Total</w:t>
            </w:r>
          </w:p>
        </w:tc>
        <w:tc>
          <w:tcPr>
            <w:tcW w:w="75" w:type="dxa"/>
            <w:tcBorders/>
            <w:vAlign w:val="bottom"/>
          </w:tcPr>
          <w:p>
            <w:pPr>
              <w:pStyle w:val="TableContents"/>
              <w:bidi w:val="0"/>
              <w:spacing w:before="0" w:after="283"/>
              <w:jc w:val="left"/>
              <w:rPr/>
            </w:pPr>
            <w:r>
              <w:rPr/>
              <w:t> </w:t>
            </w:r>
          </w:p>
        </w:tc>
      </w:tr>
      <w:tr>
        <w:trPr/>
        <w:tc>
          <w:tcPr>
            <w:tcW w:w="4550" w:type="dxa"/>
            <w:tcBorders/>
            <w:shd w:fill="CCEEFF" w:val="clear"/>
            <w:vAlign w:val="bottom"/>
          </w:tcPr>
          <w:p>
            <w:pPr>
              <w:pStyle w:val="TableContents"/>
              <w:bidi w:val="0"/>
              <w:spacing w:before="0" w:after="0"/>
              <w:ind w:left="180" w:right="0" w:hanging="180"/>
              <w:jc w:val="left"/>
              <w:rPr>
                <w:rFonts w:ascii="Times New Roman" w:hAnsi="Times New Roman"/>
                <w:b/>
                <w:sz w:val="20"/>
              </w:rPr>
            </w:pPr>
            <w:r>
              <w:rPr>
                <w:rFonts w:ascii="Times New Roman" w:hAnsi="Times New Roman"/>
                <w:b/>
                <w:sz w:val="20"/>
              </w:rPr>
              <w:t>Freddie Mac MSR Revolver</w:t>
            </w:r>
          </w:p>
        </w:tc>
        <w:tc>
          <w:tcPr>
            <w:tcW w:w="60" w:type="dxa"/>
            <w:tcBorders/>
            <w:shd w:fill="CCEEFF" w:val="clear"/>
            <w:vAlign w:val="bottom"/>
          </w:tcPr>
          <w:p>
            <w:pPr>
              <w:pStyle w:val="TableContents"/>
              <w:bidi w:val="0"/>
              <w:spacing w:before="0" w:after="283"/>
              <w:jc w:val="left"/>
              <w:rPr/>
            </w:pPr>
            <w:r>
              <w:rPr/>
              <w:t> </w:t>
            </w:r>
          </w:p>
        </w:tc>
        <w:tc>
          <w:tcPr>
            <w:tcW w:w="440" w:type="dxa"/>
            <w:gridSpan w:val="2"/>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5" w:type="dxa"/>
            <w:gridSpan w:val="2"/>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0" w:type="dxa"/>
            <w:gridSpan w:val="2"/>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0" w:type="dxa"/>
            <w:gridSpan w:val="2"/>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5" w:type="dxa"/>
            <w:gridSpan w:val="2"/>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20" w:type="dxa"/>
            <w:gridSpan w:val="2"/>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r>
      <w:tr>
        <w:trPr/>
        <w:tc>
          <w:tcPr>
            <w:tcW w:w="4550" w:type="dxa"/>
            <w:tcBorders/>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Borrowings under Freddie Mac MSR Revolver</w:t>
            </w:r>
          </w:p>
        </w:tc>
        <w:tc>
          <w:tcPr>
            <w:tcW w:w="60" w:type="dxa"/>
            <w:tcBorders/>
            <w:vAlign w:val="bottom"/>
          </w:tcPr>
          <w:p>
            <w:pPr>
              <w:pStyle w:val="TableContents"/>
              <w:bidi w:val="0"/>
              <w:spacing w:before="0" w:after="283"/>
              <w:jc w:val="right"/>
              <w:rPr/>
            </w:pPr>
            <w:r>
              <w:rPr/>
              <w:t> </w:t>
            </w:r>
          </w:p>
        </w:tc>
        <w:tc>
          <w:tcPr>
            <w:tcW w:w="26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7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54,000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48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48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54,000</w:t>
            </w:r>
          </w:p>
        </w:tc>
        <w:tc>
          <w:tcPr>
            <w:tcW w:w="75" w:type="dxa"/>
            <w:tcBorders/>
            <w:vAlign w:val="bottom"/>
          </w:tcPr>
          <w:p>
            <w:pPr>
              <w:pStyle w:val="TableContents"/>
              <w:bidi w:val="0"/>
              <w:spacing w:before="0" w:after="283"/>
              <w:jc w:val="left"/>
              <w:rPr/>
            </w:pPr>
            <w:r>
              <w:rPr/>
              <w:t> </w:t>
            </w:r>
          </w:p>
        </w:tc>
      </w:tr>
      <w:tr>
        <w:trPr/>
        <w:tc>
          <w:tcPr>
            <w:tcW w:w="455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Fannie Mae MSR Revolving Facility</w:t>
            </w:r>
          </w:p>
        </w:tc>
        <w:tc>
          <w:tcPr>
            <w:tcW w:w="60" w:type="dxa"/>
            <w:tcBorders/>
            <w:shd w:fill="CCEEFF" w:val="clear"/>
            <w:vAlign w:val="bottom"/>
          </w:tcPr>
          <w:p>
            <w:pPr>
              <w:pStyle w:val="TableContents"/>
              <w:bidi w:val="0"/>
              <w:spacing w:before="0" w:after="283"/>
              <w:jc w:val="right"/>
              <w:rPr/>
            </w:pPr>
            <w:r>
              <w:rPr/>
              <w:t> </w:t>
            </w:r>
          </w:p>
        </w:tc>
        <w:tc>
          <w:tcPr>
            <w:tcW w:w="268"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48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48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r>
      <w:tr>
        <w:trPr/>
        <w:tc>
          <w:tcPr>
            <w:tcW w:w="4550" w:type="dxa"/>
            <w:tcBorders/>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Borrowings under Fannie Mae MSR Revolving Facility</w:t>
            </w:r>
          </w:p>
        </w:tc>
        <w:tc>
          <w:tcPr>
            <w:tcW w:w="60" w:type="dxa"/>
            <w:tcBorders/>
            <w:vAlign w:val="bottom"/>
          </w:tcPr>
          <w:p>
            <w:pPr>
              <w:pStyle w:val="TableContents"/>
              <w:bidi w:val="0"/>
              <w:spacing w:before="0" w:after="283"/>
              <w:jc w:val="right"/>
              <w:rPr/>
            </w:pPr>
            <w:r>
              <w:rPr/>
              <w:t> </w:t>
            </w:r>
          </w:p>
        </w:tc>
        <w:tc>
          <w:tcPr>
            <w:tcW w:w="268" w:type="dxa"/>
            <w:tcBorders>
              <w:bottom w:val="single" w:sz="12" w:space="0" w:color="000000"/>
            </w:tcBorders>
            <w:tcMar>
              <w:bottom w:w="28" w:type="dxa"/>
            </w:tcMar>
            <w:vAlign w:val="bottom"/>
          </w:tcPr>
          <w:p>
            <w:pPr>
              <w:pStyle w:val="TableContents"/>
              <w:bidi w:val="0"/>
              <w:spacing w:before="0" w:after="283"/>
              <w:jc w:val="left"/>
              <w:rPr/>
            </w:pPr>
            <w:r>
              <w:rPr/>
              <w:t> </w:t>
            </w:r>
          </w:p>
        </w:tc>
        <w:tc>
          <w:tcPr>
            <w:tcW w:w="172"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512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48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6,376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48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6,821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73,791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87,500</w:t>
            </w:r>
          </w:p>
        </w:tc>
        <w:tc>
          <w:tcPr>
            <w:tcW w:w="75" w:type="dxa"/>
            <w:tcBorders/>
            <w:vAlign w:val="bottom"/>
          </w:tcPr>
          <w:p>
            <w:pPr>
              <w:pStyle w:val="TableContents"/>
              <w:bidi w:val="0"/>
              <w:spacing w:before="0" w:after="283"/>
              <w:jc w:val="left"/>
              <w:rPr/>
            </w:pPr>
            <w:r>
              <w:rPr/>
              <w:t> </w:t>
            </w:r>
          </w:p>
        </w:tc>
      </w:tr>
      <w:tr>
        <w:trPr/>
        <w:tc>
          <w:tcPr>
            <w:tcW w:w="4550" w:type="dxa"/>
            <w:tcBorders/>
            <w:shd w:fill="CCEEFF" w:val="clear"/>
            <w:vAlign w:val="bottom"/>
          </w:tcPr>
          <w:p>
            <w:pPr>
              <w:pStyle w:val="TableContents"/>
              <w:bidi w:val="0"/>
              <w:spacing w:before="0" w:after="0"/>
              <w:ind w:left="180" w:right="0" w:hanging="180"/>
              <w:jc w:val="left"/>
              <w:rPr>
                <w:rFonts w:ascii="Times New Roman" w:hAnsi="Times New Roman"/>
                <w:b/>
                <w:sz w:val="20"/>
              </w:rPr>
            </w:pPr>
            <w:r>
              <w:rPr>
                <w:rFonts w:ascii="Times New Roman" w:hAnsi="Times New Roman"/>
                <w:b/>
                <w:sz w:val="20"/>
              </w:rPr>
              <w:t>Total</w:t>
            </w:r>
          </w:p>
        </w:tc>
        <w:tc>
          <w:tcPr>
            <w:tcW w:w="60" w:type="dxa"/>
            <w:tcBorders/>
            <w:shd w:fill="CCEEFF" w:val="clear"/>
            <w:vAlign w:val="bottom"/>
          </w:tcPr>
          <w:p>
            <w:pPr>
              <w:pStyle w:val="TableContents"/>
              <w:bidi w:val="0"/>
              <w:spacing w:before="0" w:after="283"/>
              <w:jc w:val="right"/>
              <w:rPr/>
            </w:pPr>
            <w:r>
              <w:rPr/>
              <w:t> </w:t>
            </w:r>
          </w:p>
        </w:tc>
        <w:tc>
          <w:tcPr>
            <w:tcW w:w="268"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172"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590"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54,512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485"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6,376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485"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6,821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590"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73,791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95"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141,500</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As of December 31, 2025</w:t>
      </w:r>
    </w:p>
    <w:p>
      <w:pPr>
        <w:pStyle w:val="TextBody"/>
        <w:bidi w:val="0"/>
        <w:spacing w:before="0" w:after="0"/>
        <w:jc w:val="left"/>
        <w:rPr>
          <w:rFonts w:ascii="Times New Roman" w:hAnsi="Times New Roman"/>
          <w:sz w:val="20"/>
        </w:rPr>
      </w:pPr>
      <w:r>
        <w:rPr>
          <w:rFonts w:ascii="Times New Roman" w:hAnsi="Times New Roman"/>
          <w:sz w:val="20"/>
        </w:rPr>
      </w:r>
    </w:p>
    <w:tbl>
      <w:tblPr>
        <w:tblW w:w="9395" w:type="dxa"/>
        <w:jc w:val="left"/>
        <w:tblInd w:w="0" w:type="dxa"/>
        <w:tblLayout w:type="fixed"/>
        <w:tblCellMar>
          <w:top w:w="0" w:type="dxa"/>
          <w:left w:w="0" w:type="dxa"/>
          <w:bottom w:w="0" w:type="dxa"/>
          <w:right w:w="0" w:type="dxa"/>
        </w:tblCellMar>
      </w:tblPr>
      <w:tblGrid>
        <w:gridCol w:w="4730"/>
        <w:gridCol w:w="60"/>
        <w:gridCol w:w="125"/>
        <w:gridCol w:w="590"/>
        <w:gridCol w:w="60"/>
        <w:gridCol w:w="60"/>
        <w:gridCol w:w="125"/>
        <w:gridCol w:w="335"/>
        <w:gridCol w:w="60"/>
        <w:gridCol w:w="60"/>
        <w:gridCol w:w="125"/>
        <w:gridCol w:w="485"/>
        <w:gridCol w:w="60"/>
        <w:gridCol w:w="60"/>
        <w:gridCol w:w="125"/>
        <w:gridCol w:w="485"/>
        <w:gridCol w:w="60"/>
        <w:gridCol w:w="60"/>
        <w:gridCol w:w="125"/>
        <w:gridCol w:w="590"/>
        <w:gridCol w:w="60"/>
        <w:gridCol w:w="60"/>
        <w:gridCol w:w="125"/>
        <w:gridCol w:w="695"/>
        <w:gridCol w:w="75"/>
      </w:tblGrid>
      <w:tr>
        <w:trPr/>
        <w:tc>
          <w:tcPr>
            <w:tcW w:w="4730" w:type="dxa"/>
            <w:tcBorders/>
            <w:vAlign w:val="bottom"/>
          </w:tcPr>
          <w:p>
            <w:pPr>
              <w:pStyle w:val="TableContents"/>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6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Total</w:t>
            </w:r>
          </w:p>
        </w:tc>
        <w:tc>
          <w:tcPr>
            <w:tcW w:w="75" w:type="dxa"/>
            <w:tcBorders/>
            <w:vAlign w:val="bottom"/>
          </w:tcPr>
          <w:p>
            <w:pPr>
              <w:pStyle w:val="TableContents"/>
              <w:bidi w:val="0"/>
              <w:spacing w:before="0" w:after="283"/>
              <w:jc w:val="left"/>
              <w:rPr/>
            </w:pPr>
            <w:r>
              <w:rPr/>
              <w:t> </w:t>
            </w:r>
          </w:p>
        </w:tc>
      </w:tr>
      <w:tr>
        <w:trPr/>
        <w:tc>
          <w:tcPr>
            <w:tcW w:w="473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Freddie Mac MSR Revolver</w:t>
            </w:r>
          </w:p>
        </w:tc>
        <w:tc>
          <w:tcPr>
            <w:tcW w:w="60" w:type="dxa"/>
            <w:tcBorders/>
            <w:shd w:fill="CCEEFF" w:val="clear"/>
            <w:vAlign w:val="bottom"/>
          </w:tcPr>
          <w:p>
            <w:pPr>
              <w:pStyle w:val="TableContents"/>
              <w:bidi w:val="0"/>
              <w:spacing w:before="0" w:after="283"/>
              <w:jc w:val="left"/>
              <w:rPr/>
            </w:pPr>
            <w:r>
              <w:rPr/>
              <w:t> </w:t>
            </w:r>
          </w:p>
        </w:tc>
        <w:tc>
          <w:tcPr>
            <w:tcW w:w="715" w:type="dxa"/>
            <w:gridSpan w:val="2"/>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60" w:type="dxa"/>
            <w:gridSpan w:val="2"/>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0" w:type="dxa"/>
            <w:gridSpan w:val="2"/>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0" w:type="dxa"/>
            <w:gridSpan w:val="2"/>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5" w:type="dxa"/>
            <w:gridSpan w:val="2"/>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20" w:type="dxa"/>
            <w:gridSpan w:val="2"/>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r>
      <w:tr>
        <w:trPr/>
        <w:tc>
          <w:tcPr>
            <w:tcW w:w="4730" w:type="dxa"/>
            <w:tcBorders/>
            <w:vAlign w:val="bottom"/>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Borrowings under Freddie Mac MSR Revolver</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55,500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33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48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48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55,500</w:t>
            </w:r>
          </w:p>
        </w:tc>
        <w:tc>
          <w:tcPr>
            <w:tcW w:w="75" w:type="dxa"/>
            <w:tcBorders/>
            <w:vAlign w:val="bottom"/>
          </w:tcPr>
          <w:p>
            <w:pPr>
              <w:pStyle w:val="TableContents"/>
              <w:bidi w:val="0"/>
              <w:spacing w:before="0" w:after="283"/>
              <w:jc w:val="left"/>
              <w:rPr/>
            </w:pPr>
            <w:r>
              <w:rPr/>
              <w:t> </w:t>
            </w:r>
          </w:p>
        </w:tc>
      </w:tr>
      <w:tr>
        <w:trPr/>
        <w:tc>
          <w:tcPr>
            <w:tcW w:w="473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Fannie Mae MSR Revolving Facility</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33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48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48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r>
      <w:tr>
        <w:trPr/>
        <w:tc>
          <w:tcPr>
            <w:tcW w:w="4730" w:type="dxa"/>
            <w:tcBorders/>
            <w:vAlign w:val="bottom"/>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Borrowings under Fannie Mae MSR Revolving Facility</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33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548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48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6,806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48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7,239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76,157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90,750</w:t>
            </w:r>
          </w:p>
        </w:tc>
        <w:tc>
          <w:tcPr>
            <w:tcW w:w="75" w:type="dxa"/>
            <w:tcBorders/>
            <w:vAlign w:val="bottom"/>
          </w:tcPr>
          <w:p>
            <w:pPr>
              <w:pStyle w:val="TableContents"/>
              <w:bidi w:val="0"/>
              <w:spacing w:before="0" w:after="283"/>
              <w:jc w:val="left"/>
              <w:rPr/>
            </w:pPr>
            <w:r>
              <w:rPr/>
              <w:t> </w:t>
            </w:r>
          </w:p>
        </w:tc>
      </w:tr>
      <w:tr>
        <w:trPr/>
        <w:tc>
          <w:tcPr>
            <w:tcW w:w="4730" w:type="dxa"/>
            <w:tcBorders/>
            <w:shd w:fill="CCEEFF" w:val="clear"/>
            <w:vAlign w:val="bottom"/>
          </w:tcPr>
          <w:p>
            <w:pPr>
              <w:pStyle w:val="TableContents"/>
              <w:bidi w:val="0"/>
              <w:spacing w:before="0" w:after="0"/>
              <w:ind w:left="180" w:right="0" w:hanging="180"/>
              <w:jc w:val="left"/>
              <w:rPr>
                <w:rFonts w:ascii="Times New Roman" w:hAnsi="Times New Roman"/>
                <w:b/>
                <w:sz w:val="20"/>
              </w:rPr>
            </w:pPr>
            <w:r>
              <w:rPr>
                <w:rFonts w:ascii="Times New Roman" w:hAnsi="Times New Roman"/>
                <w:b/>
                <w:sz w:val="20"/>
              </w:rPr>
              <w:t>Total</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590"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55,500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335"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548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485"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6,806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485"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7,239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590"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76,157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95"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146,250</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Note 12 — Receivables and Other Assets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assets comprising “Receivables and other assets” as of June 30, 2026 and December 31, 2025 are summarized in the following table (dollars in thousands):</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Receivables and Other Assets</w:t>
      </w:r>
    </w:p>
    <w:p>
      <w:pPr>
        <w:pStyle w:val="TextBody"/>
        <w:bidi w:val="0"/>
        <w:spacing w:before="0" w:after="0"/>
        <w:jc w:val="left"/>
        <w:rPr/>
      </w:pPr>
      <w:r>
        <w:rPr/>
      </w:r>
    </w:p>
    <w:tbl>
      <w:tblPr>
        <w:tblW w:w="4813" w:type="dxa"/>
        <w:jc w:val="left"/>
        <w:tblInd w:w="0" w:type="dxa"/>
        <w:tblLayout w:type="fixed"/>
        <w:tblCellMar>
          <w:top w:w="0" w:type="dxa"/>
          <w:left w:w="0" w:type="dxa"/>
          <w:bottom w:w="0" w:type="dxa"/>
          <w:right w:w="0" w:type="dxa"/>
        </w:tblCellMar>
      </w:tblPr>
      <w:tblGrid>
        <w:gridCol w:w="1730"/>
        <w:gridCol w:w="60"/>
        <w:gridCol w:w="208"/>
        <w:gridCol w:w="981"/>
        <w:gridCol w:w="60"/>
        <w:gridCol w:w="60"/>
        <w:gridCol w:w="284"/>
        <w:gridCol w:w="1355"/>
        <w:gridCol w:w="75"/>
      </w:tblGrid>
      <w:tr>
        <w:trPr/>
        <w:tc>
          <w:tcPr>
            <w:tcW w:w="1730" w:type="dxa"/>
            <w:tcBorders/>
            <w:vAlign w:val="bottom"/>
          </w:tcPr>
          <w:p>
            <w:pPr>
              <w:pStyle w:val="TableContents"/>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118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June 30, 2026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December 31, 2025</w:t>
            </w:r>
          </w:p>
        </w:tc>
        <w:tc>
          <w:tcPr>
            <w:tcW w:w="75" w:type="dxa"/>
            <w:tcBorders/>
            <w:vAlign w:val="bottom"/>
          </w:tcPr>
          <w:p>
            <w:pPr>
              <w:pStyle w:val="TableContents"/>
              <w:bidi w:val="0"/>
              <w:spacing w:before="0" w:after="283"/>
              <w:jc w:val="left"/>
              <w:rPr/>
            </w:pPr>
            <w:r>
              <w:rPr/>
              <w:t> </w:t>
            </w:r>
          </w:p>
        </w:tc>
      </w:tr>
      <w:tr>
        <w:trPr/>
        <w:tc>
          <w:tcPr>
            <w:tcW w:w="173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 xml:space="preserve">Servicing advances </w:t>
            </w:r>
          </w:p>
        </w:tc>
        <w:tc>
          <w:tcPr>
            <w:tcW w:w="60" w:type="dxa"/>
            <w:tcBorders/>
            <w:shd w:fill="CCEEFF" w:val="clear"/>
            <w:vAlign w:val="bottom"/>
          </w:tcPr>
          <w:p>
            <w:pPr>
              <w:pStyle w:val="TableContents"/>
              <w:bidi w:val="0"/>
              <w:spacing w:before="0" w:after="283"/>
              <w:jc w:val="right"/>
              <w:rPr/>
            </w:pPr>
            <w:r>
              <w:rPr/>
              <w:t> </w:t>
            </w:r>
          </w:p>
        </w:tc>
        <w:tc>
          <w:tcPr>
            <w:tcW w:w="20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81"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8,975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8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35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13,417</w:t>
            </w:r>
          </w:p>
        </w:tc>
        <w:tc>
          <w:tcPr>
            <w:tcW w:w="75" w:type="dxa"/>
            <w:tcBorders/>
            <w:shd w:fill="CCEEFF" w:val="clear"/>
            <w:vAlign w:val="bottom"/>
          </w:tcPr>
          <w:p>
            <w:pPr>
              <w:pStyle w:val="TableContents"/>
              <w:bidi w:val="0"/>
              <w:spacing w:before="0" w:after="283"/>
              <w:jc w:val="left"/>
              <w:rPr/>
            </w:pPr>
            <w:r>
              <w:rPr/>
              <w:t> </w:t>
            </w:r>
          </w:p>
        </w:tc>
      </w:tr>
      <w:tr>
        <w:trPr/>
        <w:tc>
          <w:tcPr>
            <w:tcW w:w="173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Interest receivable</w:t>
            </w:r>
          </w:p>
        </w:tc>
        <w:tc>
          <w:tcPr>
            <w:tcW w:w="60" w:type="dxa"/>
            <w:tcBorders/>
            <w:vAlign w:val="bottom"/>
          </w:tcPr>
          <w:p>
            <w:pPr>
              <w:pStyle w:val="TableContents"/>
              <w:bidi w:val="0"/>
              <w:spacing w:before="0" w:after="283"/>
              <w:jc w:val="right"/>
              <w:rPr/>
            </w:pPr>
            <w:r>
              <w:rPr/>
              <w:t> </w:t>
            </w:r>
          </w:p>
        </w:tc>
        <w:tc>
          <w:tcPr>
            <w:tcW w:w="208" w:type="dxa"/>
            <w:tcBorders/>
            <w:vAlign w:val="bottom"/>
          </w:tcPr>
          <w:p>
            <w:pPr>
              <w:pStyle w:val="TableContents"/>
              <w:bidi w:val="0"/>
              <w:spacing w:before="0" w:after="283"/>
              <w:jc w:val="left"/>
              <w:rPr/>
            </w:pPr>
            <w:r>
              <w:rPr/>
              <w:t> </w:t>
            </w:r>
          </w:p>
        </w:tc>
        <w:tc>
          <w:tcPr>
            <w:tcW w:w="981"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5,745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84" w:type="dxa"/>
            <w:tcBorders/>
            <w:vAlign w:val="bottom"/>
          </w:tcPr>
          <w:p>
            <w:pPr>
              <w:pStyle w:val="TableContents"/>
              <w:bidi w:val="0"/>
              <w:spacing w:before="0" w:after="283"/>
              <w:jc w:val="left"/>
              <w:rPr/>
            </w:pPr>
            <w:r>
              <w:rPr/>
              <w:t> </w:t>
            </w:r>
          </w:p>
        </w:tc>
        <w:tc>
          <w:tcPr>
            <w:tcW w:w="135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6,082</w:t>
            </w:r>
          </w:p>
        </w:tc>
        <w:tc>
          <w:tcPr>
            <w:tcW w:w="75" w:type="dxa"/>
            <w:tcBorders/>
            <w:vAlign w:val="bottom"/>
          </w:tcPr>
          <w:p>
            <w:pPr>
              <w:pStyle w:val="TableContents"/>
              <w:bidi w:val="0"/>
              <w:spacing w:before="0" w:after="283"/>
              <w:jc w:val="left"/>
              <w:rPr/>
            </w:pPr>
            <w:r>
              <w:rPr/>
              <w:t> </w:t>
            </w:r>
          </w:p>
        </w:tc>
      </w:tr>
      <w:tr>
        <w:trPr/>
        <w:tc>
          <w:tcPr>
            <w:tcW w:w="173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Deferred tax asset</w:t>
            </w:r>
          </w:p>
        </w:tc>
        <w:tc>
          <w:tcPr>
            <w:tcW w:w="60" w:type="dxa"/>
            <w:tcBorders/>
            <w:shd w:fill="CCEEFF" w:val="clear"/>
            <w:vAlign w:val="bottom"/>
          </w:tcPr>
          <w:p>
            <w:pPr>
              <w:pStyle w:val="TableContents"/>
              <w:bidi w:val="0"/>
              <w:spacing w:before="0" w:after="283"/>
              <w:jc w:val="right"/>
              <w:rPr/>
            </w:pPr>
            <w:r>
              <w:rPr/>
              <w:t> </w:t>
            </w:r>
          </w:p>
        </w:tc>
        <w:tc>
          <w:tcPr>
            <w:tcW w:w="208" w:type="dxa"/>
            <w:tcBorders/>
            <w:shd w:fill="CCEEFF" w:val="clear"/>
            <w:vAlign w:val="bottom"/>
          </w:tcPr>
          <w:p>
            <w:pPr>
              <w:pStyle w:val="TableContents"/>
              <w:bidi w:val="0"/>
              <w:spacing w:before="0" w:after="283"/>
              <w:jc w:val="left"/>
              <w:rPr/>
            </w:pPr>
            <w:r>
              <w:rPr/>
              <w:t> </w:t>
            </w:r>
          </w:p>
        </w:tc>
        <w:tc>
          <w:tcPr>
            <w:tcW w:w="981"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7,717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84" w:type="dxa"/>
            <w:tcBorders/>
            <w:shd w:fill="CCEEFF" w:val="clear"/>
            <w:vAlign w:val="bottom"/>
          </w:tcPr>
          <w:p>
            <w:pPr>
              <w:pStyle w:val="TableContents"/>
              <w:bidi w:val="0"/>
              <w:spacing w:before="0" w:after="283"/>
              <w:jc w:val="left"/>
              <w:rPr/>
            </w:pPr>
            <w:r>
              <w:rPr/>
              <w:t> </w:t>
            </w:r>
          </w:p>
        </w:tc>
        <w:tc>
          <w:tcPr>
            <w:tcW w:w="135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8,723</w:t>
            </w:r>
          </w:p>
        </w:tc>
        <w:tc>
          <w:tcPr>
            <w:tcW w:w="75" w:type="dxa"/>
            <w:tcBorders/>
            <w:shd w:fill="CCEEFF" w:val="clear"/>
            <w:vAlign w:val="bottom"/>
          </w:tcPr>
          <w:p>
            <w:pPr>
              <w:pStyle w:val="TableContents"/>
              <w:bidi w:val="0"/>
              <w:spacing w:before="0" w:after="283"/>
              <w:jc w:val="left"/>
              <w:rPr/>
            </w:pPr>
            <w:r>
              <w:rPr/>
              <w:t> </w:t>
            </w:r>
          </w:p>
        </w:tc>
      </w:tr>
      <w:tr>
        <w:trPr/>
        <w:tc>
          <w:tcPr>
            <w:tcW w:w="1730" w:type="dxa"/>
            <w:tcBorders/>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b w:val="false"/>
                <w:i w:val="false"/>
                <w:caps w:val="false"/>
                <w:smallCaps w:val="false"/>
                <w:color w:val="000000"/>
                <w:spacing w:val="0"/>
                <w:sz w:val="20"/>
                <w:shd w:fill="FFFFFF" w:val="clear"/>
              </w:rPr>
              <w:t>Other receivables</w:t>
            </w:r>
            <w:r>
              <w:rPr>
                <w:rFonts w:ascii="Times New Roman" w:hAnsi="Times New Roman"/>
                <w:spacing w:val="0"/>
                <w:sz w:val="20"/>
              </w:rPr>
              <w:t xml:space="preserve"> </w:t>
            </w:r>
            <w:r>
              <w:rPr>
                <w:rFonts w:ascii="Times New Roman" w:hAnsi="Times New Roman"/>
                <w:b w:val="false"/>
                <w:i w:val="false"/>
                <w:caps w:val="false"/>
                <w:smallCaps w:val="false"/>
                <w:spacing w:val="0"/>
                <w:position w:val="7"/>
                <w:sz w:val="16"/>
                <w:sz w:val="20"/>
              </w:rPr>
              <w:t>(A)</w:t>
            </w:r>
          </w:p>
        </w:tc>
        <w:tc>
          <w:tcPr>
            <w:tcW w:w="60" w:type="dxa"/>
            <w:tcBorders/>
            <w:vAlign w:val="bottom"/>
          </w:tcPr>
          <w:p>
            <w:pPr>
              <w:pStyle w:val="TableContents"/>
              <w:bidi w:val="0"/>
              <w:spacing w:before="0" w:after="283"/>
              <w:jc w:val="right"/>
              <w:rPr/>
            </w:pPr>
            <w:r>
              <w:rPr/>
              <w:t> </w:t>
            </w:r>
          </w:p>
        </w:tc>
        <w:tc>
          <w:tcPr>
            <w:tcW w:w="208" w:type="dxa"/>
            <w:tcBorders>
              <w:bottom w:val="single" w:sz="12" w:space="0" w:color="000000"/>
            </w:tcBorders>
            <w:tcMar>
              <w:bottom w:w="28" w:type="dxa"/>
            </w:tcMar>
            <w:vAlign w:val="bottom"/>
          </w:tcPr>
          <w:p>
            <w:pPr>
              <w:pStyle w:val="TableContents"/>
              <w:bidi w:val="0"/>
              <w:spacing w:before="0" w:after="283"/>
              <w:jc w:val="left"/>
              <w:rPr/>
            </w:pPr>
            <w:r>
              <w:rPr/>
              <w:t> </w:t>
            </w:r>
          </w:p>
        </w:tc>
        <w:tc>
          <w:tcPr>
            <w:tcW w:w="981"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5,082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84" w:type="dxa"/>
            <w:tcBorders>
              <w:bottom w:val="single" w:sz="12" w:space="0" w:color="000000"/>
            </w:tcBorders>
            <w:tcMar>
              <w:bottom w:w="28" w:type="dxa"/>
            </w:tcMar>
            <w:vAlign w:val="bottom"/>
          </w:tcPr>
          <w:p>
            <w:pPr>
              <w:pStyle w:val="TableContents"/>
              <w:bidi w:val="0"/>
              <w:spacing w:before="0" w:after="283"/>
              <w:jc w:val="left"/>
              <w:rPr/>
            </w:pPr>
            <w:r>
              <w:rPr/>
              <w:t> </w:t>
            </w:r>
          </w:p>
        </w:tc>
        <w:tc>
          <w:tcPr>
            <w:tcW w:w="135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6,426</w:t>
            </w:r>
          </w:p>
        </w:tc>
        <w:tc>
          <w:tcPr>
            <w:tcW w:w="75" w:type="dxa"/>
            <w:tcBorders/>
            <w:vAlign w:val="bottom"/>
          </w:tcPr>
          <w:p>
            <w:pPr>
              <w:pStyle w:val="TableContents"/>
              <w:bidi w:val="0"/>
              <w:spacing w:before="0" w:after="283"/>
              <w:jc w:val="left"/>
              <w:rPr/>
            </w:pPr>
            <w:r>
              <w:rPr/>
              <w:t> </w:t>
            </w:r>
          </w:p>
        </w:tc>
      </w:tr>
      <w:tr>
        <w:trPr/>
        <w:tc>
          <w:tcPr>
            <w:tcW w:w="173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other assets</w:t>
            </w:r>
          </w:p>
        </w:tc>
        <w:tc>
          <w:tcPr>
            <w:tcW w:w="60" w:type="dxa"/>
            <w:tcBorders/>
            <w:shd w:fill="CCEEFF" w:val="clear"/>
            <w:vAlign w:val="bottom"/>
          </w:tcPr>
          <w:p>
            <w:pPr>
              <w:pStyle w:val="TableContents"/>
              <w:bidi w:val="0"/>
              <w:spacing w:before="0" w:after="283"/>
              <w:jc w:val="right"/>
              <w:rPr/>
            </w:pPr>
            <w:r>
              <w:rPr/>
              <w:t> </w:t>
            </w:r>
          </w:p>
        </w:tc>
        <w:tc>
          <w:tcPr>
            <w:tcW w:w="208"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981"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27,519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84"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1355"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34,648</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r>
    </w:p>
    <w:tbl>
      <w:tblPr>
        <w:tblW w:w="10205" w:type="dxa"/>
        <w:jc w:val="left"/>
        <w:tblInd w:w="0" w:type="dxa"/>
        <w:tblLayout w:type="fixed"/>
        <w:tblCellMar>
          <w:top w:w="0" w:type="dxa"/>
          <w:left w:w="0" w:type="dxa"/>
          <w:bottom w:w="0" w:type="dxa"/>
          <w:right w:w="0" w:type="dxa"/>
        </w:tblCellMar>
      </w:tblPr>
      <w:tblGrid>
        <w:gridCol w:w="234"/>
        <w:gridCol w:w="9971"/>
      </w:tblGrid>
      <w:tr>
        <w:trPr/>
        <w:tc>
          <w:tcPr>
            <w:tcW w:w="234"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(A)</w:t>
            </w:r>
          </w:p>
        </w:tc>
        <w:tc>
          <w:tcPr>
            <w:tcW w:w="9971"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b w:val="false"/>
                <w:i w:val="false"/>
                <w:caps w:val="false"/>
                <w:smallCaps w:val="false"/>
                <w:color w:val="000000"/>
                <w:sz w:val="20"/>
                <w:shd w:fill="FFFFFF" w:val="clear"/>
              </w:rPr>
              <w:t xml:space="preserve">Includes a promissory note receivable with a principal amount of $3.2 million as of June 30, 2026 and December 31, 2025, respectively. The note bears interest at a fixed rate of 8.0% per annum, as well as an additional percentage of distributable cash, with interest payments due quarterly and the principal due at maturity on May 22, 2030. </w:t>
            </w:r>
            <w:r>
              <w:rPr>
                <w:rFonts w:ascii="Times New Roman" w:hAnsi="Times New Roman"/>
                <w:b w:val="false"/>
                <w:i w:val="false"/>
                <w:caps w:val="false"/>
                <w:smallCaps w:val="false"/>
                <w:color w:val="000000"/>
                <w:spacing w:val="0"/>
                <w:sz w:val="20"/>
                <w:shd w:fill="FFFFFF" w:val="clear"/>
              </w:rPr>
              <w:t>The note is classified as held-for-investment and measured at amortized cost. The Company evaluates the credit quality of the note on a regular basis and records an allowance for credit losses when warranted based on management’s assessment of collectability. As of June 30, 2026, the Company recorded an allowance for credit losses of $2.3 million related to the note receivable. The allowance for credit losses is included within credit loss and impairment on other assets in the accompanying consolidated statements of operations.</w:t>
            </w:r>
            <w:r>
              <w:rPr>
                <w:rFonts w:ascii="Times New Roman" w:hAnsi="Times New Roman"/>
                <w:caps w:val="false"/>
                <w:smallCaps w:val="false"/>
                <w:color w:val="000000"/>
                <w:spacing w:val="0"/>
                <w:sz w:val="20"/>
                <w:shd w:fill="FFFFFF" w:val="clear"/>
              </w:rPr>
              <w:t xml:space="preserve"> </w:t>
            </w:r>
            <w:r>
              <w:rPr>
                <w:rFonts w:ascii="Times New Roman" w:hAnsi="Times New Roman"/>
                <w:b w:val="false"/>
                <w:i w:val="false"/>
                <w:caps w:val="false"/>
                <w:smallCaps w:val="false"/>
                <w:color w:val="000000"/>
                <w:spacing w:val="0"/>
                <w:sz w:val="20"/>
                <w:shd w:fill="FFFFFF" w:val="clear"/>
              </w:rPr>
              <w:t>After consideration of the allowance for credit losses, the note had a net carrying value of approximately $0.9 million as of June 30, 2026. The note receivable is classified as a “Level 3” fair value item due to the Company’s reliance on unobservable inputs to estimate its fair value. Because of the significant judgment involved in estimating recoverability and fair value, the estimated fair value may differ from the carrying value. As of June 30, 2026, management believes the recorded allowance appropriately reflects the current expected credit losses associated with the note</w:t>
            </w:r>
            <w:r>
              <w:rPr>
                <w:rFonts w:ascii="Times New Roman" w:hAnsi="Times New Roman"/>
                <w:b w:val="false"/>
                <w:i w:val="false"/>
                <w:caps w:val="false"/>
                <w:smallCaps w:val="false"/>
                <w:color w:val="000000"/>
                <w:sz w:val="20"/>
                <w:shd w:fill="FFFFFF" w:val="clear"/>
              </w:rPr>
              <w:t>.</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45</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Note 13 — Accrued Expenses and Other Liabilities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liabilities comprising “Accrued expenses and other liabilities” as of June 30, 2026 and December 31, 2025 are summarized in the following table (dollars in thousands):</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Accrued Expenses and Other Liabilities</w:t>
      </w:r>
    </w:p>
    <w:p>
      <w:pPr>
        <w:pStyle w:val="TextBody"/>
        <w:bidi w:val="0"/>
        <w:spacing w:before="0" w:after="0"/>
        <w:jc w:val="left"/>
        <w:rPr/>
      </w:pPr>
      <w:r>
        <w:rPr/>
      </w:r>
    </w:p>
    <w:tbl>
      <w:tblPr>
        <w:tblW w:w="7169" w:type="dxa"/>
        <w:jc w:val="left"/>
        <w:tblInd w:w="0" w:type="dxa"/>
        <w:tblLayout w:type="fixed"/>
        <w:tblCellMar>
          <w:top w:w="0" w:type="dxa"/>
          <w:left w:w="0" w:type="dxa"/>
          <w:bottom w:w="0" w:type="dxa"/>
          <w:right w:w="0" w:type="dxa"/>
        </w:tblCellMar>
      </w:tblPr>
      <w:tblGrid>
        <w:gridCol w:w="4085"/>
        <w:gridCol w:w="60"/>
        <w:gridCol w:w="238"/>
        <w:gridCol w:w="952"/>
        <w:gridCol w:w="60"/>
        <w:gridCol w:w="60"/>
        <w:gridCol w:w="313"/>
        <w:gridCol w:w="1326"/>
        <w:gridCol w:w="75"/>
      </w:tblGrid>
      <w:tr>
        <w:trPr/>
        <w:tc>
          <w:tcPr>
            <w:tcW w:w="4085" w:type="dxa"/>
            <w:tcBorders/>
            <w:vAlign w:val="bottom"/>
          </w:tcPr>
          <w:p>
            <w:pPr>
              <w:pStyle w:val="TableContents"/>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119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June 30, 2026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December 31, 2025</w:t>
            </w:r>
          </w:p>
        </w:tc>
        <w:tc>
          <w:tcPr>
            <w:tcW w:w="75" w:type="dxa"/>
            <w:tcBorders/>
            <w:vAlign w:val="bottom"/>
          </w:tcPr>
          <w:p>
            <w:pPr>
              <w:pStyle w:val="TableContents"/>
              <w:bidi w:val="0"/>
              <w:spacing w:before="0" w:after="283"/>
              <w:jc w:val="left"/>
              <w:rPr/>
            </w:pPr>
            <w:r>
              <w:rPr/>
              <w:t> </w:t>
            </w:r>
          </w:p>
        </w:tc>
      </w:tr>
      <w:tr>
        <w:trPr/>
        <w:tc>
          <w:tcPr>
            <w:tcW w:w="4085" w:type="dxa"/>
            <w:tcBorders/>
            <w:shd w:fill="CCEEFF" w:val="clear"/>
            <w:vAlign w:val="bottom"/>
          </w:tcPr>
          <w:p>
            <w:pPr>
              <w:pStyle w:val="TableContents"/>
              <w:bidi w:val="0"/>
              <w:spacing w:before="0" w:after="283"/>
              <w:jc w:val="left"/>
              <w:rPr/>
            </w:pPr>
            <w:r>
              <w:rPr/>
              <w:t>Accrued interest on repurchase agreements</w:t>
            </w:r>
          </w:p>
        </w:tc>
        <w:tc>
          <w:tcPr>
            <w:tcW w:w="60" w:type="dxa"/>
            <w:tcBorders/>
            <w:shd w:fill="CCEEFF" w:val="clear"/>
            <w:vAlign w:val="bottom"/>
          </w:tcPr>
          <w:p>
            <w:pPr>
              <w:pStyle w:val="TableContents"/>
              <w:bidi w:val="0"/>
              <w:spacing w:before="0" w:after="283"/>
              <w:jc w:val="right"/>
              <w:rPr/>
            </w:pPr>
            <w:r>
              <w:rPr/>
              <w:t> </w:t>
            </w:r>
          </w:p>
        </w:tc>
        <w:tc>
          <w:tcPr>
            <w:tcW w:w="238" w:type="dxa"/>
            <w:tcBorders/>
            <w:shd w:fill="CCEEFF" w:val="clear"/>
            <w:vAlign w:val="bottom"/>
          </w:tcPr>
          <w:p>
            <w:pPr>
              <w:pStyle w:val="TableContents"/>
              <w:bidi w:val="0"/>
              <w:spacing w:before="0" w:after="283"/>
              <w:jc w:val="left"/>
              <w:rPr/>
            </w:pPr>
            <w:r>
              <w:rPr/>
              <w:t>$</w:t>
            </w:r>
          </w:p>
        </w:tc>
        <w:tc>
          <w:tcPr>
            <w:tcW w:w="952" w:type="dxa"/>
            <w:tcBorders/>
            <w:shd w:fill="CCEEFF" w:val="clear"/>
            <w:vAlign w:val="bottom"/>
          </w:tcPr>
          <w:p>
            <w:pPr>
              <w:pStyle w:val="TableContents"/>
              <w:bidi w:val="0"/>
              <w:spacing w:before="0" w:after="283"/>
              <w:jc w:val="right"/>
              <w:rPr/>
            </w:pPr>
            <w:r>
              <w:rPr/>
              <w:t>1,591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13" w:type="dxa"/>
            <w:tcBorders/>
            <w:shd w:fill="CCEEFF" w:val="clear"/>
            <w:vAlign w:val="bottom"/>
          </w:tcPr>
          <w:p>
            <w:pPr>
              <w:pStyle w:val="TableContents"/>
              <w:bidi w:val="0"/>
              <w:spacing w:before="0" w:after="283"/>
              <w:jc w:val="left"/>
              <w:rPr/>
            </w:pPr>
            <w:r>
              <w:rPr/>
              <w:t>$</w:t>
            </w:r>
          </w:p>
        </w:tc>
        <w:tc>
          <w:tcPr>
            <w:tcW w:w="1326" w:type="dxa"/>
            <w:tcBorders/>
            <w:shd w:fill="CCEEFF" w:val="clear"/>
            <w:vAlign w:val="bottom"/>
          </w:tcPr>
          <w:p>
            <w:pPr>
              <w:pStyle w:val="TableContents"/>
              <w:bidi w:val="0"/>
              <w:spacing w:before="0" w:after="283"/>
              <w:jc w:val="right"/>
              <w:rPr/>
            </w:pPr>
            <w:r>
              <w:rPr/>
              <w:t>3,526</w:t>
            </w:r>
          </w:p>
        </w:tc>
        <w:tc>
          <w:tcPr>
            <w:tcW w:w="75" w:type="dxa"/>
            <w:tcBorders/>
            <w:shd w:fill="CCEEFF" w:val="clear"/>
            <w:vAlign w:val="bottom"/>
          </w:tcPr>
          <w:p>
            <w:pPr>
              <w:pStyle w:val="TableContents"/>
              <w:bidi w:val="0"/>
              <w:spacing w:before="0" w:after="283"/>
              <w:jc w:val="left"/>
              <w:rPr/>
            </w:pPr>
            <w:r>
              <w:rPr/>
              <w:t> </w:t>
            </w:r>
          </w:p>
        </w:tc>
      </w:tr>
      <w:tr>
        <w:trPr/>
        <w:tc>
          <w:tcPr>
            <w:tcW w:w="40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Accrued interest on notes payable</w:t>
            </w:r>
          </w:p>
        </w:tc>
        <w:tc>
          <w:tcPr>
            <w:tcW w:w="60" w:type="dxa"/>
            <w:tcBorders/>
            <w:vAlign w:val="bottom"/>
          </w:tcPr>
          <w:p>
            <w:pPr>
              <w:pStyle w:val="TableContents"/>
              <w:bidi w:val="0"/>
              <w:spacing w:before="0" w:after="283"/>
              <w:jc w:val="right"/>
              <w:rPr/>
            </w:pPr>
            <w:r>
              <w:rPr/>
              <w:t> </w:t>
            </w:r>
          </w:p>
        </w:tc>
        <w:tc>
          <w:tcPr>
            <w:tcW w:w="238" w:type="dxa"/>
            <w:tcBorders/>
            <w:vAlign w:val="bottom"/>
          </w:tcPr>
          <w:p>
            <w:pPr>
              <w:pStyle w:val="TableContents"/>
              <w:bidi w:val="0"/>
              <w:spacing w:before="0" w:after="283"/>
              <w:jc w:val="left"/>
              <w:rPr/>
            </w:pPr>
            <w:r>
              <w:rPr/>
              <w:t> </w:t>
            </w:r>
          </w:p>
        </w:tc>
        <w:tc>
          <w:tcPr>
            <w:tcW w:w="95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1,345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13" w:type="dxa"/>
            <w:tcBorders/>
            <w:vAlign w:val="bottom"/>
          </w:tcPr>
          <w:p>
            <w:pPr>
              <w:pStyle w:val="TableContents"/>
              <w:bidi w:val="0"/>
              <w:spacing w:before="0" w:after="283"/>
              <w:jc w:val="left"/>
              <w:rPr/>
            </w:pPr>
            <w:r>
              <w:rPr/>
              <w:t> </w:t>
            </w:r>
          </w:p>
        </w:tc>
        <w:tc>
          <w:tcPr>
            <w:tcW w:w="1326"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1,489</w:t>
            </w:r>
          </w:p>
        </w:tc>
        <w:tc>
          <w:tcPr>
            <w:tcW w:w="75" w:type="dxa"/>
            <w:tcBorders/>
            <w:vAlign w:val="bottom"/>
          </w:tcPr>
          <w:p>
            <w:pPr>
              <w:pStyle w:val="TableContents"/>
              <w:bidi w:val="0"/>
              <w:spacing w:before="0" w:after="283"/>
              <w:jc w:val="left"/>
              <w:rPr/>
            </w:pPr>
            <w:r>
              <w:rPr/>
              <w:t> </w:t>
            </w:r>
          </w:p>
        </w:tc>
      </w:tr>
      <w:tr>
        <w:trPr/>
        <w:tc>
          <w:tcPr>
            <w:tcW w:w="408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Accrued expenses</w:t>
            </w:r>
          </w:p>
        </w:tc>
        <w:tc>
          <w:tcPr>
            <w:tcW w:w="60" w:type="dxa"/>
            <w:tcBorders/>
            <w:shd w:fill="CCEEFF" w:val="clear"/>
            <w:vAlign w:val="bottom"/>
          </w:tcPr>
          <w:p>
            <w:pPr>
              <w:pStyle w:val="TableContents"/>
              <w:bidi w:val="0"/>
              <w:spacing w:before="0" w:after="283"/>
              <w:jc w:val="right"/>
              <w:rPr/>
            </w:pPr>
            <w:r>
              <w:rPr/>
              <w:t> </w:t>
            </w:r>
          </w:p>
        </w:tc>
        <w:tc>
          <w:tcPr>
            <w:tcW w:w="238" w:type="dxa"/>
            <w:tcBorders/>
            <w:shd w:fill="CCEEFF" w:val="clear"/>
            <w:vAlign w:val="bottom"/>
          </w:tcPr>
          <w:p>
            <w:pPr>
              <w:pStyle w:val="TableContents"/>
              <w:bidi w:val="0"/>
              <w:spacing w:before="0" w:after="283"/>
              <w:jc w:val="left"/>
              <w:rPr/>
            </w:pPr>
            <w:r>
              <w:rPr/>
              <w:t> </w:t>
            </w:r>
          </w:p>
        </w:tc>
        <w:tc>
          <w:tcPr>
            <w:tcW w:w="95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2,119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13" w:type="dxa"/>
            <w:tcBorders/>
            <w:shd w:fill="CCEEFF" w:val="clear"/>
            <w:vAlign w:val="bottom"/>
          </w:tcPr>
          <w:p>
            <w:pPr>
              <w:pStyle w:val="TableContents"/>
              <w:bidi w:val="0"/>
              <w:spacing w:before="0" w:after="283"/>
              <w:jc w:val="left"/>
              <w:rPr/>
            </w:pPr>
            <w:r>
              <w:rPr/>
              <w:t> </w:t>
            </w:r>
          </w:p>
        </w:tc>
        <w:tc>
          <w:tcPr>
            <w:tcW w:w="132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2,097</w:t>
            </w:r>
          </w:p>
        </w:tc>
        <w:tc>
          <w:tcPr>
            <w:tcW w:w="75" w:type="dxa"/>
            <w:tcBorders/>
            <w:shd w:fill="CCEEFF" w:val="clear"/>
            <w:vAlign w:val="bottom"/>
          </w:tcPr>
          <w:p>
            <w:pPr>
              <w:pStyle w:val="TableContents"/>
              <w:bidi w:val="0"/>
              <w:spacing w:before="0" w:after="283"/>
              <w:jc w:val="left"/>
              <w:rPr/>
            </w:pPr>
            <w:r>
              <w:rPr/>
              <w:t> </w:t>
            </w:r>
          </w:p>
        </w:tc>
      </w:tr>
      <w:tr>
        <w:trPr/>
        <w:tc>
          <w:tcPr>
            <w:tcW w:w="4085" w:type="dxa"/>
            <w:tcBorders/>
            <w:vAlign w:val="bottom"/>
          </w:tcPr>
          <w:p>
            <w:pPr>
              <w:pStyle w:val="TableContents"/>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Due to counterparties </w:t>
            </w:r>
            <w:r>
              <w:rPr>
                <w:rFonts w:ascii="Times New Roman" w:hAnsi="Times New Roman"/>
                <w:b w:val="false"/>
                <w:i w:val="false"/>
                <w:caps w:val="false"/>
                <w:smallCaps w:val="false"/>
                <w:color w:val="000000"/>
                <w:spacing w:val="0"/>
                <w:position w:val="7"/>
                <w:sz w:val="16"/>
                <w:sz w:val="20"/>
              </w:rPr>
              <w:t>(A)</w:t>
            </w:r>
          </w:p>
        </w:tc>
        <w:tc>
          <w:tcPr>
            <w:tcW w:w="60" w:type="dxa"/>
            <w:tcBorders/>
            <w:vAlign w:val="bottom"/>
          </w:tcPr>
          <w:p>
            <w:pPr>
              <w:pStyle w:val="TableContents"/>
              <w:bidi w:val="0"/>
              <w:spacing w:before="0" w:after="283"/>
              <w:jc w:val="right"/>
              <w:rPr/>
            </w:pPr>
            <w:r>
              <w:rPr/>
              <w:t> </w:t>
            </w:r>
          </w:p>
        </w:tc>
        <w:tc>
          <w:tcPr>
            <w:tcW w:w="238" w:type="dxa"/>
            <w:tcBorders>
              <w:bottom w:val="single" w:sz="12" w:space="0" w:color="000000"/>
            </w:tcBorders>
            <w:tcMar>
              <w:bottom w:w="28" w:type="dxa"/>
            </w:tcMar>
            <w:vAlign w:val="bottom"/>
          </w:tcPr>
          <w:p>
            <w:pPr>
              <w:pStyle w:val="TableContents"/>
              <w:bidi w:val="0"/>
              <w:spacing w:before="0" w:after="283"/>
              <w:jc w:val="left"/>
              <w:rPr/>
            </w:pPr>
            <w:r>
              <w:rPr/>
              <w:t> </w:t>
            </w:r>
          </w:p>
        </w:tc>
        <w:tc>
          <w:tcPr>
            <w:tcW w:w="952" w:type="dxa"/>
            <w:tcBorders>
              <w:bottom w:val="single" w:sz="12" w:space="0" w:color="000000"/>
            </w:tcBorders>
            <w:tcMar>
              <w:bottom w:w="28" w:type="dxa"/>
            </w:tcMar>
            <w:vAlign w:val="bottom"/>
          </w:tcPr>
          <w:p>
            <w:pPr>
              <w:pStyle w:val="TableContents"/>
              <w:bidi w:val="0"/>
              <w:spacing w:before="0" w:after="283"/>
              <w:jc w:val="right"/>
              <w:rPr/>
            </w:pPr>
            <w:r>
              <w:rPr/>
              <w:t>4,530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13" w:type="dxa"/>
            <w:tcBorders>
              <w:bottom w:val="single" w:sz="12" w:space="0" w:color="000000"/>
            </w:tcBorders>
            <w:tcMar>
              <w:bottom w:w="28" w:type="dxa"/>
            </w:tcMar>
            <w:vAlign w:val="bottom"/>
          </w:tcPr>
          <w:p>
            <w:pPr>
              <w:pStyle w:val="TableContents"/>
              <w:bidi w:val="0"/>
              <w:spacing w:before="0" w:after="283"/>
              <w:jc w:val="left"/>
              <w:rPr/>
            </w:pPr>
            <w:r>
              <w:rPr/>
              <w:t> </w:t>
            </w:r>
          </w:p>
        </w:tc>
        <w:tc>
          <w:tcPr>
            <w:tcW w:w="1326" w:type="dxa"/>
            <w:tcBorders>
              <w:bottom w:val="single" w:sz="12" w:space="0" w:color="000000"/>
            </w:tcBorders>
            <w:tcMar>
              <w:bottom w:w="28" w:type="dxa"/>
            </w:tcMar>
            <w:vAlign w:val="bottom"/>
          </w:tcPr>
          <w:p>
            <w:pPr>
              <w:pStyle w:val="TableContents"/>
              <w:bidi w:val="0"/>
              <w:spacing w:before="0" w:after="283"/>
              <w:jc w:val="right"/>
              <w:rPr/>
            </w:pPr>
            <w:r>
              <w:rPr/>
              <w:t>4,327</w:t>
            </w:r>
          </w:p>
        </w:tc>
        <w:tc>
          <w:tcPr>
            <w:tcW w:w="75" w:type="dxa"/>
            <w:tcBorders/>
            <w:vAlign w:val="bottom"/>
          </w:tcPr>
          <w:p>
            <w:pPr>
              <w:pStyle w:val="TableContents"/>
              <w:bidi w:val="0"/>
              <w:spacing w:before="0" w:after="283"/>
              <w:jc w:val="left"/>
              <w:rPr/>
            </w:pPr>
            <w:r>
              <w:rPr/>
              <w:t> </w:t>
            </w:r>
          </w:p>
        </w:tc>
      </w:tr>
      <w:tr>
        <w:trPr/>
        <w:tc>
          <w:tcPr>
            <w:tcW w:w="408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accrued expenses and other liabilities</w:t>
            </w:r>
          </w:p>
        </w:tc>
        <w:tc>
          <w:tcPr>
            <w:tcW w:w="60" w:type="dxa"/>
            <w:tcBorders/>
            <w:shd w:fill="CCEEFF" w:val="clear"/>
            <w:vAlign w:val="bottom"/>
          </w:tcPr>
          <w:p>
            <w:pPr>
              <w:pStyle w:val="TableContents"/>
              <w:bidi w:val="0"/>
              <w:spacing w:before="0" w:after="283"/>
              <w:jc w:val="right"/>
              <w:rPr/>
            </w:pPr>
            <w:r>
              <w:rPr/>
              <w:t> </w:t>
            </w:r>
          </w:p>
        </w:tc>
        <w:tc>
          <w:tcPr>
            <w:tcW w:w="238"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952"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9,585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13"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1326"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11,439</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288"/>
        <w:gridCol w:w="9917"/>
      </w:tblGrid>
      <w:tr>
        <w:trPr/>
        <w:tc>
          <w:tcPr>
            <w:tcW w:w="288"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(A)</w:t>
            </w:r>
          </w:p>
        </w:tc>
        <w:tc>
          <w:tcPr>
            <w:tcW w:w="9917"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b w:val="false"/>
                <w:i w:val="false"/>
                <w:caps w:val="false"/>
                <w:smallCaps w:val="false"/>
                <w:color w:val="000000"/>
                <w:spacing w:val="0"/>
                <w:sz w:val="20"/>
                <w:shd w:fill="FFFFFF" w:val="clear"/>
              </w:rPr>
              <w:t>Includes collateral for the Company’s borrowings that represents a payable to the counterparties as of the balance sheet date</w:t>
            </w:r>
            <w:r>
              <w:rPr>
                <w:rFonts w:ascii="Times New Roman" w:hAnsi="Times New Roman"/>
                <w:sz w:val="20"/>
              </w:rPr>
              <w:t>.</w:t>
            </w:r>
          </w:p>
        </w:tc>
      </w:tr>
    </w:tbl>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Note 14 — Income Taxes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Company elected to be taxed as a REIT under Code Sections 856 through 860 beginning with its short taxable year ended December 31, 2013. As a REIT, the Company generally will not be subject to U.S. federal income tax to the extent that it distributes its taxable income to its stockholders. To maintain qualification as a REIT, the Company must distribute at least 90% of its annual REIT taxable income to its stockholders and meet certain other requirements such as assets it may hold, income it may generate and its stockholder composition. It is the Company’s policy to distribute all or substantially all of its REIT taxable income. To the extent there is any undistributed REIT taxable income at the end of a year, the Company can elect to distribute such shortfall within the next year as permitted by the Code.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Effective January 1, 2014, CHMI Solutions elected to be taxed as a corporation for U.S. federal income tax purposes; prior to this date, CHMI Solutions was a disregarded entity for U.S. federal income tax purposes. CHMI Solutions has jointly elected with the Company, the ultimate beneficial owner of CHMI Sub-REIT, to be treated as a TRS of the Company, and all activities conducted through CHMI Solutions and its wholly-owned subsidiary, Aurora, are subject to federal and state income taxes. CHMI Solutions files a consolidated tax return with Aurora and is fully taxed as a U.S. C-Corporation.</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The state and local tax jurisdictions for which the Company is subject to tax filing obligations recognize the Company’s status as a REIT, and therefore, the Company generally does not pay income tax in such jurisdictions. CHMI Solutions and Aurora are subject to U.S. federal, state and local income taxes. All of the Company’s pre-tax book income is from U.S. domestic sources.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46</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components of the Company’s income tax expense (benefit) are as follows for the periods indicated below (dollars in thousands):</w:t>
      </w:r>
    </w:p>
    <w:p>
      <w:pPr>
        <w:pStyle w:val="TextBody"/>
        <w:bidi w:val="0"/>
        <w:spacing w:before="0" w:after="0"/>
        <w:jc w:val="left"/>
        <w:rPr>
          <w:rFonts w:ascii="Times New Roman" w:hAnsi="Times New Roman"/>
          <w:sz w:val="20"/>
        </w:rPr>
      </w:pPr>
      <w:r>
        <w:rPr>
          <w:rFonts w:ascii="Times New Roman" w:hAnsi="Times New Roman"/>
          <w:sz w:val="20"/>
        </w:rPr>
      </w:r>
    </w:p>
    <w:tbl>
      <w:tblPr>
        <w:tblW w:w="8498" w:type="dxa"/>
        <w:jc w:val="left"/>
        <w:tblInd w:w="0" w:type="dxa"/>
        <w:tblLayout w:type="fixed"/>
        <w:tblCellMar>
          <w:top w:w="0" w:type="dxa"/>
          <w:left w:w="0" w:type="dxa"/>
          <w:bottom w:w="0" w:type="dxa"/>
          <w:right w:w="0" w:type="dxa"/>
        </w:tblCellMar>
      </w:tblPr>
      <w:tblGrid>
        <w:gridCol w:w="3410"/>
        <w:gridCol w:w="60"/>
        <w:gridCol w:w="292"/>
        <w:gridCol w:w="538"/>
        <w:gridCol w:w="140"/>
        <w:gridCol w:w="140"/>
        <w:gridCol w:w="292"/>
        <w:gridCol w:w="1135"/>
        <w:gridCol w:w="60"/>
        <w:gridCol w:w="60"/>
        <w:gridCol w:w="214"/>
        <w:gridCol w:w="832"/>
        <w:gridCol w:w="102"/>
        <w:gridCol w:w="102"/>
        <w:gridCol w:w="214"/>
        <w:gridCol w:w="832"/>
        <w:gridCol w:w="75"/>
      </w:tblGrid>
      <w:tr>
        <w:trPr/>
        <w:tc>
          <w:tcPr>
            <w:tcW w:w="34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37"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Three Months Ended June 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96"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Six Months Ended June 30,</w:t>
            </w:r>
          </w:p>
        </w:tc>
        <w:tc>
          <w:tcPr>
            <w:tcW w:w="75" w:type="dxa"/>
            <w:tcBorders/>
            <w:vAlign w:val="bottom"/>
          </w:tcPr>
          <w:p>
            <w:pPr>
              <w:pStyle w:val="TableContents"/>
              <w:bidi w:val="0"/>
              <w:spacing w:before="0" w:after="283"/>
              <w:jc w:val="left"/>
              <w:rPr/>
            </w:pPr>
            <w:r>
              <w:rPr/>
              <w:t> </w:t>
            </w:r>
          </w:p>
        </w:tc>
      </w:tr>
      <w:tr>
        <w:trPr/>
        <w:tc>
          <w:tcPr>
            <w:tcW w:w="3410" w:type="dxa"/>
            <w:tcBorders/>
            <w:vAlign w:val="bottom"/>
          </w:tcPr>
          <w:p>
            <w:pPr>
              <w:pStyle w:val="TableContents"/>
              <w:bidi w:val="0"/>
              <w:spacing w:before="0" w:after="0"/>
              <w:jc w:val="center"/>
              <w:rPr>
                <w:color w:val="008000"/>
              </w:rPr>
            </w:pPr>
            <w:r>
              <w:rPr>
                <w:color w:val="008000"/>
              </w:rPr>
              <w:t> </w:t>
            </w:r>
          </w:p>
        </w:tc>
        <w:tc>
          <w:tcPr>
            <w:tcW w:w="60" w:type="dxa"/>
            <w:tcBorders/>
            <w:vAlign w:val="bottom"/>
          </w:tcPr>
          <w:p>
            <w:pPr>
              <w:pStyle w:val="TableContents"/>
              <w:bidi w:val="0"/>
              <w:spacing w:before="0" w:after="283"/>
              <w:jc w:val="center"/>
              <w:rPr/>
            </w:pPr>
            <w:r>
              <w:rPr/>
              <w:t> </w:t>
            </w:r>
          </w:p>
        </w:tc>
        <w:tc>
          <w:tcPr>
            <w:tcW w:w="830" w:type="dxa"/>
            <w:gridSpan w:val="2"/>
            <w:tcBorders>
              <w:bottom w:val="single" w:sz="12" w:space="0" w:color="000000"/>
            </w:tcBorders>
            <w:tcMar>
              <w:bottom w:w="28" w:type="dxa"/>
            </w:tcMar>
            <w:vAlign w:val="bottom"/>
          </w:tcPr>
          <w:p>
            <w:pPr>
              <w:pStyle w:val="TableContents"/>
              <w:bidi w:val="0"/>
              <w:spacing w:before="0" w:after="283"/>
              <w:jc w:val="center"/>
              <w:rPr>
                <w:rFonts w:ascii="Times New Roman" w:hAnsi="Times New Roman"/>
                <w:b/>
                <w:sz w:val="20"/>
              </w:rPr>
            </w:pPr>
            <w:r>
              <w:rPr>
                <w:rFonts w:ascii="Times New Roman" w:hAnsi="Times New Roman"/>
                <w:b/>
                <w:sz w:val="20"/>
              </w:rPr>
              <w:t>2026</w:t>
            </w:r>
          </w:p>
        </w:tc>
        <w:tc>
          <w:tcPr>
            <w:tcW w:w="1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center"/>
              <w:rPr/>
            </w:pPr>
            <w:r>
              <w:rPr/>
              <w:t> </w:t>
            </w:r>
          </w:p>
        </w:tc>
        <w:tc>
          <w:tcPr>
            <w:tcW w:w="1427" w:type="dxa"/>
            <w:gridSpan w:val="2"/>
            <w:tcBorders>
              <w:bottom w:val="single" w:sz="12" w:space="0" w:color="000000"/>
            </w:tcBorders>
            <w:tcMar>
              <w:bottom w:w="28" w:type="dxa"/>
            </w:tcMar>
            <w:vAlign w:val="bottom"/>
          </w:tcPr>
          <w:p>
            <w:pPr>
              <w:pStyle w:val="TableContents"/>
              <w:bidi w:val="0"/>
              <w:spacing w:before="0" w:after="283"/>
              <w:jc w:val="center"/>
              <w:rPr>
                <w:rFonts w:ascii="Times New Roman" w:hAnsi="Times New Roman"/>
                <w:b/>
                <w:sz w:val="20"/>
              </w:rPr>
            </w:pPr>
            <w:r>
              <w:rPr>
                <w:rFonts w:ascii="Times New Roman" w:hAnsi="Times New Roman"/>
                <w:b/>
                <w:sz w:val="20"/>
              </w:rPr>
              <w:t>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1046" w:type="dxa"/>
            <w:gridSpan w:val="2"/>
            <w:tcBorders>
              <w:bottom w:val="single" w:sz="12" w:space="0" w:color="000000"/>
            </w:tcBorders>
            <w:tcMar>
              <w:bottom w:w="28" w:type="dxa"/>
            </w:tcMar>
            <w:vAlign w:val="bottom"/>
          </w:tcPr>
          <w:p>
            <w:pPr>
              <w:pStyle w:val="TableContents"/>
              <w:bidi w:val="0"/>
              <w:spacing w:before="0" w:after="283"/>
              <w:jc w:val="center"/>
              <w:rPr>
                <w:rFonts w:ascii="Times New Roman" w:hAnsi="Times New Roman"/>
                <w:b/>
                <w:sz w:val="20"/>
              </w:rPr>
            </w:pPr>
            <w:r>
              <w:rPr>
                <w:rFonts w:ascii="Times New Roman" w:hAnsi="Times New Roman"/>
                <w:b/>
                <w:sz w:val="20"/>
              </w:rPr>
              <w:t>2026</w:t>
            </w:r>
          </w:p>
        </w:tc>
        <w:tc>
          <w:tcPr>
            <w:tcW w:w="102"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center"/>
              <w:rPr/>
            </w:pPr>
            <w:r>
              <w:rPr/>
              <w:t> </w:t>
            </w:r>
          </w:p>
        </w:tc>
        <w:tc>
          <w:tcPr>
            <w:tcW w:w="1046" w:type="dxa"/>
            <w:gridSpan w:val="2"/>
            <w:tcBorders>
              <w:bottom w:val="single" w:sz="12" w:space="0" w:color="000000"/>
            </w:tcBorders>
            <w:tcMar>
              <w:bottom w:w="28" w:type="dxa"/>
            </w:tcMar>
            <w:vAlign w:val="bottom"/>
          </w:tcPr>
          <w:p>
            <w:pPr>
              <w:pStyle w:val="TableContents"/>
              <w:bidi w:val="0"/>
              <w:spacing w:before="0" w:after="283"/>
              <w:jc w:val="center"/>
              <w:rPr>
                <w:rFonts w:ascii="Times New Roman" w:hAnsi="Times New Roman"/>
                <w:b/>
                <w:sz w:val="20"/>
              </w:rPr>
            </w:pPr>
            <w:r>
              <w:rPr>
                <w:rFonts w:ascii="Times New Roman" w:hAnsi="Times New Roman"/>
                <w:b/>
                <w:sz w:val="20"/>
              </w:rPr>
              <w:t>2025</w:t>
            </w:r>
          </w:p>
        </w:tc>
        <w:tc>
          <w:tcPr>
            <w:tcW w:w="75" w:type="dxa"/>
            <w:tcBorders/>
            <w:vAlign w:val="bottom"/>
          </w:tcPr>
          <w:p>
            <w:pPr>
              <w:pStyle w:val="TableContents"/>
              <w:bidi w:val="0"/>
              <w:spacing w:before="0" w:after="283"/>
              <w:jc w:val="left"/>
              <w:rPr/>
            </w:pPr>
            <w:r>
              <w:rPr/>
              <w:t> </w:t>
            </w:r>
          </w:p>
        </w:tc>
      </w:tr>
      <w:tr>
        <w:trPr/>
        <w:tc>
          <w:tcPr>
            <w:tcW w:w="3410" w:type="dxa"/>
            <w:tcBorders/>
            <w:shd w:fill="CCEEFF" w:val="clear"/>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Deferred federal income tax expense</w:t>
            </w:r>
          </w:p>
        </w:tc>
        <w:tc>
          <w:tcPr>
            <w:tcW w:w="60" w:type="dxa"/>
            <w:tcBorders/>
            <w:shd w:fill="CCEEFF" w:val="clear"/>
            <w:vAlign w:val="bottom"/>
          </w:tcPr>
          <w:p>
            <w:pPr>
              <w:pStyle w:val="TableContents"/>
              <w:bidi w:val="0"/>
              <w:spacing w:before="0" w:after="283"/>
              <w:jc w:val="right"/>
              <w:rPr/>
            </w:pPr>
            <w:r>
              <w:rPr/>
              <w:t> </w:t>
            </w:r>
          </w:p>
        </w:tc>
        <w:tc>
          <w:tcPr>
            <w:tcW w:w="29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3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59</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40" w:type="dxa"/>
            <w:tcBorders/>
            <w:shd w:fill="CCEEFF" w:val="clear"/>
            <w:vAlign w:val="bottom"/>
          </w:tcPr>
          <w:p>
            <w:pPr>
              <w:pStyle w:val="TableContents"/>
              <w:bidi w:val="0"/>
              <w:spacing w:before="0" w:after="283"/>
              <w:jc w:val="right"/>
              <w:rPr/>
            </w:pPr>
            <w:r>
              <w:rPr/>
              <w:t> </w:t>
            </w:r>
          </w:p>
        </w:tc>
        <w:tc>
          <w:tcPr>
            <w:tcW w:w="29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3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990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3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889</w:t>
            </w:r>
          </w:p>
        </w:tc>
        <w:tc>
          <w:tcPr>
            <w:tcW w:w="102"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right"/>
              <w:rPr/>
            </w:pPr>
            <w:r>
              <w:rPr/>
              <w:t> </w:t>
            </w:r>
          </w:p>
        </w:tc>
        <w:tc>
          <w:tcPr>
            <w:tcW w:w="21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3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1,143</w:t>
            </w:r>
          </w:p>
        </w:tc>
        <w:tc>
          <w:tcPr>
            <w:tcW w:w="75" w:type="dxa"/>
            <w:tcBorders/>
            <w:shd w:fill="CCEEFF" w:val="clear"/>
            <w:vAlign w:val="bottom"/>
          </w:tcPr>
          <w:p>
            <w:pPr>
              <w:pStyle w:val="TableContents"/>
              <w:bidi w:val="0"/>
              <w:spacing w:before="0" w:after="283"/>
              <w:jc w:val="left"/>
              <w:rPr/>
            </w:pPr>
            <w:r>
              <w:rPr/>
              <w:t> </w:t>
            </w:r>
          </w:p>
        </w:tc>
      </w:tr>
      <w:tr>
        <w:trPr/>
        <w:tc>
          <w:tcPr>
            <w:tcW w:w="3410" w:type="dxa"/>
            <w:tcBorders/>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Deferred state income tax expense</w:t>
            </w:r>
          </w:p>
        </w:tc>
        <w:tc>
          <w:tcPr>
            <w:tcW w:w="60" w:type="dxa"/>
            <w:tcBorders/>
            <w:vAlign w:val="bottom"/>
          </w:tcPr>
          <w:p>
            <w:pPr>
              <w:pStyle w:val="TableContents"/>
              <w:bidi w:val="0"/>
              <w:spacing w:before="0" w:after="283"/>
              <w:jc w:val="right"/>
              <w:rPr/>
            </w:pPr>
            <w:r>
              <w:rPr/>
              <w:t> </w:t>
            </w:r>
          </w:p>
        </w:tc>
        <w:tc>
          <w:tcPr>
            <w:tcW w:w="292" w:type="dxa"/>
            <w:tcBorders>
              <w:bottom w:val="single" w:sz="12" w:space="0" w:color="000000"/>
            </w:tcBorders>
            <w:tcMar>
              <w:bottom w:w="28" w:type="dxa"/>
            </w:tcMar>
            <w:vAlign w:val="bottom"/>
          </w:tcPr>
          <w:p>
            <w:pPr>
              <w:pStyle w:val="TableContents"/>
              <w:bidi w:val="0"/>
              <w:spacing w:before="0" w:after="283"/>
              <w:jc w:val="left"/>
              <w:rPr/>
            </w:pPr>
            <w:r>
              <w:rPr/>
              <w:t> </w:t>
            </w:r>
          </w:p>
        </w:tc>
        <w:tc>
          <w:tcPr>
            <w:tcW w:w="53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8</w:t>
            </w:r>
          </w:p>
        </w:tc>
        <w:tc>
          <w:tcPr>
            <w:tcW w:w="140"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right"/>
              <w:rPr/>
            </w:pPr>
            <w:r>
              <w:rPr/>
              <w:t> </w:t>
            </w:r>
          </w:p>
        </w:tc>
        <w:tc>
          <w:tcPr>
            <w:tcW w:w="292" w:type="dxa"/>
            <w:tcBorders>
              <w:bottom w:val="single" w:sz="12" w:space="0" w:color="000000"/>
            </w:tcBorders>
            <w:tcMar>
              <w:bottom w:w="28" w:type="dxa"/>
            </w:tcMar>
            <w:vAlign w:val="bottom"/>
          </w:tcPr>
          <w:p>
            <w:pPr>
              <w:pStyle w:val="TableContents"/>
              <w:bidi w:val="0"/>
              <w:spacing w:before="0" w:after="283"/>
              <w:jc w:val="left"/>
              <w:rPr/>
            </w:pPr>
            <w:r>
              <w:rPr/>
              <w:t> </w:t>
            </w:r>
          </w:p>
        </w:tc>
        <w:tc>
          <w:tcPr>
            <w:tcW w:w="113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131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4" w:type="dxa"/>
            <w:tcBorders>
              <w:bottom w:val="single" w:sz="12" w:space="0" w:color="000000"/>
            </w:tcBorders>
            <w:tcMar>
              <w:bottom w:w="28" w:type="dxa"/>
            </w:tcMar>
            <w:vAlign w:val="bottom"/>
          </w:tcPr>
          <w:p>
            <w:pPr>
              <w:pStyle w:val="TableContents"/>
              <w:bidi w:val="0"/>
              <w:spacing w:before="0" w:after="283"/>
              <w:jc w:val="left"/>
              <w:rPr/>
            </w:pPr>
            <w:r>
              <w:rPr/>
              <w:t> </w:t>
            </w:r>
          </w:p>
        </w:tc>
        <w:tc>
          <w:tcPr>
            <w:tcW w:w="832"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117</w:t>
            </w:r>
          </w:p>
        </w:tc>
        <w:tc>
          <w:tcPr>
            <w:tcW w:w="102"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right"/>
              <w:rPr/>
            </w:pPr>
            <w:r>
              <w:rPr/>
              <w:t> </w:t>
            </w:r>
          </w:p>
        </w:tc>
        <w:tc>
          <w:tcPr>
            <w:tcW w:w="214" w:type="dxa"/>
            <w:tcBorders>
              <w:bottom w:val="single" w:sz="12" w:space="0" w:color="000000"/>
            </w:tcBorders>
            <w:tcMar>
              <w:bottom w:w="28" w:type="dxa"/>
            </w:tcMar>
            <w:vAlign w:val="bottom"/>
          </w:tcPr>
          <w:p>
            <w:pPr>
              <w:pStyle w:val="TableContents"/>
              <w:bidi w:val="0"/>
              <w:spacing w:before="0" w:after="283"/>
              <w:jc w:val="left"/>
              <w:rPr/>
            </w:pPr>
            <w:r>
              <w:rPr/>
              <w:t> </w:t>
            </w:r>
          </w:p>
        </w:tc>
        <w:tc>
          <w:tcPr>
            <w:tcW w:w="832"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151</w:t>
            </w:r>
          </w:p>
        </w:tc>
        <w:tc>
          <w:tcPr>
            <w:tcW w:w="75" w:type="dxa"/>
            <w:tcBorders/>
            <w:vAlign w:val="bottom"/>
          </w:tcPr>
          <w:p>
            <w:pPr>
              <w:pStyle w:val="TableContents"/>
              <w:bidi w:val="0"/>
              <w:spacing w:before="0" w:after="283"/>
              <w:jc w:val="left"/>
              <w:rPr/>
            </w:pPr>
            <w:r>
              <w:rPr/>
              <w:t> </w:t>
            </w:r>
          </w:p>
        </w:tc>
      </w:tr>
      <w:tr>
        <w:trPr/>
        <w:tc>
          <w:tcPr>
            <w:tcW w:w="3410" w:type="dxa"/>
            <w:tcBorders/>
            <w:shd w:fill="CCEEFF" w:val="clear"/>
            <w:vAlign w:val="bottom"/>
          </w:tcPr>
          <w:p>
            <w:pPr>
              <w:pStyle w:val="TableContents"/>
              <w:bidi w:val="0"/>
              <w:spacing w:before="0" w:after="0"/>
              <w:ind w:left="180" w:right="0" w:hanging="180"/>
              <w:jc w:val="left"/>
              <w:rPr>
                <w:rFonts w:ascii="Times New Roman" w:hAnsi="Times New Roman"/>
                <w:b/>
                <w:color w:val="000000"/>
                <w:sz w:val="20"/>
              </w:rPr>
            </w:pPr>
            <w:r>
              <w:rPr>
                <w:rFonts w:ascii="Times New Roman" w:hAnsi="Times New Roman"/>
                <w:b/>
                <w:color w:val="000000"/>
                <w:sz w:val="20"/>
              </w:rPr>
              <w:t>Provision for Corporate Business Taxes</w:t>
            </w:r>
          </w:p>
        </w:tc>
        <w:tc>
          <w:tcPr>
            <w:tcW w:w="60" w:type="dxa"/>
            <w:tcBorders/>
            <w:shd w:fill="CCEEFF" w:val="clear"/>
            <w:vAlign w:val="bottom"/>
          </w:tcPr>
          <w:p>
            <w:pPr>
              <w:pStyle w:val="TableContents"/>
              <w:bidi w:val="0"/>
              <w:spacing w:before="0" w:after="283"/>
              <w:jc w:val="right"/>
              <w:rPr/>
            </w:pPr>
            <w:r>
              <w:rPr/>
              <w:t> </w:t>
            </w:r>
          </w:p>
        </w:tc>
        <w:tc>
          <w:tcPr>
            <w:tcW w:w="292"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538"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67</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40" w:type="dxa"/>
            <w:tcBorders/>
            <w:shd w:fill="CCEEFF" w:val="clear"/>
            <w:vAlign w:val="bottom"/>
          </w:tcPr>
          <w:p>
            <w:pPr>
              <w:pStyle w:val="TableContents"/>
              <w:bidi w:val="0"/>
              <w:spacing w:before="0" w:after="283"/>
              <w:jc w:val="right"/>
              <w:rPr/>
            </w:pPr>
            <w:r>
              <w:rPr/>
              <w:t> </w:t>
            </w:r>
          </w:p>
        </w:tc>
        <w:tc>
          <w:tcPr>
            <w:tcW w:w="292"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1135"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1,121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4"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832"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1,006</w:t>
            </w:r>
          </w:p>
        </w:tc>
        <w:tc>
          <w:tcPr>
            <w:tcW w:w="102"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right"/>
              <w:rPr/>
            </w:pPr>
            <w:r>
              <w:rPr/>
              <w:t> </w:t>
            </w:r>
          </w:p>
        </w:tc>
        <w:tc>
          <w:tcPr>
            <w:tcW w:w="214"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832"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1,294</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following is a reconciliation of the statutory federal rate to the effective rate, for the periods indicated below (dollars in thousands):</w:t>
      </w:r>
    </w:p>
    <w:p>
      <w:pPr>
        <w:pStyle w:val="TextBody"/>
        <w:bidi w:val="0"/>
        <w:spacing w:before="0" w:after="0"/>
        <w:jc w:val="left"/>
        <w:rPr>
          <w:rFonts w:ascii="Times New Roman" w:hAnsi="Times New Roman"/>
          <w:sz w:val="20"/>
        </w:rPr>
      </w:pPr>
      <w:r>
        <w:rPr>
          <w:rFonts w:ascii="Times New Roman" w:hAnsi="Times New Roman"/>
          <w:sz w:val="20"/>
        </w:rPr>
      </w:r>
    </w:p>
    <w:tbl>
      <w:tblPr>
        <w:tblW w:w="10205" w:type="dxa"/>
        <w:jc w:val="left"/>
        <w:tblInd w:w="0" w:type="dxa"/>
        <w:tblLayout w:type="fixed"/>
        <w:tblCellMar>
          <w:top w:w="0" w:type="dxa"/>
          <w:left w:w="0" w:type="dxa"/>
          <w:bottom w:w="0" w:type="dxa"/>
          <w:right w:w="0" w:type="dxa"/>
        </w:tblCellMar>
      </w:tblPr>
      <w:tblGrid>
        <w:gridCol w:w="4244"/>
        <w:gridCol w:w="60"/>
        <w:gridCol w:w="125"/>
        <w:gridCol w:w="395"/>
        <w:gridCol w:w="80"/>
        <w:gridCol w:w="60"/>
        <w:gridCol w:w="60"/>
        <w:gridCol w:w="440"/>
        <w:gridCol w:w="237"/>
        <w:gridCol w:w="60"/>
        <w:gridCol w:w="125"/>
        <w:gridCol w:w="485"/>
        <w:gridCol w:w="60"/>
        <w:gridCol w:w="60"/>
        <w:gridCol w:w="60"/>
        <w:gridCol w:w="380"/>
        <w:gridCol w:w="215"/>
        <w:gridCol w:w="60"/>
        <w:gridCol w:w="125"/>
        <w:gridCol w:w="485"/>
        <w:gridCol w:w="80"/>
        <w:gridCol w:w="60"/>
        <w:gridCol w:w="60"/>
        <w:gridCol w:w="380"/>
        <w:gridCol w:w="237"/>
        <w:gridCol w:w="60"/>
        <w:gridCol w:w="125"/>
        <w:gridCol w:w="485"/>
        <w:gridCol w:w="80"/>
        <w:gridCol w:w="60"/>
        <w:gridCol w:w="60"/>
        <w:gridCol w:w="440"/>
        <w:gridCol w:w="262"/>
      </w:tblGrid>
      <w:tr>
        <w:trPr/>
        <w:tc>
          <w:tcPr>
            <w:tcW w:w="42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7" w:type="dxa"/>
            <w:gridSpan w:val="14"/>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Three Months Ended June 30,</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37" w:type="dxa"/>
            <w:gridSpan w:val="14"/>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Six Months Ended June 30,</w:t>
            </w:r>
          </w:p>
        </w:tc>
        <w:tc>
          <w:tcPr>
            <w:tcW w:w="262" w:type="dxa"/>
            <w:tcBorders/>
            <w:vAlign w:val="bottom"/>
          </w:tcPr>
          <w:p>
            <w:pPr>
              <w:pStyle w:val="TableContents"/>
              <w:bidi w:val="0"/>
              <w:spacing w:before="0" w:after="283"/>
              <w:jc w:val="left"/>
              <w:rPr/>
            </w:pPr>
            <w:r>
              <w:rPr/>
              <w:t> </w:t>
            </w:r>
          </w:p>
        </w:tc>
      </w:tr>
      <w:tr>
        <w:trPr/>
        <w:tc>
          <w:tcPr>
            <w:tcW w:w="4244" w:type="dxa"/>
            <w:tcBorders/>
            <w:vAlign w:val="bottom"/>
          </w:tcPr>
          <w:p>
            <w:pPr>
              <w:pStyle w:val="TableContents"/>
              <w:bidi w:val="0"/>
              <w:spacing w:before="0" w:after="0"/>
              <w:jc w:val="center"/>
              <w:rPr>
                <w:color w:val="000000"/>
              </w:rPr>
            </w:pPr>
            <w:r>
              <w:rPr>
                <w:color w:val="000000"/>
              </w:rPr>
              <w:t> </w:t>
            </w:r>
          </w:p>
        </w:tc>
        <w:tc>
          <w:tcPr>
            <w:tcW w:w="60" w:type="dxa"/>
            <w:tcBorders/>
            <w:vAlign w:val="bottom"/>
          </w:tcPr>
          <w:p>
            <w:pPr>
              <w:pStyle w:val="TableContents"/>
              <w:bidi w:val="0"/>
              <w:spacing w:before="0" w:after="283"/>
              <w:jc w:val="center"/>
              <w:rPr/>
            </w:pPr>
            <w:r>
              <w:rPr/>
              <w:t> </w:t>
            </w:r>
          </w:p>
        </w:tc>
        <w:tc>
          <w:tcPr>
            <w:tcW w:w="1160" w:type="dxa"/>
            <w:gridSpan w:val="6"/>
            <w:tcBorders>
              <w:bottom w:val="single" w:sz="12" w:space="0" w:color="000000"/>
            </w:tcBorders>
            <w:tcMar>
              <w:bottom w:w="28" w:type="dxa"/>
            </w:tcMar>
            <w:vAlign w:val="bottom"/>
          </w:tcPr>
          <w:p>
            <w:pPr>
              <w:pStyle w:val="TableContents"/>
              <w:bidi w:val="0"/>
              <w:spacing w:before="0" w:after="283"/>
              <w:jc w:val="center"/>
              <w:rPr>
                <w:rFonts w:ascii="Times New Roman" w:hAnsi="Times New Roman"/>
                <w:b/>
                <w:sz w:val="20"/>
              </w:rPr>
            </w:pPr>
            <w:r>
              <w:rPr>
                <w:rFonts w:ascii="Times New Roman" w:hAnsi="Times New Roman"/>
                <w:b/>
                <w:sz w:val="20"/>
              </w:rPr>
              <w:t>2026</w:t>
            </w:r>
          </w:p>
        </w:tc>
        <w:tc>
          <w:tcPr>
            <w:tcW w:w="2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1170" w:type="dxa"/>
            <w:gridSpan w:val="6"/>
            <w:tcBorders>
              <w:bottom w:val="single" w:sz="12" w:space="0" w:color="000000"/>
            </w:tcBorders>
            <w:tcMar>
              <w:bottom w:w="28" w:type="dxa"/>
            </w:tcMar>
            <w:vAlign w:val="bottom"/>
          </w:tcPr>
          <w:p>
            <w:pPr>
              <w:pStyle w:val="TableContents"/>
              <w:bidi w:val="0"/>
              <w:spacing w:before="0" w:after="283"/>
              <w:jc w:val="center"/>
              <w:rPr>
                <w:rFonts w:ascii="Times New Roman" w:hAnsi="Times New Roman"/>
                <w:b/>
                <w:sz w:val="20"/>
              </w:rPr>
            </w:pPr>
            <w:r>
              <w:rPr>
                <w:rFonts w:ascii="Times New Roman" w:hAnsi="Times New Roman"/>
                <w:b/>
                <w:sz w:val="20"/>
              </w:rPr>
              <w:t>2025</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1190" w:type="dxa"/>
            <w:gridSpan w:val="6"/>
            <w:tcBorders>
              <w:bottom w:val="single" w:sz="12" w:space="0" w:color="000000"/>
            </w:tcBorders>
            <w:tcMar>
              <w:bottom w:w="28" w:type="dxa"/>
            </w:tcMar>
            <w:vAlign w:val="bottom"/>
          </w:tcPr>
          <w:p>
            <w:pPr>
              <w:pStyle w:val="TableContents"/>
              <w:bidi w:val="0"/>
              <w:spacing w:before="0" w:after="283"/>
              <w:jc w:val="center"/>
              <w:rPr>
                <w:rFonts w:ascii="Times New Roman" w:hAnsi="Times New Roman"/>
                <w:b/>
                <w:sz w:val="20"/>
              </w:rPr>
            </w:pPr>
            <w:r>
              <w:rPr>
                <w:rFonts w:ascii="Times New Roman" w:hAnsi="Times New Roman"/>
                <w:b/>
                <w:sz w:val="20"/>
              </w:rPr>
              <w:t>2026</w:t>
            </w:r>
          </w:p>
        </w:tc>
        <w:tc>
          <w:tcPr>
            <w:tcW w:w="2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1250" w:type="dxa"/>
            <w:gridSpan w:val="6"/>
            <w:tcBorders>
              <w:bottom w:val="single" w:sz="12" w:space="0" w:color="000000"/>
            </w:tcBorders>
            <w:tcMar>
              <w:bottom w:w="28" w:type="dxa"/>
            </w:tcMar>
            <w:vAlign w:val="bottom"/>
          </w:tcPr>
          <w:p>
            <w:pPr>
              <w:pStyle w:val="TableContents"/>
              <w:bidi w:val="0"/>
              <w:spacing w:before="0" w:after="283"/>
              <w:jc w:val="center"/>
              <w:rPr>
                <w:rFonts w:ascii="Times New Roman" w:hAnsi="Times New Roman"/>
                <w:b/>
                <w:sz w:val="20"/>
              </w:rPr>
            </w:pPr>
            <w:r>
              <w:rPr>
                <w:rFonts w:ascii="Times New Roman" w:hAnsi="Times New Roman"/>
                <w:b/>
                <w:sz w:val="20"/>
              </w:rPr>
              <w:t>2025</w:t>
            </w:r>
          </w:p>
        </w:tc>
        <w:tc>
          <w:tcPr>
            <w:tcW w:w="262" w:type="dxa"/>
            <w:tcBorders/>
            <w:vAlign w:val="bottom"/>
          </w:tcPr>
          <w:p>
            <w:pPr>
              <w:pStyle w:val="TableContents"/>
              <w:bidi w:val="0"/>
              <w:spacing w:before="0" w:after="283"/>
              <w:jc w:val="left"/>
              <w:rPr/>
            </w:pPr>
            <w:r>
              <w:rPr/>
              <w:t> </w:t>
            </w:r>
          </w:p>
        </w:tc>
      </w:tr>
      <w:tr>
        <w:trPr/>
        <w:tc>
          <w:tcPr>
            <w:tcW w:w="4244" w:type="dxa"/>
            <w:tcBorders/>
            <w:shd w:fill="CCEEFF" w:val="clear"/>
            <w:vAlign w:val="bottom"/>
          </w:tcPr>
          <w:p>
            <w:pPr>
              <w:pStyle w:val="TableContents"/>
              <w:bidi w:val="0"/>
              <w:spacing w:before="0" w:after="0"/>
              <w:ind w:left="360" w:right="0" w:hanging="0"/>
              <w:jc w:val="left"/>
              <w:rPr>
                <w:rFonts w:ascii="Times New Roman" w:hAnsi="Times New Roman"/>
                <w:color w:val="000000"/>
                <w:sz w:val="20"/>
              </w:rPr>
            </w:pPr>
            <w:r>
              <w:rPr>
                <w:rFonts w:ascii="Times New Roman" w:hAnsi="Times New Roman"/>
                <w:color w:val="000000"/>
                <w:sz w:val="20"/>
              </w:rPr>
              <w:t>C</w:t>
            </w:r>
            <w:r>
              <w:rPr>
                <w:rFonts w:ascii="Times New Roman" w:hAnsi="Times New Roman"/>
                <w:b w:val="false"/>
                <w:i w:val="false"/>
                <w:caps w:val="false"/>
                <w:smallCaps w:val="false"/>
                <w:color w:val="000000"/>
                <w:spacing w:val="0"/>
                <w:sz w:val="20"/>
              </w:rPr>
              <w:t>omputed income tax expense (benefit) at federal rate</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3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812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21.0</w:t>
            </w:r>
          </w:p>
        </w:tc>
        <w:tc>
          <w:tcPr>
            <w:tcW w:w="23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48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564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21.0</w:t>
            </w:r>
          </w:p>
        </w:tc>
        <w:tc>
          <w:tcPr>
            <w:tcW w:w="21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48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1,099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21.0</w:t>
            </w:r>
          </w:p>
        </w:tc>
        <w:tc>
          <w:tcPr>
            <w:tcW w:w="23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48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(868</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21.0</w:t>
            </w:r>
          </w:p>
        </w:tc>
        <w:tc>
          <w:tcPr>
            <w:tcW w:w="26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4244" w:type="dxa"/>
            <w:tcBorders/>
            <w:vAlign w:val="bottom"/>
          </w:tcPr>
          <w:p>
            <w:pPr>
              <w:pStyle w:val="TableContents"/>
              <w:bidi w:val="0"/>
              <w:spacing w:before="0" w:after="0"/>
              <w:ind w:left="360" w:right="0" w:hanging="360"/>
              <w:jc w:val="left"/>
              <w:rPr>
                <w:rFonts w:ascii="Times New Roman" w:hAnsi="Times New Roman"/>
                <w:color w:val="000000"/>
                <w:sz w:val="20"/>
              </w:rPr>
            </w:pPr>
            <w:r>
              <w:rPr>
                <w:rFonts w:ascii="Times New Roman" w:hAnsi="Times New Roman"/>
                <w:color w:val="000000"/>
                <w:sz w:val="20"/>
              </w:rPr>
              <w:t>S</w:t>
            </w:r>
            <w:r>
              <w:rPr>
                <w:rFonts w:ascii="Times New Roman" w:hAnsi="Times New Roman"/>
                <w:b w:val="false"/>
                <w:i w:val="false"/>
                <w:caps w:val="false"/>
                <w:smallCaps w:val="false"/>
                <w:color w:val="000000"/>
                <w:spacing w:val="0"/>
                <w:sz w:val="20"/>
              </w:rPr>
              <w:t>tate and local income taxes, net of federal income tax effect</w:t>
            </w:r>
            <w:r>
              <w:rPr>
                <w:rFonts w:ascii="Times New Roman" w:hAnsi="Times New Roman"/>
                <w:b w:val="false"/>
                <w:i w:val="false"/>
                <w:caps w:val="false"/>
                <w:smallCaps w:val="false"/>
                <w:color w:val="000000"/>
                <w:spacing w:val="0"/>
                <w:position w:val="7"/>
                <w:sz w:val="16"/>
                <w:sz w:val="20"/>
              </w:rPr>
              <w:t>(B)</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w:t>
            </w:r>
          </w:p>
        </w:tc>
        <w:tc>
          <w:tcPr>
            <w:tcW w:w="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0.2</w:t>
            </w:r>
          </w:p>
        </w:tc>
        <w:tc>
          <w:tcPr>
            <w:tcW w:w="23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103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3.8</w:t>
            </w:r>
          </w:p>
        </w:tc>
        <w:tc>
          <w:tcPr>
            <w:tcW w:w="21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93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1.8</w:t>
            </w:r>
          </w:p>
        </w:tc>
        <w:tc>
          <w:tcPr>
            <w:tcW w:w="23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119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(2.9</w:t>
            </w:r>
          </w:p>
        </w:tc>
        <w:tc>
          <w:tcPr>
            <w:tcW w:w="26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4244"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Nontaxable or nondeductible items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39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283"/>
              <w:jc w:val="right"/>
              <w:rPr/>
            </w:pPr>
            <w:r>
              <w:rPr/>
              <w:t> </w:t>
            </w:r>
          </w:p>
        </w:tc>
        <w:tc>
          <w:tcPr>
            <w:tcW w:w="23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48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48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283"/>
              <w:jc w:val="right"/>
              <w:rPr/>
            </w:pPr>
            <w:r>
              <w:rPr/>
              <w:t> </w:t>
            </w:r>
          </w:p>
        </w:tc>
        <w:tc>
          <w:tcPr>
            <w:tcW w:w="23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48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283"/>
              <w:jc w:val="right"/>
              <w:rPr/>
            </w:pPr>
            <w:r>
              <w:rPr/>
              <w:t> </w:t>
            </w:r>
          </w:p>
        </w:tc>
        <w:tc>
          <w:tcPr>
            <w:tcW w:w="262" w:type="dxa"/>
            <w:tcBorders/>
            <w:shd w:fill="CCEEFF" w:val="clear"/>
            <w:vAlign w:val="bottom"/>
          </w:tcPr>
          <w:p>
            <w:pPr>
              <w:pStyle w:val="TableContents"/>
              <w:bidi w:val="0"/>
              <w:spacing w:before="0" w:after="283"/>
              <w:jc w:val="left"/>
              <w:rPr/>
            </w:pPr>
            <w:r>
              <w:rPr/>
              <w:t> </w:t>
            </w:r>
          </w:p>
        </w:tc>
      </w:tr>
      <w:tr>
        <w:trPr/>
        <w:tc>
          <w:tcPr>
            <w:tcW w:w="4244" w:type="dxa"/>
            <w:tcBorders/>
            <w:vAlign w:val="bottom"/>
          </w:tcPr>
          <w:p>
            <w:pPr>
              <w:pStyle w:val="TableContents"/>
              <w:bidi w:val="0"/>
              <w:spacing w:before="0" w:after="0"/>
              <w:ind w:left="540" w:right="0" w:hanging="360"/>
              <w:jc w:val="left"/>
              <w:rPr>
                <w:rFonts w:ascii="Times New Roman" w:hAnsi="Times New Roman"/>
                <w:color w:val="000000"/>
                <w:sz w:val="20"/>
              </w:rPr>
            </w:pPr>
            <w:r>
              <w:rPr>
                <w:rFonts w:ascii="Times New Roman" w:hAnsi="Times New Roman"/>
                <w:color w:val="000000"/>
                <w:sz w:val="20"/>
              </w:rPr>
              <w:t>R</w:t>
            </w:r>
            <w:r>
              <w:rPr>
                <w:rFonts w:ascii="Times New Roman" w:hAnsi="Times New Roman"/>
                <w:b w:val="false"/>
                <w:i w:val="false"/>
                <w:caps w:val="false"/>
                <w:smallCaps w:val="false"/>
                <w:color w:val="000000"/>
                <w:spacing w:val="0"/>
                <w:sz w:val="20"/>
              </w:rPr>
              <w:t>EIT income not subject to tax expense (benefit)</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3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(752</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44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(19.5</w:t>
            </w:r>
          </w:p>
        </w:tc>
        <w:tc>
          <w:tcPr>
            <w:tcW w:w="23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48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454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38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16.9</w:t>
            </w:r>
          </w:p>
        </w:tc>
        <w:tc>
          <w:tcPr>
            <w:tcW w:w="21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48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(186</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38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(3.6</w:t>
            </w:r>
          </w:p>
        </w:tc>
        <w:tc>
          <w:tcPr>
            <w:tcW w:w="23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48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2,043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44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(49.4</w:t>
            </w:r>
          </w:p>
        </w:tc>
        <w:tc>
          <w:tcPr>
            <w:tcW w:w="26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4244" w:type="dxa"/>
            <w:tcBorders/>
            <w:shd w:fill="CCEEFF" w:val="clear"/>
            <w:vAlign w:val="bottom"/>
          </w:tcPr>
          <w:p>
            <w:pPr>
              <w:pStyle w:val="TableContents"/>
              <w:bidi w:val="0"/>
              <w:spacing w:before="0" w:after="0"/>
              <w:ind w:left="180" w:right="0" w:hanging="180"/>
              <w:jc w:val="left"/>
              <w:rPr>
                <w:rFonts w:ascii="Times New Roman" w:hAnsi="Times New Roman"/>
                <w:b/>
                <w:sz w:val="20"/>
              </w:rPr>
            </w:pPr>
            <w:r>
              <w:rPr>
                <w:rFonts w:ascii="Times New Roman" w:hAnsi="Times New Roman"/>
                <w:b/>
                <w:sz w:val="20"/>
              </w:rPr>
              <w:t>Provision for Corporate Business Taxes/Effective Tax Rate</w:t>
            </w:r>
            <w:r>
              <w:rPr>
                <w:rFonts w:ascii="Times New Roman" w:hAnsi="Times New Roman"/>
                <w:b/>
                <w:position w:val="7"/>
                <w:sz w:val="16"/>
                <w:sz w:val="20"/>
              </w:rPr>
              <w:t>(A)</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395"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67</w:t>
            </w:r>
          </w:p>
        </w:tc>
        <w:tc>
          <w:tcPr>
            <w:tcW w:w="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1.7</w:t>
            </w:r>
          </w:p>
        </w:tc>
        <w:tc>
          <w:tcPr>
            <w:tcW w:w="237"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485"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1,121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41.7</w:t>
            </w:r>
          </w:p>
        </w:tc>
        <w:tc>
          <w:tcPr>
            <w:tcW w:w="21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485"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1,006</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80"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19.2</w:t>
            </w:r>
          </w:p>
        </w:tc>
        <w:tc>
          <w:tcPr>
            <w:tcW w:w="237"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485"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1,294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(31.3</w:t>
            </w:r>
          </w:p>
        </w:tc>
        <w:tc>
          <w:tcPr>
            <w:tcW w:w="262"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r>
    </w:tbl>
    <w:p>
      <w:pPr>
        <w:pStyle w:val="TextBody"/>
        <w:bidi w:val="0"/>
        <w:spacing w:before="0" w:after="0"/>
        <w:jc w:val="left"/>
        <w:rPr>
          <w:rFonts w:ascii="Times New Roman" w:hAnsi="Times New Roman"/>
          <w:sz w:val="20"/>
        </w:rPr>
      </w:pPr>
      <w:r>
        <w:rPr>
          <w:rFonts w:ascii="Times New Roman" w:hAnsi="Times New Roman"/>
          <w:sz w:val="20"/>
        </w:rPr>
      </w:r>
    </w:p>
    <w:tbl>
      <w:tblPr>
        <w:tblW w:w="5170" w:type="dxa"/>
        <w:jc w:val="left"/>
        <w:tblInd w:w="0" w:type="dxa"/>
        <w:tblLayout w:type="fixed"/>
        <w:tblCellMar>
          <w:top w:w="0" w:type="dxa"/>
          <w:left w:w="0" w:type="dxa"/>
          <w:bottom w:w="0" w:type="dxa"/>
          <w:right w:w="0" w:type="dxa"/>
        </w:tblCellMar>
      </w:tblPr>
      <w:tblGrid>
        <w:gridCol w:w="290"/>
        <w:gridCol w:w="4880"/>
      </w:tblGrid>
      <w:tr>
        <w:trPr/>
        <w:tc>
          <w:tcPr>
            <w:tcW w:w="29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(A)</w:t>
            </w:r>
          </w:p>
        </w:tc>
        <w:tc>
          <w:tcPr>
            <w:tcW w:w="488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The provision for income taxes is recorded at the TRS level.</w:t>
            </w:r>
          </w:p>
        </w:tc>
      </w:tr>
    </w:tbl>
    <w:tbl>
      <w:tblPr>
        <w:tblW w:w="10205" w:type="dxa"/>
        <w:jc w:val="left"/>
        <w:tblInd w:w="0" w:type="dxa"/>
        <w:tblLayout w:type="fixed"/>
        <w:tblCellMar>
          <w:top w:w="0" w:type="dxa"/>
          <w:left w:w="0" w:type="dxa"/>
          <w:bottom w:w="0" w:type="dxa"/>
          <w:right w:w="0" w:type="dxa"/>
        </w:tblCellMar>
      </w:tblPr>
      <w:tblGrid>
        <w:gridCol w:w="272"/>
        <w:gridCol w:w="9933"/>
      </w:tblGrid>
      <w:tr>
        <w:trPr/>
        <w:tc>
          <w:tcPr>
            <w:tcW w:w="272"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(B)</w:t>
            </w:r>
          </w:p>
        </w:tc>
        <w:tc>
          <w:tcPr>
            <w:tcW w:w="9933"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The states that contribute to the majority (greater than 50%) of the tax effect in this category include California, Maryland and New York for 2026 and 2025, respectively.</w:t>
            </w:r>
          </w:p>
        </w:tc>
      </w:tr>
    </w:tbl>
    <w:p>
      <w:pPr>
        <w:pStyle w:val="TextBody"/>
        <w:bidi w:val="0"/>
        <w:spacing w:before="0" w:after="0"/>
        <w:jc w:val="left"/>
        <w:rPr/>
      </w:pPr>
      <w:r>
        <w:rPr/>
      </w:r>
    </w:p>
    <w:p>
      <w:pPr>
        <w:pStyle w:val="TextBody"/>
        <w:bidi w:val="0"/>
        <w:spacing w:before="0" w:after="0"/>
        <w:ind w:left="0" w:right="0" w:firstLine="72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The amount of cash taxes paid by the Company for the three-month and six-month period ended June 30, 2026 was $27 thousand and $29 thousand, respectively was primarily comprised of state related income taxes.</w:t>
      </w:r>
    </w:p>
    <w:p>
      <w:pPr>
        <w:pStyle w:val="TextBody"/>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Company’s consolidated balance sheets contain the following deferred tax assets and liabilities, which are recorded at the TRS level (dollars in thousands):</w:t>
      </w:r>
    </w:p>
    <w:p>
      <w:pPr>
        <w:pStyle w:val="TextBody"/>
        <w:bidi w:val="0"/>
        <w:spacing w:before="0" w:after="0"/>
        <w:jc w:val="left"/>
        <w:rPr>
          <w:rFonts w:ascii="Times New Roman" w:hAnsi="Times New Roman"/>
          <w:sz w:val="20"/>
        </w:rPr>
      </w:pPr>
      <w:r>
        <w:rPr>
          <w:rFonts w:ascii="Times New Roman" w:hAnsi="Times New Roman"/>
          <w:sz w:val="20"/>
        </w:rPr>
      </w:r>
    </w:p>
    <w:tbl>
      <w:tblPr>
        <w:tblW w:w="6368" w:type="dxa"/>
        <w:jc w:val="left"/>
        <w:tblInd w:w="0" w:type="dxa"/>
        <w:tblLayout w:type="fixed"/>
        <w:tblCellMar>
          <w:top w:w="0" w:type="dxa"/>
          <w:left w:w="0" w:type="dxa"/>
          <w:bottom w:w="0" w:type="dxa"/>
          <w:right w:w="0" w:type="dxa"/>
        </w:tblCellMar>
      </w:tblPr>
      <w:tblGrid>
        <w:gridCol w:w="3245"/>
        <w:gridCol w:w="60"/>
        <w:gridCol w:w="191"/>
        <w:gridCol w:w="998"/>
        <w:gridCol w:w="80"/>
        <w:gridCol w:w="60"/>
        <w:gridCol w:w="264"/>
        <w:gridCol w:w="1375"/>
        <w:gridCol w:w="95"/>
      </w:tblGrid>
      <w:tr>
        <w:trPr/>
        <w:tc>
          <w:tcPr>
            <w:tcW w:w="3245" w:type="dxa"/>
            <w:tcBorders/>
            <w:vAlign w:val="bottom"/>
          </w:tcPr>
          <w:p>
            <w:pPr>
              <w:pStyle w:val="TableContents"/>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118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June 30, 2026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December 31, 2025</w:t>
            </w:r>
          </w:p>
        </w:tc>
        <w:tc>
          <w:tcPr>
            <w:tcW w:w="95" w:type="dxa"/>
            <w:tcBorders/>
            <w:vAlign w:val="bottom"/>
          </w:tcPr>
          <w:p>
            <w:pPr>
              <w:pStyle w:val="TableContents"/>
              <w:bidi w:val="0"/>
              <w:spacing w:before="0" w:after="283"/>
              <w:jc w:val="left"/>
              <w:rPr/>
            </w:pPr>
            <w:r>
              <w:rPr/>
              <w:t> </w:t>
            </w:r>
          </w:p>
        </w:tc>
      </w:tr>
      <w:tr>
        <w:trPr/>
        <w:tc>
          <w:tcPr>
            <w:tcW w:w="3245" w:type="dxa"/>
            <w:tcBorders/>
            <w:shd w:fill="CCEEFF" w:val="clear"/>
            <w:vAlign w:val="bottom"/>
          </w:tcPr>
          <w:p>
            <w:pPr>
              <w:pStyle w:val="TableContents"/>
              <w:bidi w:val="0"/>
              <w:spacing w:before="0" w:after="283"/>
              <w:jc w:val="left"/>
              <w:rPr>
                <w:rFonts w:ascii="Times New Roman" w:hAnsi="Times New Roman"/>
                <w:b/>
                <w:sz w:val="20"/>
              </w:rPr>
            </w:pPr>
            <w:r>
              <w:rPr>
                <w:rFonts w:ascii="Times New Roman" w:hAnsi="Times New Roman"/>
                <w:b/>
                <w:sz w:val="20"/>
              </w:rPr>
              <w:t>Deferred tax assets (liabilities)</w:t>
            </w:r>
          </w:p>
        </w:tc>
        <w:tc>
          <w:tcPr>
            <w:tcW w:w="60" w:type="dxa"/>
            <w:tcBorders/>
            <w:shd w:fill="CCEEFF" w:val="clear"/>
            <w:vAlign w:val="bottom"/>
          </w:tcPr>
          <w:p>
            <w:pPr>
              <w:pStyle w:val="TableContents"/>
              <w:bidi w:val="0"/>
              <w:spacing w:before="0" w:after="283"/>
              <w:jc w:val="right"/>
              <w:rPr/>
            </w:pPr>
            <w:r>
              <w:rPr/>
              <w:t> </w:t>
            </w:r>
          </w:p>
        </w:tc>
        <w:tc>
          <w:tcPr>
            <w:tcW w:w="1189" w:type="dxa"/>
            <w:gridSpan w:val="2"/>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39" w:type="dxa"/>
            <w:gridSpan w:val="2"/>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3245" w:type="dxa"/>
            <w:tcBorders/>
            <w:vAlign w:val="bottom"/>
          </w:tcPr>
          <w:p>
            <w:pPr>
              <w:pStyle w:val="TableContents"/>
              <w:bidi w:val="0"/>
              <w:spacing w:before="0" w:after="0"/>
              <w:ind w:left="288" w:right="0" w:hanging="144"/>
              <w:jc w:val="left"/>
              <w:rPr>
                <w:rFonts w:ascii="Times New Roman" w:hAnsi="Times New Roman"/>
                <w:b w:val="false"/>
                <w:sz w:val="20"/>
              </w:rPr>
            </w:pPr>
            <w:r>
              <w:rPr>
                <w:rFonts w:ascii="Times New Roman" w:hAnsi="Times New Roman"/>
                <w:b w:val="false"/>
                <w:sz w:val="20"/>
              </w:rPr>
              <w:t>Deferred tax - mortgage servicing rights</w:t>
            </w:r>
          </w:p>
        </w:tc>
        <w:tc>
          <w:tcPr>
            <w:tcW w:w="60" w:type="dxa"/>
            <w:tcBorders/>
            <w:vAlign w:val="bottom"/>
          </w:tcPr>
          <w:p>
            <w:pPr>
              <w:pStyle w:val="TableContents"/>
              <w:bidi w:val="0"/>
              <w:spacing w:before="0" w:after="283"/>
              <w:jc w:val="right"/>
              <w:rPr/>
            </w:pPr>
            <w:r>
              <w:rPr/>
              <w:t> </w:t>
            </w:r>
          </w:p>
        </w:tc>
        <w:tc>
          <w:tcPr>
            <w:tcW w:w="191" w:type="dxa"/>
            <w:tcBorders/>
            <w:vAlign w:val="bottom"/>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98" w:type="dxa"/>
            <w:tcBorders/>
            <w:vAlign w:val="bottom"/>
          </w:tcPr>
          <w:p>
            <w:pPr>
              <w:pStyle w:val="TableContents"/>
              <w:bidi w:val="0"/>
              <w:spacing w:before="0" w:after="283"/>
              <w:jc w:val="right"/>
              <w:rPr>
                <w:rFonts w:ascii="Times New Roman" w:hAnsi="Times New Roman"/>
                <w:sz w:val="20"/>
              </w:rPr>
            </w:pPr>
            <w:r>
              <w:rPr>
                <w:rFonts w:ascii="Times New Roman" w:hAnsi="Times New Roman"/>
                <w:sz w:val="20"/>
              </w:rPr>
              <w:t>(14,777</w:t>
            </w:r>
          </w:p>
        </w:tc>
        <w:tc>
          <w:tcPr>
            <w:tcW w:w="80" w:type="dxa"/>
            <w:tcBorders/>
            <w:vAlign w:val="bottom"/>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264" w:type="dxa"/>
            <w:tcBorders/>
            <w:vAlign w:val="bottom"/>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375" w:type="dxa"/>
            <w:tcBorders/>
            <w:vAlign w:val="bottom"/>
          </w:tcPr>
          <w:p>
            <w:pPr>
              <w:pStyle w:val="TableContents"/>
              <w:bidi w:val="0"/>
              <w:spacing w:before="0" w:after="283"/>
              <w:jc w:val="right"/>
              <w:rPr>
                <w:rFonts w:ascii="Times New Roman" w:hAnsi="Times New Roman"/>
                <w:sz w:val="20"/>
              </w:rPr>
            </w:pPr>
            <w:r>
              <w:rPr>
                <w:rFonts w:ascii="Times New Roman" w:hAnsi="Times New Roman"/>
                <w:sz w:val="20"/>
              </w:rPr>
              <w:t>(11,580</w:t>
            </w:r>
          </w:p>
        </w:tc>
        <w:tc>
          <w:tcPr>
            <w:tcW w:w="95" w:type="dxa"/>
            <w:tcBorders/>
            <w:vAlign w:val="bottom"/>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245" w:type="dxa"/>
            <w:tcBorders/>
            <w:shd w:fill="CCEEFF" w:val="clear"/>
            <w:vAlign w:val="bottom"/>
          </w:tcPr>
          <w:p>
            <w:pPr>
              <w:pStyle w:val="TableContents"/>
              <w:bidi w:val="0"/>
              <w:spacing w:before="0" w:after="0"/>
              <w:ind w:left="288" w:right="0" w:hanging="144"/>
              <w:jc w:val="left"/>
              <w:rPr>
                <w:rFonts w:ascii="Times New Roman" w:hAnsi="Times New Roman"/>
                <w:b w:val="false"/>
                <w:sz w:val="20"/>
              </w:rPr>
            </w:pPr>
            <w:r>
              <w:rPr>
                <w:rFonts w:ascii="Times New Roman" w:hAnsi="Times New Roman"/>
                <w:b w:val="false"/>
                <w:sz w:val="20"/>
              </w:rPr>
              <w:t>Deferred tax - net operating loss</w:t>
            </w:r>
          </w:p>
        </w:tc>
        <w:tc>
          <w:tcPr>
            <w:tcW w:w="60" w:type="dxa"/>
            <w:tcBorders/>
            <w:shd w:fill="CCEEFF" w:val="clear"/>
            <w:vAlign w:val="bottom"/>
          </w:tcPr>
          <w:p>
            <w:pPr>
              <w:pStyle w:val="TableContents"/>
              <w:bidi w:val="0"/>
              <w:spacing w:before="0" w:after="283"/>
              <w:jc w:val="right"/>
              <w:rPr/>
            </w:pPr>
            <w:r>
              <w:rPr/>
              <w:t> </w:t>
            </w:r>
          </w:p>
        </w:tc>
        <w:tc>
          <w:tcPr>
            <w:tcW w:w="191"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bidi w:val="0"/>
              <w:spacing w:before="0" w:after="283"/>
              <w:jc w:val="right"/>
              <w:rPr>
                <w:rFonts w:ascii="Times New Roman" w:hAnsi="Times New Roman"/>
                <w:sz w:val="20"/>
              </w:rPr>
            </w:pPr>
            <w:r>
              <w:rPr>
                <w:rFonts w:ascii="Times New Roman" w:hAnsi="Times New Roman"/>
                <w:sz w:val="20"/>
              </w:rPr>
              <w:t>22,378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64" w:type="dxa"/>
            <w:tcBorders/>
            <w:shd w:fill="CCEEFF" w:val="clear"/>
            <w:vAlign w:val="bottom"/>
          </w:tcPr>
          <w:p>
            <w:pPr>
              <w:pStyle w:val="TableContents"/>
              <w:bidi w:val="0"/>
              <w:spacing w:before="0" w:after="283"/>
              <w:jc w:val="left"/>
              <w:rPr/>
            </w:pPr>
            <w:r>
              <w:rPr/>
              <w:t> </w:t>
            </w:r>
          </w:p>
        </w:tc>
        <w:tc>
          <w:tcPr>
            <w:tcW w:w="1375" w:type="dxa"/>
            <w:tcBorders/>
            <w:shd w:fill="CCEEFF" w:val="clear"/>
            <w:vAlign w:val="bottom"/>
          </w:tcPr>
          <w:p>
            <w:pPr>
              <w:pStyle w:val="TableContents"/>
              <w:bidi w:val="0"/>
              <w:spacing w:before="0" w:after="283"/>
              <w:jc w:val="right"/>
              <w:rPr>
                <w:rFonts w:ascii="Times New Roman" w:hAnsi="Times New Roman"/>
                <w:sz w:val="20"/>
              </w:rPr>
            </w:pPr>
            <w:r>
              <w:rPr>
                <w:rFonts w:ascii="Times New Roman" w:hAnsi="Times New Roman"/>
                <w:sz w:val="20"/>
              </w:rPr>
              <w:t>20,303</w:t>
            </w:r>
          </w:p>
        </w:tc>
        <w:tc>
          <w:tcPr>
            <w:tcW w:w="95" w:type="dxa"/>
            <w:tcBorders/>
            <w:shd w:fill="CCEEFF" w:val="clear"/>
            <w:vAlign w:val="bottom"/>
          </w:tcPr>
          <w:p>
            <w:pPr>
              <w:pStyle w:val="TableContents"/>
              <w:bidi w:val="0"/>
              <w:spacing w:before="0" w:after="283"/>
              <w:jc w:val="left"/>
              <w:rPr/>
            </w:pPr>
            <w:r>
              <w:rPr/>
              <w:t> </w:t>
            </w:r>
          </w:p>
        </w:tc>
      </w:tr>
      <w:tr>
        <w:trPr/>
        <w:tc>
          <w:tcPr>
            <w:tcW w:w="3245" w:type="dxa"/>
            <w:tcBorders/>
            <w:vAlign w:val="bottom"/>
          </w:tcPr>
          <w:p>
            <w:pPr>
              <w:pStyle w:val="TableContents"/>
              <w:bidi w:val="0"/>
              <w:spacing w:before="0" w:after="0"/>
              <w:ind w:left="288" w:right="0" w:hanging="144"/>
              <w:jc w:val="left"/>
              <w:rPr>
                <w:rFonts w:ascii="Times New Roman" w:hAnsi="Times New Roman"/>
                <w:b w:val="false"/>
                <w:sz w:val="20"/>
              </w:rPr>
            </w:pPr>
            <w:r>
              <w:rPr>
                <w:rFonts w:ascii="Times New Roman" w:hAnsi="Times New Roman"/>
                <w:b w:val="false"/>
                <w:sz w:val="20"/>
              </w:rPr>
              <w:t>Deferred tax - other</w:t>
            </w:r>
          </w:p>
        </w:tc>
        <w:tc>
          <w:tcPr>
            <w:tcW w:w="60" w:type="dxa"/>
            <w:tcBorders/>
            <w:vAlign w:val="bottom"/>
          </w:tcPr>
          <w:p>
            <w:pPr>
              <w:pStyle w:val="TableContents"/>
              <w:bidi w:val="0"/>
              <w:spacing w:before="0" w:after="283"/>
              <w:jc w:val="right"/>
              <w:rPr/>
            </w:pPr>
            <w:r>
              <w:rPr/>
              <w:t> </w:t>
            </w:r>
          </w:p>
        </w:tc>
        <w:tc>
          <w:tcPr>
            <w:tcW w:w="191" w:type="dxa"/>
            <w:tcBorders>
              <w:bottom w:val="single" w:sz="12" w:space="0" w:color="000000"/>
            </w:tcBorders>
            <w:tcMar>
              <w:bottom w:w="28" w:type="dxa"/>
            </w:tcMar>
            <w:vAlign w:val="bottom"/>
          </w:tcPr>
          <w:p>
            <w:pPr>
              <w:pStyle w:val="TableContents"/>
              <w:bidi w:val="0"/>
              <w:spacing w:before="0" w:after="283"/>
              <w:jc w:val="left"/>
              <w:rPr/>
            </w:pPr>
            <w:r>
              <w:rPr/>
              <w:t> </w:t>
            </w:r>
          </w:p>
        </w:tc>
        <w:tc>
          <w:tcPr>
            <w:tcW w:w="998" w:type="dxa"/>
            <w:tcBorders>
              <w:bottom w:val="single" w:sz="12" w:space="0" w:color="000000"/>
            </w:tcBorders>
            <w:tcMar>
              <w:bottom w:w="28" w:type="dxa"/>
            </w:tcMar>
            <w:vAlign w:val="bottom"/>
          </w:tcPr>
          <w:p>
            <w:pPr>
              <w:pStyle w:val="TableContents"/>
              <w:bidi w:val="0"/>
              <w:spacing w:before="0" w:after="283"/>
              <w:jc w:val="right"/>
              <w:rPr/>
            </w:pPr>
            <w:r>
              <w:rPr/>
              <w:t> </w:t>
            </w:r>
            <w:r>
              <w:rPr>
                <w:rFonts w:ascii="Times New Roman" w:hAnsi="Times New Roman"/>
                <w:sz w:val="20"/>
              </w:rPr>
              <w:t>116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64" w:type="dxa"/>
            <w:tcBorders>
              <w:bottom w:val="single" w:sz="12" w:space="0" w:color="000000"/>
            </w:tcBorders>
            <w:tcMar>
              <w:bottom w:w="28" w:type="dxa"/>
            </w:tcMar>
            <w:vAlign w:val="bottom"/>
          </w:tcPr>
          <w:p>
            <w:pPr>
              <w:pStyle w:val="TableContents"/>
              <w:bidi w:val="0"/>
              <w:spacing w:before="0" w:after="283"/>
              <w:jc w:val="left"/>
              <w:rPr/>
            </w:pPr>
            <w:r>
              <w:rPr/>
              <w:t> </w:t>
            </w:r>
          </w:p>
        </w:tc>
        <w:tc>
          <w:tcPr>
            <w:tcW w:w="1375" w:type="dxa"/>
            <w:tcBorders>
              <w:bottom w:val="single" w:sz="12" w:space="0" w:color="000000"/>
            </w:tcBorders>
            <w:tcMar>
              <w:bottom w:w="28" w:type="dxa"/>
            </w:tcMar>
            <w:vAlign w:val="bottom"/>
          </w:tcPr>
          <w:p>
            <w:pPr>
              <w:pStyle w:val="TableContents"/>
              <w:bidi w:val="0"/>
              <w:spacing w:before="0" w:after="283"/>
              <w:jc w:val="right"/>
              <w:rPr/>
            </w:pPr>
            <w:r>
              <w:rPr/>
              <w:t> </w:t>
            </w:r>
            <w:r>
              <w:rPr>
                <w:rFonts w:ascii="Times New Roman" w:hAnsi="Times New Roman"/>
                <w:sz w:val="20"/>
              </w:rPr>
              <w:t>-</w:t>
            </w:r>
          </w:p>
        </w:tc>
        <w:tc>
          <w:tcPr>
            <w:tcW w:w="95" w:type="dxa"/>
            <w:tcBorders/>
            <w:vAlign w:val="bottom"/>
          </w:tcPr>
          <w:p>
            <w:pPr>
              <w:pStyle w:val="TableContents"/>
              <w:bidi w:val="0"/>
              <w:spacing w:before="0" w:after="283"/>
              <w:jc w:val="left"/>
              <w:rPr/>
            </w:pPr>
            <w:r>
              <w:rPr/>
              <w:t> </w:t>
            </w:r>
          </w:p>
        </w:tc>
      </w:tr>
      <w:tr>
        <w:trPr/>
        <w:tc>
          <w:tcPr>
            <w:tcW w:w="3245" w:type="dxa"/>
            <w:tcBorders/>
            <w:shd w:fill="CCEEFF" w:val="clear"/>
            <w:vAlign w:val="bottom"/>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Total net deferred tax assets</w:t>
            </w:r>
          </w:p>
        </w:tc>
        <w:tc>
          <w:tcPr>
            <w:tcW w:w="60" w:type="dxa"/>
            <w:tcBorders/>
            <w:shd w:fill="CCEEFF" w:val="clear"/>
            <w:vAlign w:val="bottom"/>
          </w:tcPr>
          <w:p>
            <w:pPr>
              <w:pStyle w:val="TableContents"/>
              <w:bidi w:val="0"/>
              <w:spacing w:before="0" w:after="283"/>
              <w:jc w:val="right"/>
              <w:rPr/>
            </w:pPr>
            <w:r>
              <w:rPr/>
              <w:t> </w:t>
            </w:r>
          </w:p>
        </w:tc>
        <w:tc>
          <w:tcPr>
            <w:tcW w:w="191" w:type="dxa"/>
            <w:tcBorders/>
            <w:shd w:fill="CCEEFF" w:val="clear"/>
            <w:vAlign w:val="bottom"/>
          </w:tcPr>
          <w:p>
            <w:pPr>
              <w:pStyle w:val="TableContents"/>
              <w:bidi w:val="0"/>
              <w:spacing w:before="0" w:after="283"/>
              <w:jc w:val="left"/>
              <w:rPr>
                <w:rFonts w:ascii="Times New Roman" w:hAnsi="Times New Roman"/>
                <w:b/>
                <w:sz w:val="20"/>
              </w:rPr>
            </w:pPr>
            <w:r>
              <w:rPr>
                <w:rFonts w:ascii="Times New Roman" w:hAnsi="Times New Roman"/>
                <w:b/>
                <w:sz w:val="20"/>
              </w:rPr>
              <w:t>$</w:t>
            </w:r>
          </w:p>
        </w:tc>
        <w:tc>
          <w:tcPr>
            <w:tcW w:w="998" w:type="dxa"/>
            <w:tcBorders/>
            <w:shd w:fill="CCEEFF" w:val="clear"/>
            <w:vAlign w:val="bottom"/>
          </w:tcPr>
          <w:p>
            <w:pPr>
              <w:pStyle w:val="TableContents"/>
              <w:bidi w:val="0"/>
              <w:spacing w:before="0" w:after="283"/>
              <w:jc w:val="right"/>
              <w:rPr>
                <w:rFonts w:ascii="Times New Roman" w:hAnsi="Times New Roman"/>
                <w:b/>
                <w:sz w:val="20"/>
              </w:rPr>
            </w:pPr>
            <w:r>
              <w:rPr>
                <w:rFonts w:ascii="Times New Roman" w:hAnsi="Times New Roman"/>
                <w:b/>
                <w:sz w:val="20"/>
              </w:rPr>
              <w:t>7,717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64" w:type="dxa"/>
            <w:tcBorders/>
            <w:shd w:fill="CCEEFF" w:val="clear"/>
            <w:vAlign w:val="bottom"/>
          </w:tcPr>
          <w:p>
            <w:pPr>
              <w:pStyle w:val="TableContents"/>
              <w:bidi w:val="0"/>
              <w:spacing w:before="0" w:after="283"/>
              <w:jc w:val="left"/>
              <w:rPr>
                <w:rFonts w:ascii="Times New Roman" w:hAnsi="Times New Roman"/>
                <w:b/>
                <w:sz w:val="20"/>
              </w:rPr>
            </w:pPr>
            <w:r>
              <w:rPr>
                <w:rFonts w:ascii="Times New Roman" w:hAnsi="Times New Roman"/>
                <w:b/>
                <w:sz w:val="20"/>
              </w:rPr>
              <w:t>$</w:t>
            </w:r>
          </w:p>
        </w:tc>
        <w:tc>
          <w:tcPr>
            <w:tcW w:w="1375" w:type="dxa"/>
            <w:tcBorders/>
            <w:shd w:fill="CCEEFF" w:val="clear"/>
            <w:vAlign w:val="bottom"/>
          </w:tcPr>
          <w:p>
            <w:pPr>
              <w:pStyle w:val="TableContents"/>
              <w:bidi w:val="0"/>
              <w:spacing w:before="0" w:after="283"/>
              <w:jc w:val="right"/>
              <w:rPr>
                <w:rFonts w:ascii="Times New Roman" w:hAnsi="Times New Roman"/>
                <w:b/>
                <w:sz w:val="20"/>
              </w:rPr>
            </w:pPr>
            <w:r>
              <w:rPr>
                <w:rFonts w:ascii="Times New Roman" w:hAnsi="Times New Roman"/>
                <w:b/>
                <w:sz w:val="20"/>
              </w:rPr>
              <w:t>8,723</w:t>
            </w:r>
          </w:p>
        </w:tc>
        <w:tc>
          <w:tcPr>
            <w:tcW w:w="9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47</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In assessing the realizability of deferred tax assets, the Company considers whether it is more likely than not that some portion or all of the deferred tax assets will not be realized. The ultimate realization of deferred tax assets is dependent upon the generation of future taxable income during the periods in which temporary differences become deductible. The Company had net operating losses (“NOLs”) of $96.7 million as of June 30, 2026, which were created subsequent to 2017 and can be carried forward indefinitely. As of June 30, 2026, the Company believes it is more likely than not that it will fully realize its deferred tax assets. Deferred tax assets are included in “Receivables and other assets” in the consolidated balance sheets.</w:t>
      </w:r>
    </w:p>
    <w:p>
      <w:pPr>
        <w:pStyle w:val="TextBody"/>
        <w:bidi w:val="0"/>
        <w:spacing w:before="0" w:after="0"/>
        <w:jc w:val="left"/>
        <w:rPr/>
      </w:pPr>
      <w:r>
        <w:rPr/>
      </w:r>
    </w:p>
    <w:p>
      <w:pPr>
        <w:pStyle w:val="TextBody"/>
        <w:bidi w:val="0"/>
        <w:spacing w:before="0" w:after="0"/>
        <w:ind w:left="0" w:right="0" w:hanging="0"/>
        <w:jc w:val="left"/>
        <w:rPr>
          <w:caps w:val="false"/>
          <w:smallCaps w:val="false"/>
          <w:color w:val="000000"/>
          <w:spacing w:val="0"/>
          <w:shd w:fill="FFFFFF" w:val="clear"/>
        </w:rPr>
      </w:pPr>
      <w:r>
        <w:rPr>
          <w:caps w:val="false"/>
          <w:smallCaps w:val="false"/>
          <w:color w:val="000000"/>
          <w:spacing w:val="0"/>
          <w:shd w:fill="FFFFFF" w:val="clear"/>
        </w:rPr>
        <w:t> </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Based on the Company’s evaluation, the Company has concluded that there are no significant liabilities for unrecognized tax benefits required to be reported in the Company’s consolidated financial statements. Additionally, there were no amounts accrued for penalties or interest as of or during the periods presented in these consolidated financial statements.</w:t>
      </w:r>
    </w:p>
    <w:p>
      <w:pPr>
        <w:pStyle w:val="TextBody"/>
        <w:bidi w:val="0"/>
        <w:spacing w:before="0" w:after="0"/>
        <w:jc w:val="left"/>
        <w:rPr/>
      </w:pPr>
      <w:r>
        <w:rPr/>
      </w:r>
    </w:p>
    <w:p>
      <w:pPr>
        <w:pStyle w:val="TextBody"/>
        <w:bidi w:val="0"/>
        <w:spacing w:before="0" w:after="0"/>
        <w:ind w:left="0" w:right="0" w:hanging="0"/>
        <w:jc w:val="both"/>
        <w:rPr>
          <w:caps w:val="false"/>
          <w:smallCaps w:val="false"/>
          <w:color w:val="000000"/>
          <w:spacing w:val="0"/>
          <w:shd w:fill="FFFFFF" w:val="clear"/>
        </w:rPr>
      </w:pPr>
      <w:r>
        <w:rPr>
          <w:caps w:val="false"/>
          <w:smallCaps w:val="false"/>
          <w:color w:val="000000"/>
          <w:spacing w:val="0"/>
          <w:shd w:fill="FFFFFF" w:val="clear"/>
        </w:rPr>
        <w:t> </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The Company’s 2024, 2023 and 2022 federal, state and local income tax returns remain open for examination by the relevant authorities.</w:t>
      </w:r>
    </w:p>
    <w:p>
      <w:pPr>
        <w:pStyle w:val="TextBody"/>
        <w:bidi w:val="0"/>
        <w:spacing w:before="0" w:after="0"/>
        <w:jc w:val="left"/>
        <w:rPr/>
      </w:pPr>
      <w:r>
        <w:rPr/>
      </w:r>
    </w:p>
    <w:p>
      <w:pPr>
        <w:pStyle w:val="TextBody"/>
        <w:bidi w:val="0"/>
        <w:spacing w:before="0" w:after="0"/>
        <w:ind w:left="0" w:right="0" w:hanging="0"/>
        <w:jc w:val="both"/>
        <w:rPr>
          <w:caps w:val="false"/>
          <w:smallCaps w:val="false"/>
          <w:color w:val="000000"/>
          <w:spacing w:val="0"/>
          <w:shd w:fill="FFFFFF" w:val="clear"/>
        </w:rPr>
      </w:pPr>
      <w:r>
        <w:rPr>
          <w:caps w:val="false"/>
          <w:smallCaps w:val="false"/>
          <w:color w:val="000000"/>
          <w:spacing w:val="0"/>
          <w:shd w:fill="FFFFFF" w:val="clear"/>
        </w:rPr>
        <w:t> </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Distributions to stockholders generally will be primarily taxable as ordinary income, although a portion of such distributions may be designated as qualified dividend income or may constitute a return of capital. The Company furnishes annually to each stockholder a statement setting forth distributions paid during the preceding year and their U.S. federal income tax treatment.</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Note 15 — Subsequent Events</w:t>
      </w:r>
    </w:p>
    <w:p>
      <w:pPr>
        <w:pStyle w:val="TextBody"/>
        <w:bidi w:val="0"/>
        <w:spacing w:before="0" w:after="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r>
    </w:p>
    <w:p>
      <w:pPr>
        <w:pStyle w:val="TextBody"/>
        <w:bidi w:val="0"/>
        <w:spacing w:before="0" w:after="0"/>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z w:val="20"/>
          <w:shd w:fill="FFFFFF" w:val="clear"/>
        </w:rPr>
        <w:t>Merger Agreement</w:t>
      </w:r>
    </w:p>
    <w:p>
      <w:pPr>
        <w:pStyle w:val="TextBody"/>
        <w:bidi w:val="0"/>
        <w:spacing w:before="0" w:after="0"/>
        <w:jc w:val="left"/>
        <w:rPr>
          <w:rFonts w:ascii="Times New Roman;Times;serif" w:hAnsi="Times New Roman;Times;serif"/>
          <w:b/>
          <w:sz w:val="20"/>
        </w:rPr>
      </w:pPr>
      <w:r>
        <w:rPr>
          <w:rFonts w:ascii="Times New Roman;Times;serif" w:hAnsi="Times New Roman;Times;serif"/>
          <w:b/>
          <w:sz w:val="20"/>
        </w:rPr>
      </w:r>
    </w:p>
    <w:p>
      <w:pPr>
        <w:pStyle w:val="TextBody"/>
        <w:bidi w:val="0"/>
        <w:spacing w:before="0" w:after="0"/>
        <w:jc w:val="both"/>
        <w:rPr/>
      </w:pPr>
      <w:r>
        <w:rPr/>
      </w:r>
    </w:p>
    <w:p>
      <w:pPr>
        <w:pStyle w:val="TextBody"/>
        <w:bidi w:val="0"/>
        <w:spacing w:before="0" w:after="0"/>
        <w:ind w:left="0" w:right="0" w:firstLine="72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z w:val="20"/>
          <w:shd w:fill="FFFFFF" w:val="clear"/>
        </w:rPr>
        <w:t>On August 9, 2026, the Company, the Operating Partnership, TPG Mortgage Investment Trust, Inc, a Maryland corporation (“MITT”), MIT Merger Sub II, LLC, a Delaware limited liability company and a subsidiary of MITT (“Merger Sub”), AG REIT Management, LLC, a Delaware limited liability company and MITT's external manager (the “MITT Manager”), entered into an Agreement and Plan of Merger (the “Merger Agreement”), pursuant to which, among other things, (a) CHOP will merge with and into the Company, with the Company surviving such merger (the “Partnership Merger”) and, (b) following the Partnership Merger Effective Time, the Company will merge with and into Merger Sub, with Merger Sub being the surviving entity of such merger (the “Company Merger”, and together with the Partnership Merger, the “Mergers”).</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ind w:left="0" w:right="0" w:firstLine="72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z w:val="20"/>
          <w:shd w:fill="FFFFFF" w:val="clear"/>
        </w:rPr>
        <w:t>Prior to the Partnership Merger, the Company will take all actions necessary to convert all outstanding partnership units of CHOP (“Company Partnership Units”) that are designated as an “LTIP Unit” (“Company LTIP Units” or “LTIP OP Units”) into Company Partnership Units designated as common units of CHOP (“Company Common Units”). Each Company Common Unit outstanding immediately prior to the effective time of the Partnership Merger (other than Canceled Units (as defined below)) will convert into the right to receive the Common Stock Merger Consideration (as defined below). Company Partnership Units held by the Company, MITT or their respective subsidiaries (the “Canceled Units”), and the Company's general partnership interest in CHOP, will be cancelled for no consideration at the effective time of the Partnership Merger.</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ind w:left="0" w:right="0" w:firstLine="72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z w:val="20"/>
          <w:shd w:fill="FFFFFF" w:val="clear"/>
        </w:rPr>
        <w:t>At the effective time of the Company Merger, (i) each share of the Company's common stock, par value $0.01 per share, issued and outstanding immediately prior to the effective time of the Company Merger (other than shares of the Company's common stock and preferred stock held by the Company, MITT or any direct or indirect subsidiary of MITT or the Company, in each case, immediately prior to the effective time of the Company Merger (“Cancelled Shares”)) will convert into the right to receive a fixed combination of stock and cash, consisting of (A) from MITT, (x) that number of validly issued, fully paid and non-assessable shares of common stock, par value $0.01 per share, of MITT (“MITT Common Stock”) equal to 0.3063x (the “Per Share MITT Stock Consideration”) and (y) $0.41 per share in cash, without interest (the “Per Share MITT Cash Consideration”), and (B) from MITT Manager, $0.52 per share in cash (the “Per Share Additional Manager Consideration,” and together with the Per Share MITT Stock Consideration and the Per Share MITT Cash Consideration, the “Common Stock Merger Consideration”), (ii) each share of the Company's 8.20% Series A Cumulative Redeemable Preferred Stock, $0.01 par value per share (the “Company Series A Preferred Stock”), issued and outstanding immediately prior to the effective time of the Company Merger (excluding Cancelled Shares) will convert into the right to receive one newly issued share of MITT's 8.20% Series D Cumulative Redeemable Preferred Stock, having the rights, preferences, privileges and voting powers substantially the same as those of the Company Series A Preferred Stock and (iii) each share of the Company's 8.250% Series B Fixed-to-Floating Rate Cumulative Redeemable Preferred Stock, $0.01 par value per share (“Company Series B Preferred Stock” and together with the Company Series A Preferred Stock, the “Company Preferred Stock”), issued and outstanding immediately prior to the effective time of the Company Merger Effective Time (excluding Cancelled Shares) will automatically convert into the right to receive one newly issued share of MITT's 8.250% Series E Floating Rate Cumulative Redeemable Preferred Stock, having the rights, preferences, privileges and voting powers substantially the same as those of the Company Series B Preferred Stock.</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ind w:left="0" w:right="0" w:firstLine="72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z w:val="20"/>
          <w:shd w:fill="FFFFFF" w:val="clear"/>
        </w:rPr>
        <w:t>The Mergers are expected to close in the fourth quarter of 2026, subject to the approval of the Company's common stockholders and MITT's common stockholders and the satisfaction of other customary closing conditions.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48</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Normal"/>
        <w:bidi w:val="0"/>
        <w:spacing w:before="0" w:after="0"/>
        <w:jc w:val="left"/>
        <w:rPr>
          <w:sz w:val="4"/>
          <w:szCs w:val="4"/>
        </w:rPr>
      </w:pPr>
      <w:r>
        <w:rPr>
          <w:sz w:val="4"/>
          <w:szCs w:val="4"/>
        </w:rPr>
      </w:r>
      <w:bookmarkStart w:id="16" w:name="ManagementsDiscussionandAnalysisofFinanc"/>
      <w:bookmarkStart w:id="17" w:name="ManagementsDiscussionandAnalysisofFinanc"/>
      <w:bookmarkEnd w:id="17"/>
    </w:p>
    <w:tbl>
      <w:tblPr>
        <w:tblW w:w="8275" w:type="dxa"/>
        <w:jc w:val="left"/>
        <w:tblInd w:w="0" w:type="dxa"/>
        <w:tblLayout w:type="fixed"/>
        <w:tblCellMar>
          <w:top w:w="0" w:type="dxa"/>
          <w:left w:w="0" w:type="dxa"/>
          <w:bottom w:w="0" w:type="dxa"/>
          <w:right w:w="0" w:type="dxa"/>
        </w:tblCellMar>
      </w:tblPr>
      <w:tblGrid>
        <w:gridCol w:w="740"/>
        <w:gridCol w:w="7535"/>
      </w:tblGrid>
      <w:tr>
        <w:trPr/>
        <w:tc>
          <w:tcPr>
            <w:tcW w:w="740" w:type="dxa"/>
            <w:tcBorders/>
            <w:vAlign w:val="center"/>
          </w:tcPr>
          <w:p>
            <w:pPr>
              <w:pStyle w:val="TableContents"/>
              <w:bidi w:val="0"/>
              <w:spacing w:before="0" w:after="283"/>
              <w:jc w:val="left"/>
              <w:rPr>
                <w:b/>
                <w:color w:val="000000"/>
              </w:rPr>
            </w:pPr>
            <w:r>
              <w:rPr>
                <w:b/>
                <w:color w:val="000000"/>
              </w:rPr>
              <w:t>Item 2.</w:t>
            </w:r>
          </w:p>
        </w:tc>
        <w:tc>
          <w:tcPr>
            <w:tcW w:w="7535" w:type="dxa"/>
            <w:tcBorders/>
            <w:vAlign w:val="center"/>
          </w:tcPr>
          <w:p>
            <w:pPr>
              <w:pStyle w:val="TableContents"/>
              <w:bidi w:val="0"/>
              <w:spacing w:before="0" w:after="0"/>
              <w:jc w:val="left"/>
              <w:rPr>
                <w:b/>
                <w:color w:val="000000"/>
                <w:sz w:val="20"/>
              </w:rPr>
            </w:pPr>
            <w:r>
              <w:rPr>
                <w:b/>
                <w:color w:val="000000"/>
                <w:sz w:val="20"/>
              </w:rPr>
              <w:t>Management’s Discussion and Analysis of Financial Condition and Results of Operations.</w:t>
            </w:r>
          </w:p>
        </w:tc>
      </w:tr>
    </w:tbl>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following discussion and analysis should be read in conjunction with our consolidated financial statements and the accompanying notes included in “Part I, Item 1. Consolidated Financial Statements” of this Quarterly Report on Form 10-Q. All currency amounts are presented in thousands, except per share amounts or as otherwise noted.</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General</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On  November 14, 2024, we became a fully integrated, internally managed residential real estate finance company focused on acquiring, investing in and managing residential mortgage assets in the United States. We were incorporated in Maryland on October 31, 2012, and we commenced operations on or about October 9, 2013, following the completion of our initial public offering and a concurrent private placement. Our common stock, our Series A Preferred Stock and our Series B Preferred Stock are listed and traded on the NYSE under the symbols “CHMI”, “CHMI-PRA” and “CHMI-PRB”, respectively.</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Our principal objective is to generate attractive current yields and risk-adjusted total returns for our stockholders over the long term, primarily through dividend distributions and secondarily through capital appreciation. We attempt to attain this objective by selectively constructing and actively managing a portfolio of Servicing Related Assets (as defined below) and residential mortgage-backed securities (“RMBS”) and, subject to market conditions, other cash flowing residential mortgage assets.</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We are subject to the risks involved with real estate and real estate-related debt instruments. These include, among others, the risks normally associated with changes in the general economic climate, changes in the mortgage market, changes in tax laws, interest rate levels, and the availability of financing.</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We elected to be taxed as a REIT for U.S. federal income tax purposes commencing with our short taxable year ended December 31, 2013. We operate so as to continue to qualify to be taxed as a REIT. Our asset acquisition strategy focuses on acquiring a diversified portfolio of residential mortgage assets that balances the risk and reward opportunities our internal management team observes in the marketplace. Aurora has or is in the process of obtaining the licenses necessary to invest in mortgage servicing rights (“MSRs”) on a nationwide basis and is an approved seller/servicer for Fannie Mae and Freddie Mac.</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In addition to Servicing Related Assets, we invest in RMBS, primarily those backed by 30-, 20- and 15-year fixed rate mortgages that offer what we believe to be favorable prepayment and duration characteristics. Our RMBS consist solely of Agency RMBS on which the payments of principal and interest are guaranteed by an Agency. In the past, we have invested in Agency CMOs consisting of IOs as well as non-Agency RMBS and may do so in the future subject to market conditions and availability of capital. We finance our RMBS with an amount of leverage, that varies from time to time depending on the particular characteristics of our portfolio, the availability of financing and market conditions. We do not have a targeted leverage ratio for our RMBS. Our borrowings for RMBS consist of short-term borrowings under master repurchase agreements.</w:t>
      </w:r>
    </w:p>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49</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Subject to maintaining our qualification as a REIT, we utilize derivative financial instruments (or hedging instruments) to hedge our exposure to potential interest rate mismatches between the interest we earn on our assets and our borrowing costs caused by fluctuations in short-term interest rates. In utilizing leverage and interest rate hedges, our objectives include, where desirable, locking in, on a long-term basis, a spread between the yield on our assets and the cost of our financing in an effort to improve returns to our stockholders.</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We also seek to operate our business in a manner that does not require us to register as an investment company under the Investment Company Act.</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We conduct substantially all of our operations and own substantially all of our assets through our Operating Partnership. We are the sole general partner of our Operating Partnership. As of June 30, 2026, we owned 98.5% of our Operating Partnership. Our Operating Partnership, in turn, owns all of the outstanding common stock of CHMI Sub-REIT, Inc. (the “Sub-REIT”). The Sub-REIT has elected to be taxed as a REIT under the Code commencing with its taxable year ended December 31, 2020.</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From time to time, we may issue and sell shares of our common stock or preferred stock, including additional shares of our Series A Preferred Stock or Series B Preferred Stock. See “Item 1. Consolidated Financial Statements—Note 6. Equity and Earnings per Common Share—Common and Preferred Stock.”</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Pursuant to the Company’s Common Stock ATM Program, the Company may offer and sell through one or more sales agents, up to $150.0 million in shares of its common stock at prices prevailing at the time, subject to volume and other regulatory limitations. As of June 30, 2026, approximately $34.6 million was remaining pursuant to the Common Stock ATM Program. During the three and six-month periods ended June 30, 2026, the Company did not issue or sell any shares pursuant to the Common Stock ATM Program. During the year ended December 31, 2025, the Company issued and sold 4,909,053 shares of common stock under the Common Stock ATM Program. The shares were sold at a weighted average price of $3.00 per share for aggregate gross proceeds of approximately $14.7 million before fees of approximately $293,000.</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In September 2019, the Company initiated a share repurchase program that allows for the repurchase of up to an aggregate of $10.0 million of its common stock. As of June 30, 2026, approximately $4.7 million was remaining under the share repurchase program. Shares may be repurchased from time to time through privately negotiated transactions or open market transactions, pursuant to a trading plan in accordance with Rules 10b5-1 and 10b-18 under the Securities Exchange Act, or by any combination of such methods. The manner, price, number and timing of share repurchases are subject to a variety of factors, including market conditions and applicable SEC rules. The share repurchase program does not require the purchase of any minimum number of shares, and, subject to SEC rules, purchases may be commenced or suspended at any time without prior notice. During the three and six-month periods ended June 30, 2026 and the year ended December 31, 2025, the Company did not repurchase any common stock pursuant to the repurchase program.</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In December 2023, the Company initiated a preferred stock repurchase program that allows for the repurchase of up to an aggregate of $50.0 million of its shares of preferred stock. Shares of preferred stock may be repurchased from time to time through privately negotiated transactions or open market transactions, pursuant to a trading plan in accordance with Rules 10b5-1 under the Exchange Act. The manner, price, number and timing of share repurchases are subject to a variety of factors, including market conditions and applicable SEC rules. The preferred stock repurchase program does not require the purchase of any minimum number of shares of preferred stock, and, subject to SEC rules, purchases may be commenced or suspended at any time without prior notice. During the three and six-month periods ended June 30, 2026 and the year ended December 31, 2025, the Company did not repurchase any Preferred Stock pursuant to the repurchase program. Shares of preferred stock that are repurchased by the Company cease to be outstanding but remain authorized for future issuance.</w:t>
      </w:r>
    </w:p>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50</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Effects of Federal Reserve Policy on the Company</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Since September 2025, the Federal Reserve has reduced its federal funds rate target by a cumulative 75 basis points to a range of 3.50% to 3.75%. During the first half of 2026, the Federal Open Market Committee maintained a target range at 3.50% to 3.75%, citing continued moderation in inflation, a softer labor market, and uncertainty regarding the economic outlook.</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Effective December 1, 2025, the Federal Reserve ceased reducing its balance sheet. Since 2022, the Federal Reserve had been allowing a set amount of Treasury securities and Agency RMBS on its balance sheet to roll off each month without reinvestment. Prior to December 1, 2025, the Federal Reserve’s monthly redemption cap on U.S. Treasury Securities was $5 billion and its redemption cap on agency debt/MBS was $35 billion with excess principal payments reinvested in U.S. Treasury securities.</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On May 13, 2026, the U.S. Senate confirmed Kevin Warsh to serve as Chairman of the Federal Reserve. Mr. Warsh succeeded Jerome Powell upon the expiration of Mr. Powell’s term as Chair in May 2026, although Mr. Powell remains a member of the Board of Governors, with his term extending into 2028. A change in Federal Reserve leadership may result in actual or perceived shifts in monetary policy priorities and could contribute to increased volatility in interest rates and financial markets.</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To the extent the Federal Reserve takes future action to ease monetary policy by reducing its federal funds rate and/or purchasing securities and increasing its balance sheet, it will generally lower interest rates across asset classes, including for Agency RMBS. Lower rates could reduce our funding costs and spur economic activity, increasing our net interest income. Higher prepayment could reduce the length of cash flows from the MSRs and accelerate the premium amortization on the RMBS portfolio.</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Conversely, if the Federal Reserve tightens monetary policy in the future by increasing the federal funds rate and/or selling securities and reducing its balance sheet, these actions could result in higher interest rates, including for Agency RMBS, and reduce economic activity in the United States, as well as decrease spreads on interest rates, which can reduce our net interest income and increase our funding costs. They may also negatively impact our results as we have certain assets and liabilities that are sensitive to changes in interest rates. In addition, lower net interest income resulting from higher rates is partially offset by lower prepayments which extends the length of cash flows from the MSRs and slows the premium amortization on the RMBS portfolio.</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impact on our operating results of future actions by the Federal Reserve that change market interest rates is discussed further below. See “Factors Impacting our Operating Results.”</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Factors Impacting our Operating Results</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Our income is generated primarily by the net spread between the income we earn on our assets and the cost of our financing and hedging activities as well as the amortization of any purchase premiums or the accretion of discounts. Our net income includes the actual interest payments we receive on our RMBS, the net servicing fees we receive on our MSRs and the accretion/amortization of any purchase discounts/premiums. Changes in various factors such as market interest rates, prepayment speeds, estimated future cash flows, servicing costs and credit quality could affect the amount of premium to be amortized or discount to be accreted into interest income for a given period. Prepayment speeds vary according to the type of investment, conditions in the financial markets, competition and other factors, none of which can be predicted with any certainty. Our operating results may also be affected by credit losses in excess of initial anticipations or unanticipated credit events experienced by borrowers whose mortgage loans underlie the MSRs held by Aurora.</w:t>
      </w:r>
    </w:p>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51</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Set forth below is the positive net spread between the yield on RMBS and our costs of funding those assets at the end of each of the quarters indicated below:</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Average Net Yield Spread at Period End</w:t>
      </w:r>
    </w:p>
    <w:p>
      <w:pPr>
        <w:pStyle w:val="TextBody"/>
        <w:bidi w:val="0"/>
        <w:spacing w:before="0" w:after="0"/>
        <w:jc w:val="left"/>
        <w:rPr>
          <w:sz w:val="20"/>
        </w:rPr>
      </w:pPr>
      <w:r>
        <w:rPr>
          <w:sz w:val="20"/>
        </w:rPr>
      </w:r>
    </w:p>
    <w:tbl>
      <w:tblPr>
        <w:tblW w:w="6152" w:type="dxa"/>
        <w:jc w:val="left"/>
        <w:tblInd w:w="0" w:type="dxa"/>
        <w:tblLayout w:type="fixed"/>
        <w:tblCellMar>
          <w:top w:w="0" w:type="dxa"/>
          <w:left w:w="0" w:type="dxa"/>
          <w:bottom w:w="28" w:type="dxa"/>
          <w:right w:w="0" w:type="dxa"/>
        </w:tblCellMar>
      </w:tblPr>
      <w:tblGrid>
        <w:gridCol w:w="1655"/>
        <w:gridCol w:w="60"/>
        <w:gridCol w:w="128"/>
        <w:gridCol w:w="821"/>
        <w:gridCol w:w="185"/>
        <w:gridCol w:w="60"/>
        <w:gridCol w:w="197"/>
        <w:gridCol w:w="1262"/>
        <w:gridCol w:w="185"/>
        <w:gridCol w:w="60"/>
        <w:gridCol w:w="182"/>
        <w:gridCol w:w="1157"/>
        <w:gridCol w:w="200"/>
      </w:tblGrid>
      <w:tr>
        <w:trPr/>
        <w:tc>
          <w:tcPr>
            <w:tcW w:w="1655" w:type="dxa"/>
            <w:tcBorders>
              <w:bottom w:val="single" w:sz="12" w:space="0" w:color="000000"/>
            </w:tcBorders>
            <w:vAlign w:val="bottom"/>
          </w:tcPr>
          <w:p>
            <w:pPr>
              <w:pStyle w:val="TableContents"/>
              <w:bidi w:val="0"/>
              <w:spacing w:before="0" w:after="0"/>
              <w:ind w:left="144" w:right="0" w:hanging="144"/>
              <w:jc w:val="center"/>
              <w:rPr>
                <w:b/>
                <w:color w:val="000000"/>
                <w:sz w:val="20"/>
              </w:rPr>
            </w:pPr>
            <w:r>
              <w:rPr>
                <w:b/>
                <w:color w:val="000000"/>
                <w:sz w:val="20"/>
              </w:rPr>
              <w:t>Quarter Ended</w:t>
            </w:r>
          </w:p>
        </w:tc>
        <w:tc>
          <w:tcPr>
            <w:tcW w:w="60" w:type="dxa"/>
            <w:tcBorders/>
            <w:tcMar>
              <w:bottom w:w="0" w:type="dxa"/>
            </w:tcMar>
            <w:vAlign w:val="bottom"/>
          </w:tcPr>
          <w:p>
            <w:pPr>
              <w:pStyle w:val="TableContents"/>
              <w:bidi w:val="0"/>
              <w:spacing w:before="0" w:after="283"/>
              <w:jc w:val="left"/>
              <w:rPr/>
            </w:pPr>
            <w:r>
              <w:rPr/>
              <w:t> </w:t>
            </w:r>
          </w:p>
        </w:tc>
        <w:tc>
          <w:tcPr>
            <w:tcW w:w="949" w:type="dxa"/>
            <w:gridSpan w:val="2"/>
            <w:tcBorders>
              <w:bottom w:val="single" w:sz="12" w:space="0" w:color="000000"/>
            </w:tcBorders>
            <w:vAlign w:val="bottom"/>
          </w:tcPr>
          <w:p>
            <w:pPr>
              <w:pStyle w:val="TableContents"/>
              <w:bidi w:val="0"/>
              <w:spacing w:before="0" w:after="0"/>
              <w:jc w:val="center"/>
              <w:rPr>
                <w:b/>
                <w:sz w:val="20"/>
              </w:rPr>
            </w:pPr>
            <w:r>
              <w:rPr>
                <w:b/>
                <w:sz w:val="20"/>
              </w:rPr>
              <w:t>Average</w:t>
              <w:br/>
              <w:t>Asset Yield</w:t>
            </w:r>
          </w:p>
        </w:tc>
        <w:tc>
          <w:tcPr>
            <w:tcW w:w="18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459" w:type="dxa"/>
            <w:gridSpan w:val="2"/>
            <w:tcBorders>
              <w:bottom w:val="single" w:sz="12" w:space="0" w:color="000000"/>
            </w:tcBorders>
            <w:vAlign w:val="bottom"/>
          </w:tcPr>
          <w:p>
            <w:pPr>
              <w:pStyle w:val="TableContents"/>
              <w:bidi w:val="0"/>
              <w:spacing w:lineRule="auto" w:line="240" w:before="0" w:after="0"/>
              <w:jc w:val="center"/>
              <w:rPr>
                <w:b/>
                <w:sz w:val="20"/>
              </w:rPr>
            </w:pPr>
            <w:r>
              <w:rPr>
                <w:b/>
                <w:sz w:val="20"/>
              </w:rPr>
              <w:t>Average</w:t>
              <w:br/>
              <w:t>Cost of Funds (A)</w:t>
            </w:r>
          </w:p>
        </w:tc>
        <w:tc>
          <w:tcPr>
            <w:tcW w:w="18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339" w:type="dxa"/>
            <w:gridSpan w:val="2"/>
            <w:tcBorders>
              <w:bottom w:val="single" w:sz="12" w:space="0" w:color="000000"/>
            </w:tcBorders>
            <w:vAlign w:val="bottom"/>
          </w:tcPr>
          <w:p>
            <w:pPr>
              <w:pStyle w:val="TableContents"/>
              <w:bidi w:val="0"/>
              <w:spacing w:before="0" w:after="0"/>
              <w:jc w:val="center"/>
              <w:rPr>
                <w:b/>
              </w:rPr>
            </w:pPr>
            <w:r>
              <w:rPr>
                <w:b/>
              </w:rPr>
              <w:t>Average Net</w:t>
              <w:br/>
              <w:t>Interest Rate</w:t>
            </w:r>
          </w:p>
          <w:p>
            <w:pPr>
              <w:pStyle w:val="TableContents"/>
              <w:bidi w:val="0"/>
              <w:spacing w:before="0" w:after="0"/>
              <w:jc w:val="center"/>
              <w:rPr>
                <w:b/>
              </w:rPr>
            </w:pPr>
            <w:r>
              <w:rPr>
                <w:b/>
              </w:rPr>
              <w:t>Spread</w:t>
            </w:r>
          </w:p>
        </w:tc>
        <w:tc>
          <w:tcPr>
            <w:tcW w:w="200" w:type="dxa"/>
            <w:tcBorders/>
            <w:tcMar>
              <w:bottom w:w="0" w:type="dxa"/>
            </w:tcMar>
            <w:vAlign w:val="bottom"/>
          </w:tcPr>
          <w:p>
            <w:pPr>
              <w:pStyle w:val="TableContents"/>
              <w:bidi w:val="0"/>
              <w:spacing w:before="0" w:after="283"/>
              <w:jc w:val="left"/>
              <w:rPr/>
            </w:pPr>
            <w:r>
              <w:rPr/>
              <w:t> </w:t>
            </w:r>
          </w:p>
        </w:tc>
      </w:tr>
      <w:tr>
        <w:trPr/>
        <w:tc>
          <w:tcPr>
            <w:tcW w:w="1655" w:type="dxa"/>
            <w:tcBorders/>
            <w:shd w:fill="CCEEFF" w:val="clear"/>
            <w:tcMar>
              <w:bottom w:w="0" w:type="dxa"/>
            </w:tcMar>
            <w:vAlign w:val="bottom"/>
          </w:tcPr>
          <w:p>
            <w:pPr>
              <w:pStyle w:val="TableContents"/>
              <w:bidi w:val="0"/>
              <w:spacing w:before="0" w:after="0"/>
              <w:ind w:left="144" w:right="0" w:hanging="144"/>
              <w:jc w:val="left"/>
              <w:rPr>
                <w:color w:val="000000"/>
                <w:sz w:val="20"/>
              </w:rPr>
            </w:pPr>
            <w:r>
              <w:rPr>
                <w:color w:val="000000"/>
                <w:sz w:val="20"/>
              </w:rPr>
              <w:t>June 30, 2026</w:t>
            </w:r>
          </w:p>
        </w:tc>
        <w:tc>
          <w:tcPr>
            <w:tcW w:w="60" w:type="dxa"/>
            <w:tcBorders/>
            <w:shd w:fill="CCEEFF" w:val="clear"/>
            <w:tcMar>
              <w:bottom w:w="0" w:type="dxa"/>
            </w:tcMar>
            <w:vAlign w:val="bottom"/>
          </w:tcPr>
          <w:p>
            <w:pPr>
              <w:pStyle w:val="TableContents"/>
              <w:bidi w:val="0"/>
              <w:spacing w:before="0" w:after="283"/>
              <w:jc w:val="left"/>
              <w:rPr/>
            </w:pPr>
            <w:r>
              <w:rPr/>
              <w:t> </w:t>
            </w:r>
          </w:p>
        </w:tc>
        <w:tc>
          <w:tcPr>
            <w:tcW w:w="128" w:type="dxa"/>
            <w:tcBorders/>
            <w:shd w:fill="CCEEFF" w:val="clear"/>
            <w:tcMar>
              <w:bottom w:w="0" w:type="dxa"/>
            </w:tcMar>
            <w:vAlign w:val="bottom"/>
          </w:tcPr>
          <w:p>
            <w:pPr>
              <w:pStyle w:val="TableContents"/>
              <w:bidi w:val="0"/>
              <w:spacing w:before="0" w:after="283"/>
              <w:jc w:val="left"/>
              <w:rPr/>
            </w:pPr>
            <w:r>
              <w:rPr/>
              <w:t> </w:t>
            </w:r>
          </w:p>
        </w:tc>
        <w:tc>
          <w:tcPr>
            <w:tcW w:w="821" w:type="dxa"/>
            <w:tcBorders/>
            <w:shd w:fill="CCEEFF" w:val="clear"/>
            <w:tcMar>
              <w:bottom w:w="0" w:type="dxa"/>
            </w:tcMar>
            <w:vAlign w:val="bottom"/>
          </w:tcPr>
          <w:p>
            <w:pPr>
              <w:pStyle w:val="TableContents"/>
              <w:bidi w:val="0"/>
              <w:spacing w:before="0" w:after="0"/>
              <w:jc w:val="right"/>
              <w:rPr>
                <w:sz w:val="20"/>
              </w:rPr>
            </w:pPr>
            <w:r>
              <w:rPr>
                <w:sz w:val="20"/>
              </w:rPr>
              <w:t>5.16</w:t>
            </w:r>
          </w:p>
        </w:tc>
        <w:tc>
          <w:tcPr>
            <w:tcW w:w="185" w:type="dxa"/>
            <w:tcBorders/>
            <w:shd w:fill="CCEEFF" w:val="clear"/>
            <w:tcMar>
              <w:bottom w:w="0" w:type="dxa"/>
            </w:tcMar>
            <w:vAlign w:val="bottom"/>
          </w:tcPr>
          <w:p>
            <w:pPr>
              <w:pStyle w:val="TableContents"/>
              <w:bidi w:val="0"/>
              <w:spacing w:before="0" w:after="0"/>
              <w:jc w:val="left"/>
              <w:rPr>
                <w:color w:val="000000"/>
                <w:sz w:val="20"/>
              </w:rPr>
            </w:pPr>
            <w:r>
              <w:rPr>
                <w:color w:val="000000"/>
                <w:sz w:val="20"/>
              </w:rPr>
              <w:t>%</w:t>
            </w:r>
          </w:p>
        </w:tc>
        <w:tc>
          <w:tcPr>
            <w:tcW w:w="60" w:type="dxa"/>
            <w:tcBorders/>
            <w:shd w:fill="CCEEFF" w:val="clear"/>
            <w:tcMar>
              <w:bottom w:w="0" w:type="dxa"/>
            </w:tcMar>
            <w:vAlign w:val="bottom"/>
          </w:tcPr>
          <w:p>
            <w:pPr>
              <w:pStyle w:val="TableContents"/>
              <w:bidi w:val="0"/>
              <w:spacing w:before="0" w:after="283"/>
              <w:jc w:val="left"/>
              <w:rPr/>
            </w:pPr>
            <w:r>
              <w:rPr/>
              <w:t> </w:t>
            </w:r>
          </w:p>
        </w:tc>
        <w:tc>
          <w:tcPr>
            <w:tcW w:w="197" w:type="dxa"/>
            <w:tcBorders/>
            <w:shd w:fill="CCEEFF" w:val="clear"/>
            <w:tcMar>
              <w:bottom w:w="0" w:type="dxa"/>
            </w:tcMar>
            <w:vAlign w:val="bottom"/>
          </w:tcPr>
          <w:p>
            <w:pPr>
              <w:pStyle w:val="TableContents"/>
              <w:bidi w:val="0"/>
              <w:spacing w:before="0" w:after="283"/>
              <w:jc w:val="left"/>
              <w:rPr/>
            </w:pPr>
            <w:r>
              <w:rPr/>
              <w:t> </w:t>
            </w:r>
          </w:p>
        </w:tc>
        <w:tc>
          <w:tcPr>
            <w:tcW w:w="1262" w:type="dxa"/>
            <w:tcBorders/>
            <w:shd w:fill="CCEEFF" w:val="clear"/>
            <w:tcMar>
              <w:bottom w:w="0" w:type="dxa"/>
            </w:tcMar>
            <w:vAlign w:val="bottom"/>
          </w:tcPr>
          <w:p>
            <w:pPr>
              <w:pStyle w:val="TableContents"/>
              <w:bidi w:val="0"/>
              <w:spacing w:before="0" w:after="0"/>
              <w:jc w:val="right"/>
              <w:rPr>
                <w:sz w:val="20"/>
              </w:rPr>
            </w:pPr>
            <w:r>
              <w:rPr>
                <w:sz w:val="20"/>
              </w:rPr>
              <w:t>1.49</w:t>
            </w:r>
          </w:p>
        </w:tc>
        <w:tc>
          <w:tcPr>
            <w:tcW w:w="185" w:type="dxa"/>
            <w:tcBorders/>
            <w:shd w:fill="CCEEFF" w:val="clear"/>
            <w:tcMar>
              <w:bottom w:w="0" w:type="dxa"/>
            </w:tcMar>
            <w:vAlign w:val="bottom"/>
          </w:tcPr>
          <w:p>
            <w:pPr>
              <w:pStyle w:val="TableContents"/>
              <w:bidi w:val="0"/>
              <w:spacing w:before="0" w:after="0"/>
              <w:jc w:val="left"/>
              <w:rPr>
                <w:color w:val="000000"/>
                <w:sz w:val="20"/>
              </w:rPr>
            </w:pPr>
            <w:r>
              <w:rPr>
                <w:color w:val="000000"/>
                <w:sz w:val="20"/>
              </w:rPr>
              <w:t>%</w:t>
            </w:r>
          </w:p>
        </w:tc>
        <w:tc>
          <w:tcPr>
            <w:tcW w:w="60" w:type="dxa"/>
            <w:tcBorders/>
            <w:shd w:fill="CCEEFF" w:val="clear"/>
            <w:tcMar>
              <w:bottom w:w="0" w:type="dxa"/>
            </w:tcMar>
            <w:vAlign w:val="bottom"/>
          </w:tcPr>
          <w:p>
            <w:pPr>
              <w:pStyle w:val="TableContents"/>
              <w:bidi w:val="0"/>
              <w:spacing w:before="0" w:after="283"/>
              <w:jc w:val="left"/>
              <w:rPr/>
            </w:pPr>
            <w:r>
              <w:rPr/>
              <w:t> </w:t>
            </w:r>
          </w:p>
        </w:tc>
        <w:tc>
          <w:tcPr>
            <w:tcW w:w="182" w:type="dxa"/>
            <w:tcBorders/>
            <w:shd w:fill="CCEEFF" w:val="clear"/>
            <w:tcMar>
              <w:bottom w:w="0" w:type="dxa"/>
            </w:tcMar>
            <w:vAlign w:val="bottom"/>
          </w:tcPr>
          <w:p>
            <w:pPr>
              <w:pStyle w:val="TableContents"/>
              <w:bidi w:val="0"/>
              <w:spacing w:before="0" w:after="283"/>
              <w:jc w:val="left"/>
              <w:rPr/>
            </w:pPr>
            <w:r>
              <w:rPr/>
              <w:t> </w:t>
            </w:r>
          </w:p>
        </w:tc>
        <w:tc>
          <w:tcPr>
            <w:tcW w:w="1157" w:type="dxa"/>
            <w:tcBorders/>
            <w:shd w:fill="CCEEFF" w:val="clear"/>
            <w:tcMar>
              <w:bottom w:w="0" w:type="dxa"/>
            </w:tcMar>
            <w:vAlign w:val="bottom"/>
          </w:tcPr>
          <w:p>
            <w:pPr>
              <w:pStyle w:val="TableContents"/>
              <w:bidi w:val="0"/>
              <w:spacing w:before="0" w:after="0"/>
              <w:jc w:val="right"/>
              <w:rPr>
                <w:sz w:val="20"/>
              </w:rPr>
            </w:pPr>
            <w:r>
              <w:rPr>
                <w:sz w:val="20"/>
              </w:rPr>
              <w:t>3.67</w:t>
            </w:r>
          </w:p>
        </w:tc>
        <w:tc>
          <w:tcPr>
            <w:tcW w:w="200" w:type="dxa"/>
            <w:tcBorders/>
            <w:shd w:fill="CCEEFF" w:val="clear"/>
            <w:tcMar>
              <w:bottom w:w="0" w:type="dxa"/>
            </w:tcMar>
            <w:vAlign w:val="bottom"/>
          </w:tcPr>
          <w:p>
            <w:pPr>
              <w:pStyle w:val="TableContents"/>
              <w:bidi w:val="0"/>
              <w:spacing w:before="0" w:after="0"/>
              <w:jc w:val="left"/>
              <w:rPr>
                <w:color w:val="000000"/>
                <w:sz w:val="20"/>
              </w:rPr>
            </w:pPr>
            <w:r>
              <w:rPr>
                <w:color w:val="000000"/>
                <w:sz w:val="20"/>
              </w:rPr>
              <w:t>%</w:t>
            </w:r>
          </w:p>
        </w:tc>
      </w:tr>
      <w:tr>
        <w:trPr/>
        <w:tc>
          <w:tcPr>
            <w:tcW w:w="1655" w:type="dxa"/>
            <w:tcBorders/>
            <w:tcMar>
              <w:bottom w:w="0" w:type="dxa"/>
            </w:tcMar>
            <w:vAlign w:val="bottom"/>
          </w:tcPr>
          <w:p>
            <w:pPr>
              <w:pStyle w:val="TableContents"/>
              <w:bidi w:val="0"/>
              <w:spacing w:before="0" w:after="0"/>
              <w:ind w:left="144" w:right="0" w:hanging="144"/>
              <w:jc w:val="left"/>
              <w:rPr>
                <w:color w:val="000000"/>
                <w:sz w:val="20"/>
              </w:rPr>
            </w:pPr>
            <w:r>
              <w:rPr>
                <w:color w:val="000000"/>
                <w:sz w:val="20"/>
              </w:rPr>
              <w:t>March 31, 2026</w:t>
            </w:r>
          </w:p>
        </w:tc>
        <w:tc>
          <w:tcPr>
            <w:tcW w:w="60" w:type="dxa"/>
            <w:tcBorders/>
            <w:tcMar>
              <w:bottom w:w="0" w:type="dxa"/>
            </w:tcMar>
            <w:vAlign w:val="bottom"/>
          </w:tcPr>
          <w:p>
            <w:pPr>
              <w:pStyle w:val="TableContents"/>
              <w:bidi w:val="0"/>
              <w:spacing w:before="0" w:after="283"/>
              <w:jc w:val="left"/>
              <w:rPr/>
            </w:pPr>
            <w:r>
              <w:rPr/>
              <w:t> </w:t>
            </w:r>
          </w:p>
        </w:tc>
        <w:tc>
          <w:tcPr>
            <w:tcW w:w="128" w:type="dxa"/>
            <w:tcBorders/>
            <w:tcMar>
              <w:bottom w:w="0" w:type="dxa"/>
            </w:tcMar>
            <w:vAlign w:val="bottom"/>
          </w:tcPr>
          <w:p>
            <w:pPr>
              <w:pStyle w:val="TableContents"/>
              <w:bidi w:val="0"/>
              <w:spacing w:before="0" w:after="283"/>
              <w:jc w:val="left"/>
              <w:rPr/>
            </w:pPr>
            <w:r>
              <w:rPr/>
              <w:t> </w:t>
            </w:r>
          </w:p>
        </w:tc>
        <w:tc>
          <w:tcPr>
            <w:tcW w:w="821" w:type="dxa"/>
            <w:tcBorders/>
            <w:tcMar>
              <w:bottom w:w="0" w:type="dxa"/>
            </w:tcMar>
            <w:vAlign w:val="bottom"/>
          </w:tcPr>
          <w:p>
            <w:pPr>
              <w:pStyle w:val="TableContents"/>
              <w:bidi w:val="0"/>
              <w:spacing w:before="0" w:after="0"/>
              <w:jc w:val="right"/>
              <w:rPr>
                <w:sz w:val="20"/>
              </w:rPr>
            </w:pPr>
            <w:r>
              <w:rPr>
                <w:sz w:val="20"/>
              </w:rPr>
              <w:t>5.08</w:t>
            </w:r>
          </w:p>
        </w:tc>
        <w:tc>
          <w:tcPr>
            <w:tcW w:w="185" w:type="dxa"/>
            <w:tcBorders/>
            <w:tcMar>
              <w:bottom w:w="0" w:type="dxa"/>
            </w:tcMar>
            <w:vAlign w:val="bottom"/>
          </w:tcPr>
          <w:p>
            <w:pPr>
              <w:pStyle w:val="TableContents"/>
              <w:bidi w:val="0"/>
              <w:spacing w:before="0" w:after="0"/>
              <w:jc w:val="left"/>
              <w:rPr>
                <w:color w:val="000000"/>
                <w:sz w:val="20"/>
              </w:rPr>
            </w:pPr>
            <w:r>
              <w:rPr>
                <w:color w:val="000000"/>
                <w:sz w:val="20"/>
              </w:rPr>
              <w:t>%</w:t>
            </w:r>
          </w:p>
        </w:tc>
        <w:tc>
          <w:tcPr>
            <w:tcW w:w="60" w:type="dxa"/>
            <w:tcBorders/>
            <w:tcMar>
              <w:bottom w:w="0" w:type="dxa"/>
            </w:tcMar>
            <w:vAlign w:val="bottom"/>
          </w:tcPr>
          <w:p>
            <w:pPr>
              <w:pStyle w:val="TableContents"/>
              <w:bidi w:val="0"/>
              <w:spacing w:before="0" w:after="283"/>
              <w:jc w:val="left"/>
              <w:rPr/>
            </w:pPr>
            <w:r>
              <w:rPr/>
              <w:t> </w:t>
            </w:r>
          </w:p>
        </w:tc>
        <w:tc>
          <w:tcPr>
            <w:tcW w:w="197" w:type="dxa"/>
            <w:tcBorders/>
            <w:tcMar>
              <w:bottom w:w="0" w:type="dxa"/>
            </w:tcMar>
            <w:vAlign w:val="bottom"/>
          </w:tcPr>
          <w:p>
            <w:pPr>
              <w:pStyle w:val="TableContents"/>
              <w:bidi w:val="0"/>
              <w:spacing w:before="0" w:after="283"/>
              <w:jc w:val="left"/>
              <w:rPr/>
            </w:pPr>
            <w:r>
              <w:rPr/>
              <w:t> </w:t>
            </w:r>
          </w:p>
        </w:tc>
        <w:tc>
          <w:tcPr>
            <w:tcW w:w="1262" w:type="dxa"/>
            <w:tcBorders/>
            <w:tcMar>
              <w:bottom w:w="0" w:type="dxa"/>
            </w:tcMar>
            <w:vAlign w:val="bottom"/>
          </w:tcPr>
          <w:p>
            <w:pPr>
              <w:pStyle w:val="TableContents"/>
              <w:bidi w:val="0"/>
              <w:spacing w:before="0" w:after="0"/>
              <w:jc w:val="right"/>
              <w:rPr>
                <w:sz w:val="20"/>
              </w:rPr>
            </w:pPr>
            <w:r>
              <w:rPr>
                <w:sz w:val="20"/>
              </w:rPr>
              <w:t>1.63</w:t>
            </w:r>
          </w:p>
        </w:tc>
        <w:tc>
          <w:tcPr>
            <w:tcW w:w="185" w:type="dxa"/>
            <w:tcBorders/>
            <w:tcMar>
              <w:bottom w:w="0" w:type="dxa"/>
            </w:tcMar>
            <w:vAlign w:val="bottom"/>
          </w:tcPr>
          <w:p>
            <w:pPr>
              <w:pStyle w:val="TableContents"/>
              <w:bidi w:val="0"/>
              <w:spacing w:before="0" w:after="0"/>
              <w:jc w:val="left"/>
              <w:rPr>
                <w:color w:val="000000"/>
                <w:sz w:val="20"/>
              </w:rPr>
            </w:pPr>
            <w:r>
              <w:rPr>
                <w:color w:val="000000"/>
                <w:sz w:val="20"/>
              </w:rPr>
              <w:t>%</w:t>
            </w:r>
          </w:p>
        </w:tc>
        <w:tc>
          <w:tcPr>
            <w:tcW w:w="60" w:type="dxa"/>
            <w:tcBorders/>
            <w:tcMar>
              <w:bottom w:w="0" w:type="dxa"/>
            </w:tcMar>
            <w:vAlign w:val="bottom"/>
          </w:tcPr>
          <w:p>
            <w:pPr>
              <w:pStyle w:val="TableContents"/>
              <w:bidi w:val="0"/>
              <w:spacing w:before="0" w:after="283"/>
              <w:jc w:val="left"/>
              <w:rPr/>
            </w:pPr>
            <w:r>
              <w:rPr/>
              <w:t> </w:t>
            </w:r>
          </w:p>
        </w:tc>
        <w:tc>
          <w:tcPr>
            <w:tcW w:w="182" w:type="dxa"/>
            <w:tcBorders/>
            <w:tcMar>
              <w:bottom w:w="0" w:type="dxa"/>
            </w:tcMar>
            <w:vAlign w:val="bottom"/>
          </w:tcPr>
          <w:p>
            <w:pPr>
              <w:pStyle w:val="TableContents"/>
              <w:bidi w:val="0"/>
              <w:spacing w:before="0" w:after="283"/>
              <w:jc w:val="left"/>
              <w:rPr/>
            </w:pPr>
            <w:r>
              <w:rPr/>
              <w:t> </w:t>
            </w:r>
          </w:p>
        </w:tc>
        <w:tc>
          <w:tcPr>
            <w:tcW w:w="1157" w:type="dxa"/>
            <w:tcBorders/>
            <w:tcMar>
              <w:bottom w:w="0" w:type="dxa"/>
            </w:tcMar>
            <w:vAlign w:val="bottom"/>
          </w:tcPr>
          <w:p>
            <w:pPr>
              <w:pStyle w:val="TableContents"/>
              <w:bidi w:val="0"/>
              <w:spacing w:before="0" w:after="0"/>
              <w:jc w:val="right"/>
              <w:rPr>
                <w:sz w:val="20"/>
              </w:rPr>
            </w:pPr>
            <w:r>
              <w:rPr>
                <w:sz w:val="20"/>
              </w:rPr>
              <w:t>3.44</w:t>
            </w:r>
          </w:p>
        </w:tc>
        <w:tc>
          <w:tcPr>
            <w:tcW w:w="200" w:type="dxa"/>
            <w:tcBorders/>
            <w:tcMar>
              <w:bottom w:w="0" w:type="dxa"/>
            </w:tcMar>
            <w:vAlign w:val="bottom"/>
          </w:tcPr>
          <w:p>
            <w:pPr>
              <w:pStyle w:val="TableContents"/>
              <w:bidi w:val="0"/>
              <w:spacing w:before="0" w:after="0"/>
              <w:jc w:val="left"/>
              <w:rPr>
                <w:color w:val="000000"/>
                <w:sz w:val="20"/>
              </w:rPr>
            </w:pPr>
            <w:r>
              <w:rPr>
                <w:color w:val="000000"/>
                <w:sz w:val="20"/>
              </w:rPr>
              <w:t>%</w:t>
            </w:r>
          </w:p>
        </w:tc>
      </w:tr>
      <w:tr>
        <w:trPr/>
        <w:tc>
          <w:tcPr>
            <w:tcW w:w="1655" w:type="dxa"/>
            <w:tcBorders/>
            <w:shd w:fill="CCEEFF" w:val="clear"/>
            <w:tcMar>
              <w:bottom w:w="0" w:type="dxa"/>
            </w:tcMar>
            <w:vAlign w:val="bottom"/>
          </w:tcPr>
          <w:p>
            <w:pPr>
              <w:pStyle w:val="TableContents"/>
              <w:bidi w:val="0"/>
              <w:spacing w:before="0" w:after="0"/>
              <w:ind w:left="144" w:right="0" w:hanging="144"/>
              <w:jc w:val="left"/>
              <w:rPr>
                <w:color w:val="000000"/>
                <w:sz w:val="20"/>
              </w:rPr>
            </w:pPr>
            <w:r>
              <w:rPr>
                <w:color w:val="000000"/>
                <w:sz w:val="20"/>
              </w:rPr>
              <w:t>December 31, 2025</w:t>
            </w:r>
          </w:p>
        </w:tc>
        <w:tc>
          <w:tcPr>
            <w:tcW w:w="60" w:type="dxa"/>
            <w:tcBorders/>
            <w:shd w:fill="CCEEFF" w:val="clear"/>
            <w:tcMar>
              <w:bottom w:w="0" w:type="dxa"/>
            </w:tcMar>
            <w:vAlign w:val="bottom"/>
          </w:tcPr>
          <w:p>
            <w:pPr>
              <w:pStyle w:val="TableContents"/>
              <w:bidi w:val="0"/>
              <w:spacing w:before="0" w:after="283"/>
              <w:jc w:val="left"/>
              <w:rPr/>
            </w:pPr>
            <w:r>
              <w:rPr/>
              <w:t> </w:t>
            </w:r>
          </w:p>
        </w:tc>
        <w:tc>
          <w:tcPr>
            <w:tcW w:w="128" w:type="dxa"/>
            <w:tcBorders/>
            <w:shd w:fill="CCEEFF" w:val="clear"/>
            <w:tcMar>
              <w:bottom w:w="0" w:type="dxa"/>
            </w:tcMar>
            <w:vAlign w:val="bottom"/>
          </w:tcPr>
          <w:p>
            <w:pPr>
              <w:pStyle w:val="TableContents"/>
              <w:bidi w:val="0"/>
              <w:spacing w:before="0" w:after="283"/>
              <w:jc w:val="left"/>
              <w:rPr/>
            </w:pPr>
            <w:r>
              <w:rPr/>
              <w:t> </w:t>
            </w:r>
          </w:p>
        </w:tc>
        <w:tc>
          <w:tcPr>
            <w:tcW w:w="821" w:type="dxa"/>
            <w:tcBorders/>
            <w:shd w:fill="CCEEFF" w:val="clear"/>
            <w:tcMar>
              <w:bottom w:w="0" w:type="dxa"/>
            </w:tcMar>
            <w:vAlign w:val="bottom"/>
          </w:tcPr>
          <w:p>
            <w:pPr>
              <w:pStyle w:val="TableContents"/>
              <w:bidi w:val="0"/>
              <w:spacing w:before="0" w:after="0"/>
              <w:jc w:val="right"/>
              <w:rPr>
                <w:sz w:val="20"/>
              </w:rPr>
            </w:pPr>
            <w:r>
              <w:rPr>
                <w:sz w:val="20"/>
              </w:rPr>
              <w:t>5.08</w:t>
            </w:r>
          </w:p>
        </w:tc>
        <w:tc>
          <w:tcPr>
            <w:tcW w:w="185" w:type="dxa"/>
            <w:tcBorders/>
            <w:shd w:fill="CCEEFF" w:val="clear"/>
            <w:tcMar>
              <w:bottom w:w="0" w:type="dxa"/>
            </w:tcMar>
            <w:vAlign w:val="bottom"/>
          </w:tcPr>
          <w:p>
            <w:pPr>
              <w:pStyle w:val="TableContents"/>
              <w:bidi w:val="0"/>
              <w:spacing w:before="0" w:after="0"/>
              <w:jc w:val="left"/>
              <w:rPr>
                <w:color w:val="000000"/>
                <w:sz w:val="20"/>
              </w:rPr>
            </w:pPr>
            <w:r>
              <w:rPr>
                <w:color w:val="000000"/>
                <w:sz w:val="20"/>
              </w:rPr>
              <w:t>%</w:t>
            </w:r>
          </w:p>
        </w:tc>
        <w:tc>
          <w:tcPr>
            <w:tcW w:w="60" w:type="dxa"/>
            <w:tcBorders/>
            <w:shd w:fill="CCEEFF" w:val="clear"/>
            <w:tcMar>
              <w:bottom w:w="0" w:type="dxa"/>
            </w:tcMar>
            <w:vAlign w:val="bottom"/>
          </w:tcPr>
          <w:p>
            <w:pPr>
              <w:pStyle w:val="TableContents"/>
              <w:bidi w:val="0"/>
              <w:spacing w:before="0" w:after="283"/>
              <w:jc w:val="left"/>
              <w:rPr/>
            </w:pPr>
            <w:r>
              <w:rPr/>
              <w:t> </w:t>
            </w:r>
          </w:p>
        </w:tc>
        <w:tc>
          <w:tcPr>
            <w:tcW w:w="197" w:type="dxa"/>
            <w:tcBorders/>
            <w:shd w:fill="CCEEFF" w:val="clear"/>
            <w:tcMar>
              <w:bottom w:w="0" w:type="dxa"/>
            </w:tcMar>
            <w:vAlign w:val="bottom"/>
          </w:tcPr>
          <w:p>
            <w:pPr>
              <w:pStyle w:val="TableContents"/>
              <w:bidi w:val="0"/>
              <w:spacing w:before="0" w:after="283"/>
              <w:jc w:val="left"/>
              <w:rPr/>
            </w:pPr>
            <w:r>
              <w:rPr/>
              <w:t> </w:t>
            </w:r>
          </w:p>
        </w:tc>
        <w:tc>
          <w:tcPr>
            <w:tcW w:w="1262" w:type="dxa"/>
            <w:tcBorders/>
            <w:shd w:fill="CCEEFF" w:val="clear"/>
            <w:tcMar>
              <w:bottom w:w="0" w:type="dxa"/>
            </w:tcMar>
            <w:vAlign w:val="bottom"/>
          </w:tcPr>
          <w:p>
            <w:pPr>
              <w:pStyle w:val="TableContents"/>
              <w:bidi w:val="0"/>
              <w:spacing w:before="0" w:after="0"/>
              <w:jc w:val="right"/>
              <w:rPr>
                <w:sz w:val="20"/>
              </w:rPr>
            </w:pPr>
            <w:r>
              <w:rPr>
                <w:sz w:val="20"/>
              </w:rPr>
              <w:t>1.62</w:t>
            </w:r>
          </w:p>
        </w:tc>
        <w:tc>
          <w:tcPr>
            <w:tcW w:w="185" w:type="dxa"/>
            <w:tcBorders/>
            <w:shd w:fill="CCEEFF" w:val="clear"/>
            <w:tcMar>
              <w:bottom w:w="0" w:type="dxa"/>
            </w:tcMar>
            <w:vAlign w:val="bottom"/>
          </w:tcPr>
          <w:p>
            <w:pPr>
              <w:pStyle w:val="TableContents"/>
              <w:bidi w:val="0"/>
              <w:spacing w:before="0" w:after="0"/>
              <w:jc w:val="left"/>
              <w:rPr>
                <w:color w:val="000000"/>
                <w:sz w:val="20"/>
              </w:rPr>
            </w:pPr>
            <w:r>
              <w:rPr>
                <w:color w:val="000000"/>
                <w:sz w:val="20"/>
              </w:rPr>
              <w:t>%</w:t>
            </w:r>
          </w:p>
        </w:tc>
        <w:tc>
          <w:tcPr>
            <w:tcW w:w="60" w:type="dxa"/>
            <w:tcBorders/>
            <w:shd w:fill="CCEEFF" w:val="clear"/>
            <w:tcMar>
              <w:bottom w:w="0" w:type="dxa"/>
            </w:tcMar>
            <w:vAlign w:val="bottom"/>
          </w:tcPr>
          <w:p>
            <w:pPr>
              <w:pStyle w:val="TableContents"/>
              <w:bidi w:val="0"/>
              <w:spacing w:before="0" w:after="283"/>
              <w:jc w:val="left"/>
              <w:rPr/>
            </w:pPr>
            <w:r>
              <w:rPr/>
              <w:t> </w:t>
            </w:r>
          </w:p>
        </w:tc>
        <w:tc>
          <w:tcPr>
            <w:tcW w:w="182" w:type="dxa"/>
            <w:tcBorders/>
            <w:shd w:fill="CCEEFF" w:val="clear"/>
            <w:tcMar>
              <w:bottom w:w="0" w:type="dxa"/>
            </w:tcMar>
            <w:vAlign w:val="bottom"/>
          </w:tcPr>
          <w:p>
            <w:pPr>
              <w:pStyle w:val="TableContents"/>
              <w:bidi w:val="0"/>
              <w:spacing w:before="0" w:after="283"/>
              <w:jc w:val="left"/>
              <w:rPr/>
            </w:pPr>
            <w:r>
              <w:rPr/>
              <w:t> </w:t>
            </w:r>
          </w:p>
        </w:tc>
        <w:tc>
          <w:tcPr>
            <w:tcW w:w="1157" w:type="dxa"/>
            <w:tcBorders/>
            <w:shd w:fill="CCEEFF" w:val="clear"/>
            <w:tcMar>
              <w:bottom w:w="0" w:type="dxa"/>
            </w:tcMar>
            <w:vAlign w:val="bottom"/>
          </w:tcPr>
          <w:p>
            <w:pPr>
              <w:pStyle w:val="TableContents"/>
              <w:bidi w:val="0"/>
              <w:spacing w:before="0" w:after="0"/>
              <w:jc w:val="right"/>
              <w:rPr>
                <w:sz w:val="20"/>
              </w:rPr>
            </w:pPr>
            <w:r>
              <w:rPr>
                <w:sz w:val="20"/>
              </w:rPr>
              <w:t>3.46</w:t>
            </w:r>
          </w:p>
        </w:tc>
        <w:tc>
          <w:tcPr>
            <w:tcW w:w="200" w:type="dxa"/>
            <w:tcBorders/>
            <w:shd w:fill="CCEEFF" w:val="clear"/>
            <w:tcMar>
              <w:bottom w:w="0" w:type="dxa"/>
            </w:tcMar>
            <w:vAlign w:val="bottom"/>
          </w:tcPr>
          <w:p>
            <w:pPr>
              <w:pStyle w:val="TableContents"/>
              <w:bidi w:val="0"/>
              <w:spacing w:before="0" w:after="0"/>
              <w:jc w:val="left"/>
              <w:rPr>
                <w:color w:val="000000"/>
                <w:sz w:val="20"/>
              </w:rPr>
            </w:pPr>
            <w:r>
              <w:rPr>
                <w:color w:val="000000"/>
                <w:sz w:val="20"/>
              </w:rPr>
              <w:t>%</w:t>
            </w:r>
          </w:p>
        </w:tc>
      </w:tr>
      <w:tr>
        <w:trPr/>
        <w:tc>
          <w:tcPr>
            <w:tcW w:w="1655" w:type="dxa"/>
            <w:tcBorders/>
            <w:tcMar>
              <w:bottom w:w="0" w:type="dxa"/>
            </w:tcMar>
            <w:vAlign w:val="bottom"/>
          </w:tcPr>
          <w:p>
            <w:pPr>
              <w:pStyle w:val="TableContents"/>
              <w:bidi w:val="0"/>
              <w:spacing w:before="0" w:after="0"/>
              <w:ind w:left="144" w:right="0" w:hanging="144"/>
              <w:jc w:val="left"/>
              <w:rPr>
                <w:color w:val="000000"/>
                <w:sz w:val="20"/>
              </w:rPr>
            </w:pPr>
            <w:r>
              <w:rPr>
                <w:color w:val="000000"/>
                <w:sz w:val="20"/>
              </w:rPr>
              <w:t>September 30, 2025</w:t>
            </w:r>
          </w:p>
        </w:tc>
        <w:tc>
          <w:tcPr>
            <w:tcW w:w="60" w:type="dxa"/>
            <w:tcBorders/>
            <w:tcMar>
              <w:bottom w:w="0" w:type="dxa"/>
            </w:tcMar>
            <w:vAlign w:val="bottom"/>
          </w:tcPr>
          <w:p>
            <w:pPr>
              <w:pStyle w:val="TableContents"/>
              <w:bidi w:val="0"/>
              <w:spacing w:before="0" w:after="283"/>
              <w:jc w:val="left"/>
              <w:rPr/>
            </w:pPr>
            <w:r>
              <w:rPr/>
              <w:t> </w:t>
            </w:r>
          </w:p>
        </w:tc>
        <w:tc>
          <w:tcPr>
            <w:tcW w:w="128" w:type="dxa"/>
            <w:tcBorders/>
            <w:tcMar>
              <w:bottom w:w="0" w:type="dxa"/>
            </w:tcMar>
            <w:vAlign w:val="bottom"/>
          </w:tcPr>
          <w:p>
            <w:pPr>
              <w:pStyle w:val="TableContents"/>
              <w:bidi w:val="0"/>
              <w:spacing w:before="0" w:after="283"/>
              <w:jc w:val="left"/>
              <w:rPr/>
            </w:pPr>
            <w:r>
              <w:rPr/>
              <w:t> </w:t>
            </w:r>
          </w:p>
        </w:tc>
        <w:tc>
          <w:tcPr>
            <w:tcW w:w="821" w:type="dxa"/>
            <w:tcBorders/>
            <w:tcMar>
              <w:bottom w:w="0" w:type="dxa"/>
            </w:tcMar>
            <w:vAlign w:val="bottom"/>
          </w:tcPr>
          <w:p>
            <w:pPr>
              <w:pStyle w:val="TableContents"/>
              <w:bidi w:val="0"/>
              <w:spacing w:before="0" w:after="0"/>
              <w:jc w:val="right"/>
              <w:rPr>
                <w:sz w:val="20"/>
              </w:rPr>
            </w:pPr>
            <w:r>
              <w:rPr>
                <w:sz w:val="20"/>
              </w:rPr>
              <w:t>5.08</w:t>
            </w:r>
          </w:p>
        </w:tc>
        <w:tc>
          <w:tcPr>
            <w:tcW w:w="185" w:type="dxa"/>
            <w:tcBorders/>
            <w:tcMar>
              <w:bottom w:w="0" w:type="dxa"/>
            </w:tcMar>
            <w:vAlign w:val="bottom"/>
          </w:tcPr>
          <w:p>
            <w:pPr>
              <w:pStyle w:val="TableContents"/>
              <w:bidi w:val="0"/>
              <w:spacing w:before="0" w:after="0"/>
              <w:jc w:val="left"/>
              <w:rPr>
                <w:color w:val="000000"/>
                <w:sz w:val="20"/>
              </w:rPr>
            </w:pPr>
            <w:r>
              <w:rPr>
                <w:color w:val="000000"/>
                <w:sz w:val="20"/>
              </w:rPr>
              <w:t>%</w:t>
            </w:r>
          </w:p>
        </w:tc>
        <w:tc>
          <w:tcPr>
            <w:tcW w:w="60" w:type="dxa"/>
            <w:tcBorders/>
            <w:tcMar>
              <w:bottom w:w="0" w:type="dxa"/>
            </w:tcMar>
            <w:vAlign w:val="bottom"/>
          </w:tcPr>
          <w:p>
            <w:pPr>
              <w:pStyle w:val="TableContents"/>
              <w:bidi w:val="0"/>
              <w:spacing w:before="0" w:after="283"/>
              <w:jc w:val="left"/>
              <w:rPr/>
            </w:pPr>
            <w:r>
              <w:rPr/>
              <w:t> </w:t>
            </w:r>
          </w:p>
        </w:tc>
        <w:tc>
          <w:tcPr>
            <w:tcW w:w="197" w:type="dxa"/>
            <w:tcBorders/>
            <w:tcMar>
              <w:bottom w:w="0" w:type="dxa"/>
            </w:tcMar>
            <w:vAlign w:val="bottom"/>
          </w:tcPr>
          <w:p>
            <w:pPr>
              <w:pStyle w:val="TableContents"/>
              <w:bidi w:val="0"/>
              <w:spacing w:before="0" w:after="283"/>
              <w:jc w:val="left"/>
              <w:rPr/>
            </w:pPr>
            <w:r>
              <w:rPr/>
              <w:t> </w:t>
            </w:r>
          </w:p>
        </w:tc>
        <w:tc>
          <w:tcPr>
            <w:tcW w:w="1262" w:type="dxa"/>
            <w:tcBorders/>
            <w:tcMar>
              <w:bottom w:w="0" w:type="dxa"/>
            </w:tcMar>
            <w:vAlign w:val="bottom"/>
          </w:tcPr>
          <w:p>
            <w:pPr>
              <w:pStyle w:val="TableContents"/>
              <w:bidi w:val="0"/>
              <w:spacing w:before="0" w:after="0"/>
              <w:jc w:val="right"/>
              <w:rPr>
                <w:sz w:val="20"/>
              </w:rPr>
            </w:pPr>
            <w:r>
              <w:rPr>
                <w:sz w:val="20"/>
              </w:rPr>
              <w:t>1.31</w:t>
            </w:r>
          </w:p>
        </w:tc>
        <w:tc>
          <w:tcPr>
            <w:tcW w:w="185" w:type="dxa"/>
            <w:tcBorders/>
            <w:tcMar>
              <w:bottom w:w="0" w:type="dxa"/>
            </w:tcMar>
            <w:vAlign w:val="bottom"/>
          </w:tcPr>
          <w:p>
            <w:pPr>
              <w:pStyle w:val="TableContents"/>
              <w:bidi w:val="0"/>
              <w:spacing w:before="0" w:after="0"/>
              <w:jc w:val="left"/>
              <w:rPr>
                <w:color w:val="000000"/>
                <w:sz w:val="20"/>
              </w:rPr>
            </w:pPr>
            <w:r>
              <w:rPr>
                <w:color w:val="000000"/>
                <w:sz w:val="20"/>
              </w:rPr>
              <w:t>%</w:t>
            </w:r>
          </w:p>
        </w:tc>
        <w:tc>
          <w:tcPr>
            <w:tcW w:w="60" w:type="dxa"/>
            <w:tcBorders/>
            <w:tcMar>
              <w:bottom w:w="0" w:type="dxa"/>
            </w:tcMar>
            <w:vAlign w:val="bottom"/>
          </w:tcPr>
          <w:p>
            <w:pPr>
              <w:pStyle w:val="TableContents"/>
              <w:bidi w:val="0"/>
              <w:spacing w:before="0" w:after="283"/>
              <w:jc w:val="left"/>
              <w:rPr/>
            </w:pPr>
            <w:r>
              <w:rPr/>
              <w:t> </w:t>
            </w:r>
          </w:p>
        </w:tc>
        <w:tc>
          <w:tcPr>
            <w:tcW w:w="182" w:type="dxa"/>
            <w:tcBorders/>
            <w:tcMar>
              <w:bottom w:w="0" w:type="dxa"/>
            </w:tcMar>
            <w:vAlign w:val="bottom"/>
          </w:tcPr>
          <w:p>
            <w:pPr>
              <w:pStyle w:val="TableContents"/>
              <w:bidi w:val="0"/>
              <w:spacing w:before="0" w:after="283"/>
              <w:jc w:val="left"/>
              <w:rPr/>
            </w:pPr>
            <w:r>
              <w:rPr/>
              <w:t> </w:t>
            </w:r>
          </w:p>
        </w:tc>
        <w:tc>
          <w:tcPr>
            <w:tcW w:w="1157" w:type="dxa"/>
            <w:tcBorders/>
            <w:tcMar>
              <w:bottom w:w="0" w:type="dxa"/>
            </w:tcMar>
            <w:vAlign w:val="bottom"/>
          </w:tcPr>
          <w:p>
            <w:pPr>
              <w:pStyle w:val="TableContents"/>
              <w:bidi w:val="0"/>
              <w:spacing w:before="0" w:after="0"/>
              <w:jc w:val="right"/>
              <w:rPr>
                <w:sz w:val="20"/>
              </w:rPr>
            </w:pPr>
            <w:r>
              <w:rPr>
                <w:sz w:val="20"/>
              </w:rPr>
              <w:t>3.77</w:t>
            </w:r>
          </w:p>
        </w:tc>
        <w:tc>
          <w:tcPr>
            <w:tcW w:w="200" w:type="dxa"/>
            <w:tcBorders/>
            <w:tcMar>
              <w:bottom w:w="0" w:type="dxa"/>
            </w:tcMar>
            <w:vAlign w:val="bottom"/>
          </w:tcPr>
          <w:p>
            <w:pPr>
              <w:pStyle w:val="TableContents"/>
              <w:bidi w:val="0"/>
              <w:spacing w:before="0" w:after="0"/>
              <w:jc w:val="left"/>
              <w:rPr>
                <w:color w:val="000000"/>
                <w:sz w:val="20"/>
              </w:rPr>
            </w:pPr>
            <w:r>
              <w:rPr>
                <w:color w:val="000000"/>
                <w:sz w:val="20"/>
              </w:rPr>
              <w:t>%</w:t>
            </w:r>
          </w:p>
        </w:tc>
      </w:tr>
    </w:tbl>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 Average Cost of Funds also includes the benefits of related swaps.</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Changes in the Market Value of Our Assets</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We hold our Servicing Related Assets as long-term investments. Our MSRs are carried at their fair value with changes in their fair value recorded in other income (loss) in our consolidated statements of income (loss). Those values may be affected by events or headlines that are outside of our control, such as events impacting the U.S. or global economy generally or the U.S. residential market specifically, and events or headlines impacting the parties with which we do business. See “Part I, Item 1A. Risk Factors – Risks Related to Our Business” in our Annual Report on Form 10-K for the fiscal year ended December 31, 2025.</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All of our investments in RMBS are reported at their fair value</w:t>
      </w:r>
      <w:r>
        <w:rPr>
          <w:rFonts w:ascii="Times New Roman" w:hAnsi="Times New Roman"/>
          <w:i/>
          <w:color w:val="000000"/>
          <w:sz w:val="20"/>
          <w:shd w:fill="FFFFFF" w:val="clear"/>
        </w:rPr>
        <w:t>.</w:t>
      </w:r>
      <w:r>
        <w:rPr>
          <w:rFonts w:ascii="Times New Roman" w:hAnsi="Times New Roman"/>
          <w:color w:val="000000"/>
          <w:sz w:val="20"/>
          <w:shd w:fill="FFFFFF" w:val="clear"/>
        </w:rPr>
        <w:t xml:space="preserve"> At the time of purchase, ASC 320, </w:t>
      </w:r>
      <w:r>
        <w:rPr>
          <w:rFonts w:ascii="Times New Roman" w:hAnsi="Times New Roman"/>
          <w:i/>
          <w:color w:val="000000"/>
          <w:sz w:val="20"/>
          <w:shd w:fill="FFFFFF" w:val="clear"/>
        </w:rPr>
        <w:t>Investments – Debt and Equity Securities</w:t>
      </w:r>
      <w:r>
        <w:rPr>
          <w:rFonts w:ascii="Times New Roman" w:hAnsi="Times New Roman"/>
          <w:color w:val="000000"/>
          <w:sz w:val="20"/>
          <w:shd w:fill="FFFFFF" w:val="clear"/>
        </w:rPr>
        <w:t xml:space="preserve"> requires us to designate a security as held-to-maturity, available-for-sale or trading, depending on our ability to hold such security to maturity. Alternatively, we may elect the fair value option of accounting for securities pursuant to ASC 825, </w:t>
      </w:r>
      <w:r>
        <w:rPr>
          <w:rFonts w:ascii="Times New Roman" w:hAnsi="Times New Roman"/>
          <w:i/>
          <w:color w:val="000000"/>
          <w:sz w:val="20"/>
          <w:shd w:fill="FFFFFF" w:val="clear"/>
        </w:rPr>
        <w:t xml:space="preserve">Financial Instruments. </w:t>
      </w:r>
      <w:r>
        <w:rPr>
          <w:rFonts w:ascii="Times New Roman" w:hAnsi="Times New Roman"/>
          <w:color w:val="000000"/>
          <w:sz w:val="20"/>
          <w:shd w:fill="FFFFFF" w:val="clear"/>
        </w:rPr>
        <w:t>Prior to January 1, 2023, we designated all our investments in RMBS as available-for-sale. On January 1, 2023, we elected the fair value option of accounting for all RMBS acquired after such date. Unrealized gains and losses on RMBS classified as available-for-sale are reported in accumulated other comprehensive income, whereas unrealized gains and losses on RMBS for which we elected the fair value option are reported in the consolidated statements of income (loss).</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 xml:space="preserve">We evaluate the cost basis of our available-for-sale RMBS on a quarterly basis under ASC 326-30, </w:t>
      </w:r>
      <w:r>
        <w:rPr>
          <w:rFonts w:ascii="Times New Roman" w:hAnsi="Times New Roman"/>
          <w:i/>
          <w:color w:val="000000"/>
          <w:sz w:val="20"/>
          <w:shd w:fill="FFFFFF" w:val="clear"/>
        </w:rPr>
        <w:t xml:space="preserve">Financial Instruments-Credit Losses: Available-for-Sale Debt Securities. </w:t>
      </w:r>
      <w:r>
        <w:rPr>
          <w:rFonts w:ascii="Times New Roman" w:hAnsi="Times New Roman"/>
          <w:color w:val="000000"/>
          <w:sz w:val="20"/>
          <w:shd w:fill="FFFFFF" w:val="clear"/>
        </w:rPr>
        <w:t>When the fair value of a security is less than its amortized cost basis as of the balance sheet date, the security’s cost basis is considered impaired. If we determine that we intend to sell the security or it is more likely than not that we will be required to sell before recovery, we recognize the difference between the fair value and amortized cost as a loss in the consolidated statements of income (loss). If we determine we do not intend to sell the security or it is not more likely than not we will be required to sell the security before recovery, we must evaluate the decline in the fair value of the impaired security and determine whether such decline resulted from a credit loss or non-credit related factors. In our assessment of whether a credit loss exists, we perform a qualitative assessment around whether a credit loss exists and if necessary, we compare the present value of estimated future cash flows of the impaired security with the amortized cost basis of such security. The estimated future cash flows reflect those that a “market participant” would use and typically include assumptions related to fluctuations in interest rates, prepayment speeds, default rates, collateral performance, and the timing and amount of projected credit losses, as well as incorporating observations of current market developments and events. Cash flows are discounted at an interest rate equal to the current yield used to accrete interest income. If the present value of estimated future cash flows is less than the amortized cost basis of the security, an expected credit loss exists and is included in provision for (reversal of) credit losses on securities in the consolidated statements of income (loss). If it is determined as of the financial reporting date that all or a portion of a security’s cost basis is not collectible, then we will recognize a realized loss to the extent of the adjustment to the security’s cost basis. This adjustment to the amortized cost basis of the security is reflected in realized gain (loss) on RMBS, net in the consolidated statements of income (loss).</w:t>
      </w:r>
    </w:p>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52</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Impact of Changes in Market Interest Rates on Our Assets</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value of our assets may be affected by prepayment speeds on mortgage loans. Prepayment speed is the measurement of how quickly borrowers pay down the unpaid principal balance (“UPB”) of their loans or how quickly loans are otherwise liquidated or charged off. Generally, in a declining interest rate environment, prepayment speeds tend to increase. Conversely, in an increasing interest rate environment, prepayment speeds tend to decrease. When we acquire Servicing Related Assets or RMBS, we anticipate that the underlying mortgage loans will prepay at a projected rate generating an expected cash flow (in the case of Servicing Related Assets) and yield. If we purchase assets at a premium to par value and borrowers prepay their mortgage loans faster than expected, the corresponding prepayments on our assets may reduce the expected yield on such assets because we will have to amortize the related premium on an accelerated basis. In addition, we will have to reinvest the greater amounts of prepayments in that lower rate environment, thereby affecting future yields on our assets. If we purchase assets at a discount to par value, and borrowers prepay their mortgage loans slower than expected, the decrease in corresponding prepayments may reduce the expected yield on assets because we will not be able to accrete the related discount as quickly as originally anticipated.</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If prepayment speeds are significantly greater than expected, the fair value of the Servicing Related Assets could be less than their fair value as previously reported on our consolidated balance sheets. Such a reduction in the fair value of the Servicing Related Assets would have a negative impact on our book value. Furthermore, a significant increase in prepayment speeds could materially reduce the ultimate cash flows we receive from the Servicing Related Assets, and we could receive substantially less than what we paid for such assets. Our balance sheet, results of operations and cash flows are susceptible to significant volatility due to changes in the fair value of, or cash flows from, the Servicing Related Assets as interest rates change.</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A slower than anticipated rate of prepayment due to an increase in market interest rates also will cause the life of the related RMBS to extend beyond that which was projected. As a result, we would have an asset with a lower yield than current investments for a longer period of time. In addition, if we have hedged our interest rate risk, extension may cause the security to be outstanding longer than the related hedge, thereby reducing the protection intended to be provided by the hedge.</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Voluntary and involuntary prepayment rates may be affected by a number of factors including, but not limited to, the availability of mortgage credit, the relative economic vitality of, or natural disasters affecting, the area in which the related properties are located, the servicing of the mortgage loans, possible changes in tax laws, other opportunities for investment, homeowner mobility and other economic, social, geographic, demographic and legal factors, none of which can be predicted with any certainty.</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We attempt to reduce the exposure of our MSRs to voluntary prepayments through the structuring of recapture agreements with Aurora’s subservicers. Under these agreements, the subservicer attempts to refinance specified mortgage loans. The subservicer sells the new mortgage loan to the applicable Agency, transfers the related MSR to Aurora and then subservices the new mortgage loan on behalf of Aurora.</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With respect to our business operations, increases in interest rates, in general, may over time cause:</w:t>
      </w:r>
    </w:p>
    <w:p>
      <w:pPr>
        <w:pStyle w:val="TextBody"/>
        <w:bidi w:val="0"/>
        <w:spacing w:before="0" w:after="0"/>
        <w:jc w:val="left"/>
        <w:rPr>
          <w:sz w:val="20"/>
        </w:rPr>
      </w:pPr>
      <w:r>
        <w:rPr>
          <w:sz w:val="20"/>
        </w:rPr>
      </w:r>
    </w:p>
    <w:tbl>
      <w:tblPr>
        <w:tblW w:w="5305" w:type="dxa"/>
        <w:jc w:val="left"/>
        <w:tblInd w:w="0" w:type="dxa"/>
        <w:tblLayout w:type="fixed"/>
        <w:tblCellMar>
          <w:top w:w="0" w:type="dxa"/>
          <w:left w:w="0" w:type="dxa"/>
          <w:bottom w:w="0" w:type="dxa"/>
          <w:right w:w="0" w:type="dxa"/>
        </w:tblCellMar>
      </w:tblPr>
      <w:tblGrid>
        <w:gridCol w:w="125"/>
        <w:gridCol w:w="5180"/>
      </w:tblGrid>
      <w:tr>
        <w:trPr/>
        <w:tc>
          <w:tcPr>
            <w:tcW w:w="125" w:type="dxa"/>
            <w:tcBorders/>
            <w:vAlign w:val="center"/>
          </w:tcPr>
          <w:p>
            <w:pPr>
              <w:pStyle w:val="TableContents"/>
              <w:bidi w:val="0"/>
              <w:spacing w:before="0" w:after="283"/>
              <w:jc w:val="left"/>
              <w:rPr>
                <w:color w:val="000000"/>
              </w:rPr>
            </w:pPr>
            <w:r>
              <w:rPr>
                <w:color w:val="000000"/>
              </w:rPr>
              <w:t>•</w:t>
            </w:r>
          </w:p>
        </w:tc>
        <w:tc>
          <w:tcPr>
            <w:tcW w:w="5180" w:type="dxa"/>
            <w:tcBorders/>
            <w:vAlign w:val="center"/>
          </w:tcPr>
          <w:p>
            <w:pPr>
              <w:pStyle w:val="TableContents"/>
              <w:bidi w:val="0"/>
              <w:spacing w:before="0" w:after="0"/>
              <w:jc w:val="both"/>
              <w:rPr>
                <w:color w:val="000000"/>
                <w:sz w:val="20"/>
              </w:rPr>
            </w:pPr>
            <w:r>
              <w:rPr>
                <w:color w:val="000000"/>
                <w:sz w:val="20"/>
              </w:rPr>
              <w:t>the interest expense associated with our borrowings to increase;</w:t>
            </w:r>
          </w:p>
        </w:tc>
      </w:tr>
    </w:tbl>
    <w:p>
      <w:pPr>
        <w:pStyle w:val="TextBody"/>
        <w:bidi w:val="0"/>
        <w:spacing w:before="0" w:after="0"/>
        <w:jc w:val="left"/>
        <w:rPr>
          <w:sz w:val="20"/>
        </w:rPr>
      </w:pPr>
      <w:r>
        <w:rPr>
          <w:sz w:val="20"/>
        </w:rPr>
      </w:r>
    </w:p>
    <w:tbl>
      <w:tblPr>
        <w:tblW w:w="2980" w:type="dxa"/>
        <w:jc w:val="left"/>
        <w:tblInd w:w="0" w:type="dxa"/>
        <w:tblLayout w:type="fixed"/>
        <w:tblCellMar>
          <w:top w:w="0" w:type="dxa"/>
          <w:left w:w="0" w:type="dxa"/>
          <w:bottom w:w="0" w:type="dxa"/>
          <w:right w:w="0" w:type="dxa"/>
        </w:tblCellMar>
      </w:tblPr>
      <w:tblGrid>
        <w:gridCol w:w="125"/>
        <w:gridCol w:w="2855"/>
      </w:tblGrid>
      <w:tr>
        <w:trPr/>
        <w:tc>
          <w:tcPr>
            <w:tcW w:w="125" w:type="dxa"/>
            <w:tcBorders/>
            <w:vAlign w:val="center"/>
          </w:tcPr>
          <w:p>
            <w:pPr>
              <w:pStyle w:val="TableContents"/>
              <w:bidi w:val="0"/>
              <w:spacing w:before="0" w:after="283"/>
              <w:jc w:val="left"/>
              <w:rPr>
                <w:color w:val="000000"/>
              </w:rPr>
            </w:pPr>
            <w:r>
              <w:rPr>
                <w:color w:val="000000"/>
              </w:rPr>
              <w:t>•</w:t>
            </w:r>
          </w:p>
        </w:tc>
        <w:tc>
          <w:tcPr>
            <w:tcW w:w="2855" w:type="dxa"/>
            <w:tcBorders/>
            <w:vAlign w:val="center"/>
          </w:tcPr>
          <w:p>
            <w:pPr>
              <w:pStyle w:val="TableContents"/>
              <w:bidi w:val="0"/>
              <w:spacing w:before="0" w:after="0"/>
              <w:jc w:val="both"/>
              <w:rPr>
                <w:color w:val="000000"/>
                <w:sz w:val="20"/>
              </w:rPr>
            </w:pPr>
            <w:r>
              <w:rPr>
                <w:color w:val="000000"/>
                <w:sz w:val="20"/>
              </w:rPr>
              <w:t>the value of our assets to fluctuate;</w:t>
            </w:r>
          </w:p>
        </w:tc>
      </w:tr>
    </w:tbl>
    <w:p>
      <w:pPr>
        <w:pStyle w:val="TextBody"/>
        <w:bidi w:val="0"/>
        <w:spacing w:before="0" w:after="0"/>
        <w:jc w:val="left"/>
        <w:rPr>
          <w:sz w:val="20"/>
        </w:rPr>
      </w:pPr>
      <w:r>
        <w:rPr>
          <w:sz w:val="20"/>
        </w:rPr>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color w:val="000000"/>
              </w:rPr>
            </w:pPr>
            <w:r>
              <w:rPr>
                <w:color w:val="000000"/>
              </w:rPr>
              <w:t>•</w:t>
            </w:r>
          </w:p>
        </w:tc>
        <w:tc>
          <w:tcPr>
            <w:tcW w:w="10080" w:type="dxa"/>
            <w:tcBorders/>
            <w:vAlign w:val="center"/>
          </w:tcPr>
          <w:p>
            <w:pPr>
              <w:pStyle w:val="TableContents"/>
              <w:bidi w:val="0"/>
              <w:spacing w:before="0" w:after="0"/>
              <w:jc w:val="both"/>
              <w:rPr>
                <w:color w:val="000000"/>
                <w:sz w:val="20"/>
              </w:rPr>
            </w:pPr>
            <w:r>
              <w:rPr>
                <w:color w:val="000000"/>
                <w:sz w:val="20"/>
              </w:rPr>
              <w:t>the coupons on any adjustable-rate and hybrid RMBS we may own to reset, although on a delayed basis, to higher interest rates;</w:t>
            </w:r>
          </w:p>
        </w:tc>
      </w:tr>
    </w:tbl>
    <w:p>
      <w:pPr>
        <w:pStyle w:val="TextBody"/>
        <w:bidi w:val="0"/>
        <w:spacing w:before="0" w:after="0"/>
        <w:jc w:val="left"/>
        <w:rPr>
          <w:sz w:val="20"/>
        </w:rPr>
      </w:pPr>
      <w:r>
        <w:rPr>
          <w:sz w:val="20"/>
        </w:rPr>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color w:val="000000"/>
              </w:rPr>
            </w:pPr>
            <w:r>
              <w:rPr>
                <w:color w:val="000000"/>
              </w:rPr>
              <w:t>•</w:t>
            </w:r>
          </w:p>
        </w:tc>
        <w:tc>
          <w:tcPr>
            <w:tcW w:w="10080" w:type="dxa"/>
            <w:tcBorders/>
            <w:vAlign w:val="center"/>
          </w:tcPr>
          <w:p>
            <w:pPr>
              <w:pStyle w:val="TableContents"/>
              <w:bidi w:val="0"/>
              <w:spacing w:before="0" w:after="0"/>
              <w:jc w:val="both"/>
              <w:rPr>
                <w:color w:val="000000"/>
                <w:sz w:val="20"/>
              </w:rPr>
            </w:pPr>
            <w:r>
              <w:rPr>
                <w:color w:val="000000"/>
                <w:sz w:val="20"/>
              </w:rPr>
              <w:t>prepayments on our RMBS to slow, thereby slowing the amortization of our purchase premiums and the accretion of our purchase discounts; and</w:t>
            </w:r>
          </w:p>
        </w:tc>
      </w:tr>
    </w:tbl>
    <w:p>
      <w:pPr>
        <w:pStyle w:val="TextBody"/>
        <w:bidi w:val="0"/>
        <w:spacing w:before="0" w:after="0"/>
        <w:jc w:val="left"/>
        <w:rPr>
          <w:sz w:val="20"/>
        </w:rPr>
      </w:pPr>
      <w:r>
        <w:rPr>
          <w:sz w:val="20"/>
        </w:rPr>
      </w:r>
    </w:p>
    <w:tbl>
      <w:tblPr>
        <w:tblW w:w="9055" w:type="dxa"/>
        <w:jc w:val="left"/>
        <w:tblInd w:w="0" w:type="dxa"/>
        <w:tblLayout w:type="fixed"/>
        <w:tblCellMar>
          <w:top w:w="0" w:type="dxa"/>
          <w:left w:w="0" w:type="dxa"/>
          <w:bottom w:w="0" w:type="dxa"/>
          <w:right w:w="0" w:type="dxa"/>
        </w:tblCellMar>
      </w:tblPr>
      <w:tblGrid>
        <w:gridCol w:w="125"/>
        <w:gridCol w:w="8930"/>
      </w:tblGrid>
      <w:tr>
        <w:trPr/>
        <w:tc>
          <w:tcPr>
            <w:tcW w:w="125" w:type="dxa"/>
            <w:tcBorders/>
            <w:vAlign w:val="center"/>
          </w:tcPr>
          <w:p>
            <w:pPr>
              <w:pStyle w:val="TableContents"/>
              <w:bidi w:val="0"/>
              <w:spacing w:before="0" w:after="283"/>
              <w:jc w:val="left"/>
              <w:rPr>
                <w:color w:val="000000"/>
              </w:rPr>
            </w:pPr>
            <w:r>
              <w:rPr>
                <w:color w:val="000000"/>
              </w:rPr>
              <w:t>•</w:t>
            </w:r>
          </w:p>
        </w:tc>
        <w:tc>
          <w:tcPr>
            <w:tcW w:w="8930" w:type="dxa"/>
            <w:tcBorders/>
            <w:vAlign w:val="center"/>
          </w:tcPr>
          <w:p>
            <w:pPr>
              <w:pStyle w:val="TableContents"/>
              <w:bidi w:val="0"/>
              <w:spacing w:before="0" w:after="0"/>
              <w:jc w:val="both"/>
              <w:rPr>
                <w:color w:val="000000"/>
                <w:sz w:val="20"/>
              </w:rPr>
            </w:pPr>
            <w:r>
              <w:rPr>
                <w:color w:val="000000"/>
                <w:sz w:val="20"/>
              </w:rPr>
              <w:t>an increase in the value of any interest rate swap agreements we may enter into as part of our hedging strategy.</w:t>
            </w:r>
          </w:p>
        </w:tc>
      </w:tr>
    </w:tbl>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Conversely, decreases in interest rates, in general, may over time cause:</w:t>
      </w:r>
    </w:p>
    <w:p>
      <w:pPr>
        <w:pStyle w:val="TextBody"/>
        <w:bidi w:val="0"/>
        <w:spacing w:before="0" w:after="0"/>
        <w:jc w:val="left"/>
        <w:rPr>
          <w:sz w:val="20"/>
        </w:rPr>
      </w:pPr>
      <w:r>
        <w:rPr>
          <w:sz w:val="20"/>
        </w:rPr>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color w:val="000000"/>
              </w:rPr>
            </w:pPr>
            <w:r>
              <w:rPr>
                <w:color w:val="000000"/>
              </w:rPr>
              <w:t>•</w:t>
            </w:r>
          </w:p>
        </w:tc>
        <w:tc>
          <w:tcPr>
            <w:tcW w:w="10080" w:type="dxa"/>
            <w:tcBorders/>
            <w:vAlign w:val="center"/>
          </w:tcPr>
          <w:p>
            <w:pPr>
              <w:pStyle w:val="TableContents"/>
              <w:bidi w:val="0"/>
              <w:spacing w:before="0" w:after="0"/>
              <w:jc w:val="both"/>
              <w:rPr>
                <w:color w:val="000000"/>
                <w:sz w:val="20"/>
              </w:rPr>
            </w:pPr>
            <w:r>
              <w:rPr>
                <w:color w:val="000000"/>
                <w:sz w:val="20"/>
              </w:rPr>
              <w:t>prepayments on our RMBS to increase, thereby accelerating the amortization of our purchase premiums and the accretion of our purchase discounts;</w:t>
            </w:r>
          </w:p>
        </w:tc>
      </w:tr>
    </w:tbl>
    <w:p>
      <w:pPr>
        <w:pStyle w:val="TextBody"/>
        <w:bidi w:val="0"/>
        <w:spacing w:before="0" w:after="0"/>
        <w:jc w:val="left"/>
        <w:rPr>
          <w:sz w:val="20"/>
        </w:rPr>
      </w:pPr>
      <w:r>
        <w:rPr>
          <w:sz w:val="20"/>
        </w:rPr>
      </w:r>
    </w:p>
    <w:tbl>
      <w:tblPr>
        <w:tblW w:w="5335" w:type="dxa"/>
        <w:jc w:val="left"/>
        <w:tblInd w:w="0" w:type="dxa"/>
        <w:tblLayout w:type="fixed"/>
        <w:tblCellMar>
          <w:top w:w="0" w:type="dxa"/>
          <w:left w:w="0" w:type="dxa"/>
          <w:bottom w:w="0" w:type="dxa"/>
          <w:right w:w="0" w:type="dxa"/>
        </w:tblCellMar>
      </w:tblPr>
      <w:tblGrid>
        <w:gridCol w:w="125"/>
        <w:gridCol w:w="5210"/>
      </w:tblGrid>
      <w:tr>
        <w:trPr/>
        <w:tc>
          <w:tcPr>
            <w:tcW w:w="125" w:type="dxa"/>
            <w:tcBorders/>
            <w:vAlign w:val="center"/>
          </w:tcPr>
          <w:p>
            <w:pPr>
              <w:pStyle w:val="TableContents"/>
              <w:bidi w:val="0"/>
              <w:spacing w:before="0" w:after="283"/>
              <w:jc w:val="left"/>
              <w:rPr>
                <w:color w:val="000000"/>
              </w:rPr>
            </w:pPr>
            <w:r>
              <w:rPr>
                <w:color w:val="000000"/>
              </w:rPr>
              <w:t>•</w:t>
            </w:r>
          </w:p>
        </w:tc>
        <w:tc>
          <w:tcPr>
            <w:tcW w:w="5210" w:type="dxa"/>
            <w:tcBorders/>
            <w:vAlign w:val="center"/>
          </w:tcPr>
          <w:p>
            <w:pPr>
              <w:pStyle w:val="TableContents"/>
              <w:bidi w:val="0"/>
              <w:spacing w:before="0" w:after="0"/>
              <w:jc w:val="both"/>
              <w:rPr>
                <w:color w:val="000000"/>
                <w:sz w:val="20"/>
              </w:rPr>
            </w:pPr>
            <w:r>
              <w:rPr>
                <w:color w:val="000000"/>
                <w:sz w:val="20"/>
              </w:rPr>
              <w:t>the interest expense associated with our borrowings to decrease;</w:t>
            </w:r>
          </w:p>
        </w:tc>
      </w:tr>
    </w:tbl>
    <w:p>
      <w:pPr>
        <w:pStyle w:val="TextBody"/>
        <w:bidi w:val="0"/>
        <w:spacing w:before="0" w:after="0"/>
        <w:jc w:val="left"/>
        <w:rPr>
          <w:sz w:val="20"/>
        </w:rPr>
      </w:pPr>
      <w:r>
        <w:rPr>
          <w:sz w:val="20"/>
        </w:rPr>
      </w:r>
    </w:p>
    <w:tbl>
      <w:tblPr>
        <w:tblW w:w="2980" w:type="dxa"/>
        <w:jc w:val="left"/>
        <w:tblInd w:w="0" w:type="dxa"/>
        <w:tblLayout w:type="fixed"/>
        <w:tblCellMar>
          <w:top w:w="0" w:type="dxa"/>
          <w:left w:w="0" w:type="dxa"/>
          <w:bottom w:w="0" w:type="dxa"/>
          <w:right w:w="0" w:type="dxa"/>
        </w:tblCellMar>
      </w:tblPr>
      <w:tblGrid>
        <w:gridCol w:w="125"/>
        <w:gridCol w:w="2855"/>
      </w:tblGrid>
      <w:tr>
        <w:trPr/>
        <w:tc>
          <w:tcPr>
            <w:tcW w:w="125" w:type="dxa"/>
            <w:tcBorders/>
            <w:vAlign w:val="center"/>
          </w:tcPr>
          <w:p>
            <w:pPr>
              <w:pStyle w:val="TableContents"/>
              <w:bidi w:val="0"/>
              <w:spacing w:before="0" w:after="283"/>
              <w:jc w:val="left"/>
              <w:rPr>
                <w:color w:val="000000"/>
              </w:rPr>
            </w:pPr>
            <w:r>
              <w:rPr>
                <w:color w:val="000000"/>
              </w:rPr>
              <w:t>•</w:t>
            </w:r>
          </w:p>
        </w:tc>
        <w:tc>
          <w:tcPr>
            <w:tcW w:w="2855" w:type="dxa"/>
            <w:tcBorders/>
            <w:vAlign w:val="center"/>
          </w:tcPr>
          <w:p>
            <w:pPr>
              <w:pStyle w:val="TableContents"/>
              <w:bidi w:val="0"/>
              <w:spacing w:before="0" w:after="0"/>
              <w:jc w:val="both"/>
              <w:rPr>
                <w:color w:val="000000"/>
                <w:sz w:val="20"/>
              </w:rPr>
            </w:pPr>
            <w:r>
              <w:rPr>
                <w:color w:val="000000"/>
                <w:sz w:val="20"/>
              </w:rPr>
              <w:t>the value of our assets to fluctuate;</w:t>
            </w:r>
          </w:p>
        </w:tc>
      </w:tr>
    </w:tbl>
    <w:p>
      <w:pPr>
        <w:pStyle w:val="TextBody"/>
        <w:bidi w:val="0"/>
        <w:spacing w:before="0" w:after="0"/>
        <w:jc w:val="left"/>
        <w:rPr>
          <w:sz w:val="20"/>
        </w:rPr>
      </w:pPr>
      <w:r>
        <w:rPr>
          <w:sz w:val="20"/>
        </w:rPr>
      </w:r>
    </w:p>
    <w:tbl>
      <w:tblPr>
        <w:tblW w:w="9340" w:type="dxa"/>
        <w:jc w:val="left"/>
        <w:tblInd w:w="0" w:type="dxa"/>
        <w:tblLayout w:type="fixed"/>
        <w:tblCellMar>
          <w:top w:w="0" w:type="dxa"/>
          <w:left w:w="0" w:type="dxa"/>
          <w:bottom w:w="0" w:type="dxa"/>
          <w:right w:w="0" w:type="dxa"/>
        </w:tblCellMar>
      </w:tblPr>
      <w:tblGrid>
        <w:gridCol w:w="125"/>
        <w:gridCol w:w="9215"/>
      </w:tblGrid>
      <w:tr>
        <w:trPr/>
        <w:tc>
          <w:tcPr>
            <w:tcW w:w="125" w:type="dxa"/>
            <w:tcBorders/>
            <w:vAlign w:val="center"/>
          </w:tcPr>
          <w:p>
            <w:pPr>
              <w:pStyle w:val="TableContents"/>
              <w:bidi w:val="0"/>
              <w:spacing w:before="0" w:after="283"/>
              <w:jc w:val="left"/>
              <w:rPr>
                <w:color w:val="000000"/>
              </w:rPr>
            </w:pPr>
            <w:r>
              <w:rPr>
                <w:color w:val="000000"/>
              </w:rPr>
              <w:t>•</w:t>
            </w:r>
          </w:p>
        </w:tc>
        <w:tc>
          <w:tcPr>
            <w:tcW w:w="9215" w:type="dxa"/>
            <w:tcBorders/>
            <w:vAlign w:val="center"/>
          </w:tcPr>
          <w:p>
            <w:pPr>
              <w:pStyle w:val="TableContents"/>
              <w:bidi w:val="0"/>
              <w:spacing w:before="0" w:after="0"/>
              <w:jc w:val="both"/>
              <w:rPr>
                <w:color w:val="000000"/>
                <w:sz w:val="20"/>
              </w:rPr>
            </w:pPr>
            <w:r>
              <w:rPr>
                <w:color w:val="000000"/>
                <w:sz w:val="20"/>
              </w:rPr>
              <w:t>a decrease in the value of any interest rate swap agreements we may enter into as part of our hedging strategy; and</w:t>
            </w:r>
          </w:p>
        </w:tc>
      </w:tr>
    </w:tbl>
    <w:p>
      <w:pPr>
        <w:pStyle w:val="TextBody"/>
        <w:bidi w:val="0"/>
        <w:spacing w:before="0" w:after="0"/>
        <w:jc w:val="left"/>
        <w:rPr>
          <w:sz w:val="20"/>
        </w:rPr>
      </w:pPr>
      <w:r>
        <w:rPr>
          <w:sz w:val="20"/>
        </w:rPr>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color w:val="000000"/>
              </w:rPr>
            </w:pPr>
            <w:r>
              <w:rPr>
                <w:color w:val="000000"/>
              </w:rPr>
              <w:t>•</w:t>
            </w:r>
          </w:p>
        </w:tc>
        <w:tc>
          <w:tcPr>
            <w:tcW w:w="10080" w:type="dxa"/>
            <w:tcBorders/>
            <w:vAlign w:val="center"/>
          </w:tcPr>
          <w:p>
            <w:pPr>
              <w:pStyle w:val="TableContents"/>
              <w:bidi w:val="0"/>
              <w:spacing w:before="0" w:after="0"/>
              <w:jc w:val="both"/>
              <w:rPr>
                <w:color w:val="000000"/>
                <w:sz w:val="20"/>
              </w:rPr>
            </w:pPr>
            <w:r>
              <w:rPr>
                <w:color w:val="000000"/>
                <w:sz w:val="20"/>
              </w:rPr>
              <w:t>coupons on any adjustable-rate and hybrid RMBS assets we may own to reset, although on a delayed basis, to lower interest rates.</w:t>
            </w:r>
          </w:p>
        </w:tc>
      </w:tr>
    </w:tbl>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Regardless, we cannot predict the impact future actions by the Federal Reserve will have on our business, and any such actions may negatively impact us.</w:t>
      </w:r>
    </w:p>
    <w:p>
      <w:pPr>
        <w:pStyle w:val="TextBody"/>
        <w:bidi w:val="0"/>
        <w:spacing w:before="0" w:after="0"/>
        <w:jc w:val="both"/>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53</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Effects of Spreads on our Assets</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spread between the yield on our assets and our funding costs affects the performance of our business. Wider spreads imply the potential for greater income on new asset purchases but may have a negative impact on our stated book value. Wider spreads may also negatively impact asset prices. In an environment where spreads are widening, counterparties may require additional collateral to secure borrowings which may require us to reduce leverage by selling assets. Conversely, tighter spreads imply the potential for lower income on new asset purchases but may have a positive impact on stated book value of our existing assets. In this case, we may be able to reduce the amount of collateral required to secure borrowings.</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Credit Risk</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We are subject to varying degrees of credit risk in connection with our assets. Although we expect relatively low credit risk with respect to our portfolios of Agency RMBS, we may become subject to the credit risk of borrowers under the loans backing any CMOs that we may own and to the credit enhancements built into the CMO structure. We also are subject to the credit risk of the borrowers under the mortgage loans underlying the MSRs that Aurora owns. Through loan level due diligence, we attempt to mitigate this risk by seeking to acquire high quality assets at appropriate prices given anticipated and unanticipated losses. We also conduct ongoing monitoring of acquired MSRs. Nevertheless, unanticipated credit losses could occur which could adversely impact our operating results.</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Critical Accounting Policies and Use of Estimates</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Our financial statements are prepared in accordance with US GAAP, which requires the use of estimates that involve the exercise of judgment and the use of assumptions as to future uncertainties. Our most critical accounting policies involve decisions and assessments that could affect our reported amounts of assets and liabilities, as well as our reported amounts of revenues and expenses. We believe that the decisions and assessments upon which our financial statements are based were reasonable at the time made and based upon information available to us at that time. Our critical accounting policies and accounting estimates may change over time as we diversify our portfolio. The material accounting policies and estimates that we expect to be most critical to an investor’s understanding of our financial results and condition and require complex management judgment are discussed below. For additional information on our material accounting policies and estimates, see “Item 1. Consolidated Financial Statements – Note 2. Basis of Presentation and Significant Accounting Policies.”</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Investments in MSRs</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We have elected the fair value option to record our investments in MSRs in order to provide users of our consolidated financial statements with better information regarding the effects of prepayment risk and other market factors on the MSRs. Under this election, we record a valuation adjustment on our investments in MSRs on a quarterly basis to recognize the changes in fair value of our MSRs in net income as described below. Although transactions in MSRs are observable in the marketplace, the valuation includes unobservable market data inputs (prepayment speeds, costs to service and discount rates). The change in fair value of MSRs is recorded within “Unrealized gain (loss) on investments in Servicing Related Assets” on the consolidated statements of income (loss). Fair value is generally determined by discounting the expected future cash flows using discount rates that incorporate the market risks and liquidity premium specific to the MSRs and, therefore, may differ from their effective yields. In determining the valuation of MSRs, management uses internally developed pricing models that are based on certain unobservable market-based inputs. The Company classifies these valuations as Level 3 in the fair value hierarchy. For additional information on our fair value methodology, see “Item 1. Consolidated Financial Statements – Note 8. Fair Value.”</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Revenue Recognition on Investments in MSRs</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Mortgage servicing fee income represents revenue earned from the ownership of MSRs. The servicing fees are based on a contractual percentage of the outstanding principal balance and are recognized as revenue as the related mortgage payments are collected. Corresponding costs to service are charged to expense as incurred. Servicing fee income received and servicing expenses incurred are reported on the consolidated statements of income (loss).</w:t>
      </w:r>
    </w:p>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54</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Income Taxes</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We elected to be taxed as a REIT under the Code commencing with our short taxable year ended December 31, 2013. We expect to continue to qualify to be treated as a REIT. U.S. federal income tax law generally requires that a REIT distribute annually at least 90% of its REIT taxable income, without regard to the deduction for dividends paid and excluding net capital gains, and that it pay tax at regular corporate income tax rates to the extent that it annually distributes less than 100% of its taxable income. Our taxable REIT subsidiary, Solutions, and its wholly-owned subsidiary, Aurora, are subject to U.S. federal income taxes on their taxable income.</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 xml:space="preserve">We account for income taxes in accordance with ASC 740, </w:t>
      </w:r>
      <w:r>
        <w:rPr>
          <w:rFonts w:ascii="Times New Roman" w:hAnsi="Times New Roman"/>
          <w:i/>
          <w:color w:val="000000"/>
          <w:sz w:val="20"/>
          <w:shd w:fill="FFFFFF" w:val="clear"/>
        </w:rPr>
        <w:t>Income Taxes</w:t>
      </w:r>
      <w:r>
        <w:rPr>
          <w:rFonts w:ascii="Times New Roman" w:hAnsi="Times New Roman"/>
          <w:color w:val="000000"/>
          <w:sz w:val="20"/>
          <w:shd w:fill="FFFFFF" w:val="clear"/>
        </w:rPr>
        <w:t>. ASC 740 requires the recording of deferred income taxes that reflect the net tax effect of temporary differences between the carrying amounts of our assets and liabilities for financial reporting purposes and the amounts used for income tax purposes, including operating loss carry forwards. Deferred tax assets and liabilities are measured using enacted tax rates expected to apply to taxable income in the years in which those temporary differences are expected to be recovered or settled. The effect of a change in tax rates on deferred tax assets and liabilities is recognized in earnings in the period that includes the enactment date. For information on our assessment of the realizability of deferred tax assets, see “Item 1. Consolidated Financial Statements – Note 14. Income Taxes.” We assess our tax positions for all open tax years and determine if we have any material unrecognized liabilities in accordance with ASC 740. We record these liabilities to the extent we deem them more-likely-than-not to be incurred. We record interest and penalties related to income taxes within the provision for income taxes in the consolidated statements of income (loss). We have not incurred any interest or penalties.</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Investments in Securities</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 xml:space="preserve">Prior to fiscal year 2023, we designated all our investments in RMBS as available-for-sale pursuant to ASC 320, </w:t>
      </w:r>
      <w:r>
        <w:rPr>
          <w:rFonts w:ascii="Times New Roman" w:hAnsi="Times New Roman"/>
          <w:i/>
          <w:color w:val="000000"/>
          <w:sz w:val="20"/>
          <w:shd w:fill="FFFFFF" w:val="clear"/>
        </w:rPr>
        <w:t>Investments – Debt and Equity Securities</w:t>
      </w:r>
      <w:r>
        <w:rPr>
          <w:rFonts w:ascii="Times New Roman" w:hAnsi="Times New Roman"/>
          <w:color w:val="000000"/>
          <w:sz w:val="20"/>
          <w:shd w:fill="FFFFFF" w:val="clear"/>
        </w:rPr>
        <w:t xml:space="preserve">. Although we may hold most of our securities until maturity, we may, from time to time, sell any of our securities as part of our overall management of our asset portfolio. All assets classified as available-for-sale are reported at fair value, with unrealized gains and losses excluded from earnings and reported as a separate component of stockholders’ equity. On January 1, 2023, we elected the fair value option of accounting pursuant to ASC 825, </w:t>
      </w:r>
      <w:r>
        <w:rPr>
          <w:rFonts w:ascii="Times New Roman" w:hAnsi="Times New Roman"/>
          <w:i/>
          <w:color w:val="000000"/>
          <w:sz w:val="20"/>
          <w:shd w:fill="FFFFFF" w:val="clear"/>
        </w:rPr>
        <w:t>Financial Instruments</w:t>
      </w:r>
      <w:r>
        <w:rPr>
          <w:rFonts w:ascii="Times New Roman" w:hAnsi="Times New Roman"/>
          <w:color w:val="000000"/>
          <w:sz w:val="20"/>
          <w:shd w:fill="FFFFFF" w:val="clear"/>
        </w:rPr>
        <w:t>, for all RMBS acquired after such date. Unrealized gains and losses on RMBS for which we elected the fair value option are reported in the consolidated statements of income (loss). Fair value of our investments in RMBS is determined based upon prices obtained from third-party pricing providers. Changes in underlying assumptions used in estimating fair value impact the carrying value of the investments in RMBS as well as their yield. For additional information on our assessment of credit-related impairment and our fair value methodology, see “Item 1. Consolidated Financial Statements – Note 4. Investments in RMBS and Note 8. Fair Value.”</w:t>
      </w:r>
    </w:p>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55</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Revenue Recognition on Securities</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Interest income from coupon payments is accrued based on the outstanding principal amount of the RMBS and their contractual terms. Premiums and discounts associated with the purchase of the RMBS are amortized or accreted into interest income over the projected lives of the securities using the effective interest method. Our policy for estimating prepayment speeds for calculating the effective yield is to evaluate historical performance, consensus prepayment speeds, and current market conditions. Adjustments are made for actual prepayment activity. For information on how interest rates affect net interest income, see “Item 3. Quantitative and Qualitative Disclosures about Market Risk – Interest Rate Effect on Net Interest Income.”</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Repurchase Transactions</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We finance the acquisition of our RMBS for our portfolio through repurchase transactions under master repurchase agreements. Repurchase transactions are treated as collateralized financing transactions and are carried at their contractual amounts as specified in the respective transactions. Accrued interest payable is included in “Accrued expenses and other liabilities” on the consolidated balance sheets. Securities financed through repurchase transactions remain on our consolidated balance sheet as an asset and cash received from the purchaser is recorded on our consolidated balance sheets as a liability. Interest paid in accordance with repurchase transactions is recorded in interest expense on the consolidated statements of income (loss).</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Results of Operations</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Presented below is a comparison of the Company’s results of operations for the periods indicated (dollars in thousands):</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Results of Operations</w:t>
      </w:r>
    </w:p>
    <w:p>
      <w:pPr>
        <w:pStyle w:val="TextBody"/>
        <w:bidi w:val="0"/>
        <w:spacing w:before="0" w:after="0"/>
        <w:jc w:val="center"/>
        <w:rPr>
          <w:b/>
          <w:color w:val="000000"/>
        </w:rPr>
      </w:pPr>
      <w:r>
        <w:rPr>
          <w:b/>
          <w:color w:val="000000"/>
        </w:rPr>
      </w:r>
    </w:p>
    <w:tbl>
      <w:tblPr>
        <w:tblW w:w="10205" w:type="dxa"/>
        <w:jc w:val="left"/>
        <w:tblInd w:w="0" w:type="dxa"/>
        <w:tblLayout w:type="fixed"/>
        <w:tblCellMar>
          <w:top w:w="0" w:type="dxa"/>
          <w:left w:w="0" w:type="dxa"/>
          <w:bottom w:w="0" w:type="dxa"/>
          <w:right w:w="0" w:type="dxa"/>
        </w:tblCellMar>
      </w:tblPr>
      <w:tblGrid>
        <w:gridCol w:w="4895"/>
        <w:gridCol w:w="60"/>
        <w:gridCol w:w="182"/>
        <w:gridCol w:w="864"/>
        <w:gridCol w:w="141"/>
        <w:gridCol w:w="61"/>
        <w:gridCol w:w="190"/>
        <w:gridCol w:w="990"/>
        <w:gridCol w:w="80"/>
        <w:gridCol w:w="60"/>
        <w:gridCol w:w="197"/>
        <w:gridCol w:w="1025"/>
        <w:gridCol w:w="80"/>
        <w:gridCol w:w="60"/>
        <w:gridCol w:w="197"/>
        <w:gridCol w:w="1025"/>
        <w:gridCol w:w="98"/>
      </w:tblGrid>
      <w:tr>
        <w:trPr/>
        <w:tc>
          <w:tcPr>
            <w:tcW w:w="48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28"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Three Months Ended</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84"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Six Months Ended</w:t>
            </w:r>
          </w:p>
        </w:tc>
        <w:tc>
          <w:tcPr>
            <w:tcW w:w="98" w:type="dxa"/>
            <w:tcBorders/>
            <w:vAlign w:val="bottom"/>
          </w:tcPr>
          <w:p>
            <w:pPr>
              <w:pStyle w:val="TableContents"/>
              <w:bidi w:val="0"/>
              <w:spacing w:before="0" w:after="283"/>
              <w:jc w:val="left"/>
              <w:rPr/>
            </w:pPr>
            <w:r>
              <w:rPr/>
              <w:t> </w:t>
            </w:r>
          </w:p>
        </w:tc>
      </w:tr>
      <w:tr>
        <w:trPr/>
        <w:tc>
          <w:tcPr>
            <w:tcW w:w="4895" w:type="dxa"/>
            <w:tcBorders/>
            <w:vAlign w:val="bottom"/>
          </w:tcPr>
          <w:p>
            <w:pPr>
              <w:pStyle w:val="TableContents"/>
              <w:bidi w:val="0"/>
              <w:spacing w:before="0" w:after="283"/>
              <w:jc w:val="left"/>
              <w:rPr/>
            </w:pPr>
            <w:r>
              <w:rPr/>
            </w:r>
          </w:p>
        </w:tc>
        <w:tc>
          <w:tcPr>
            <w:tcW w:w="60" w:type="dxa"/>
            <w:tcBorders/>
            <w:vAlign w:val="bottom"/>
          </w:tcPr>
          <w:p>
            <w:pPr>
              <w:pStyle w:val="TableContents"/>
              <w:bidi w:val="0"/>
              <w:spacing w:before="0" w:after="283"/>
              <w:jc w:val="left"/>
              <w:rPr/>
            </w:pPr>
            <w:r>
              <w:rPr/>
              <w:t> </w:t>
            </w:r>
          </w:p>
        </w:tc>
        <w:tc>
          <w:tcPr>
            <w:tcW w:w="1046"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June 30, 2026</w:t>
            </w:r>
          </w:p>
        </w:tc>
        <w:tc>
          <w:tcPr>
            <w:tcW w:w="14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March 31, 2026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2" w:type="dxa"/>
            <w:gridSpan w:val="2"/>
            <w:tcBorders>
              <w:bottom w:val="single" w:sz="12" w:space="0" w:color="000000"/>
            </w:tcBorders>
            <w:tcMar>
              <w:bottom w:w="28" w:type="dxa"/>
            </w:tcMar>
            <w:vAlign w:val="bottom"/>
          </w:tcPr>
          <w:p>
            <w:pPr>
              <w:pStyle w:val="TableContents"/>
              <w:bidi w:val="0"/>
              <w:spacing w:before="0" w:after="283"/>
              <w:jc w:val="center"/>
              <w:rPr>
                <w:b/>
              </w:rPr>
            </w:pPr>
            <w:r>
              <w:rPr>
                <w:b/>
              </w:rPr>
              <w:t>June 30, 2026</w:t>
            </w:r>
          </w:p>
        </w:tc>
        <w:tc>
          <w:tcPr>
            <w:tcW w:w="80" w:type="dxa"/>
            <w:tcBorders/>
            <w:vAlign w:val="bottom"/>
          </w:tcPr>
          <w:p>
            <w:pPr>
              <w:pStyle w:val="TableContents"/>
              <w:bidi w:val="0"/>
              <w:spacing w:before="0" w:after="283"/>
              <w:jc w:val="center"/>
              <w:rPr/>
            </w:pPr>
            <w:r>
              <w:rPr/>
              <w:t> </w:t>
            </w:r>
          </w:p>
        </w:tc>
        <w:tc>
          <w:tcPr>
            <w:tcW w:w="60" w:type="dxa"/>
            <w:tcBorders/>
            <w:vAlign w:val="bottom"/>
          </w:tcPr>
          <w:p>
            <w:pPr>
              <w:pStyle w:val="TableContents"/>
              <w:bidi w:val="0"/>
              <w:spacing w:before="0" w:after="283"/>
              <w:jc w:val="center"/>
              <w:rPr/>
            </w:pPr>
            <w:r>
              <w:rPr/>
              <w:t> </w:t>
            </w:r>
          </w:p>
        </w:tc>
        <w:tc>
          <w:tcPr>
            <w:tcW w:w="1222" w:type="dxa"/>
            <w:gridSpan w:val="2"/>
            <w:tcBorders>
              <w:bottom w:val="single" w:sz="12" w:space="0" w:color="000000"/>
            </w:tcBorders>
            <w:tcMar>
              <w:bottom w:w="28" w:type="dxa"/>
            </w:tcMar>
            <w:vAlign w:val="bottom"/>
          </w:tcPr>
          <w:p>
            <w:pPr>
              <w:pStyle w:val="TableContents"/>
              <w:bidi w:val="0"/>
              <w:spacing w:before="0" w:after="283"/>
              <w:jc w:val="center"/>
              <w:rPr>
                <w:b/>
              </w:rPr>
            </w:pPr>
            <w:r>
              <w:rPr>
                <w:b/>
              </w:rPr>
              <w:t>June 30, 2025</w:t>
            </w:r>
          </w:p>
        </w:tc>
        <w:tc>
          <w:tcPr>
            <w:tcW w:w="98" w:type="dxa"/>
            <w:tcBorders/>
            <w:vAlign w:val="bottom"/>
          </w:tcPr>
          <w:p>
            <w:pPr>
              <w:pStyle w:val="TableContents"/>
              <w:bidi w:val="0"/>
              <w:spacing w:before="0" w:after="283"/>
              <w:jc w:val="left"/>
              <w:rPr/>
            </w:pPr>
            <w:r>
              <w:rPr/>
              <w:t> </w:t>
            </w:r>
          </w:p>
        </w:tc>
      </w:tr>
      <w:tr>
        <w:trPr/>
        <w:tc>
          <w:tcPr>
            <w:tcW w:w="489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Income</w:t>
            </w:r>
          </w:p>
        </w:tc>
        <w:tc>
          <w:tcPr>
            <w:tcW w:w="60" w:type="dxa"/>
            <w:tcBorders/>
            <w:shd w:fill="CCEEFF" w:val="clear"/>
            <w:vAlign w:val="bottom"/>
          </w:tcPr>
          <w:p>
            <w:pPr>
              <w:pStyle w:val="TableContents"/>
              <w:bidi w:val="0"/>
              <w:spacing w:before="0" w:after="283"/>
              <w:jc w:val="left"/>
              <w:rPr/>
            </w:pPr>
            <w:r>
              <w:rPr/>
              <w:t> </w:t>
            </w:r>
          </w:p>
        </w:tc>
        <w:tc>
          <w:tcPr>
            <w:tcW w:w="1046" w:type="dxa"/>
            <w:gridSpan w:val="2"/>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180" w:type="dxa"/>
            <w:gridSpan w:val="2"/>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2" w:type="dxa"/>
            <w:gridSpan w:val="2"/>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2" w:type="dxa"/>
            <w:gridSpan w:val="2"/>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r>
      <w:tr>
        <w:trPr/>
        <w:tc>
          <w:tcPr>
            <w:tcW w:w="4895" w:type="dxa"/>
            <w:tcBorders/>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Interest income</w:t>
            </w:r>
          </w:p>
        </w:tc>
        <w:tc>
          <w:tcPr>
            <w:tcW w:w="60" w:type="dxa"/>
            <w:tcBorders/>
            <w:vAlign w:val="bottom"/>
          </w:tcPr>
          <w:p>
            <w:pPr>
              <w:pStyle w:val="TableContents"/>
              <w:bidi w:val="0"/>
              <w:spacing w:before="0" w:after="283"/>
              <w:jc w:val="right"/>
              <w:rPr/>
            </w:pPr>
            <w:r>
              <w:rPr/>
              <w:t> </w:t>
            </w:r>
          </w:p>
        </w:tc>
        <w:tc>
          <w:tcPr>
            <w:tcW w:w="18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64"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14,740</w:t>
            </w:r>
          </w:p>
        </w:tc>
        <w:tc>
          <w:tcPr>
            <w:tcW w:w="14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right"/>
              <w:rPr/>
            </w:pPr>
            <w:r>
              <w:rPr/>
              <w:t> </w:t>
            </w:r>
          </w:p>
        </w:tc>
        <w:tc>
          <w:tcPr>
            <w:tcW w:w="19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9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15,850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2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30,590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2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29,614</w:t>
            </w:r>
          </w:p>
        </w:tc>
        <w:tc>
          <w:tcPr>
            <w:tcW w:w="98" w:type="dxa"/>
            <w:tcBorders/>
            <w:vAlign w:val="bottom"/>
          </w:tcPr>
          <w:p>
            <w:pPr>
              <w:pStyle w:val="TableContents"/>
              <w:bidi w:val="0"/>
              <w:spacing w:before="0" w:after="283"/>
              <w:jc w:val="left"/>
              <w:rPr/>
            </w:pPr>
            <w:r>
              <w:rPr/>
              <w:t> </w:t>
            </w:r>
          </w:p>
        </w:tc>
      </w:tr>
      <w:tr>
        <w:trPr/>
        <w:tc>
          <w:tcPr>
            <w:tcW w:w="4895" w:type="dxa"/>
            <w:tcBorders/>
            <w:shd w:fill="CCEEFF" w:val="clear"/>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Interest expense</w:t>
            </w:r>
          </w:p>
        </w:tc>
        <w:tc>
          <w:tcPr>
            <w:tcW w:w="60" w:type="dxa"/>
            <w:tcBorders/>
            <w:shd w:fill="CCEEFF" w:val="clear"/>
            <w:vAlign w:val="bottom"/>
          </w:tcPr>
          <w:p>
            <w:pPr>
              <w:pStyle w:val="TableContents"/>
              <w:bidi w:val="0"/>
              <w:spacing w:before="0" w:after="283"/>
              <w:jc w:val="right"/>
              <w:rPr/>
            </w:pPr>
            <w:r>
              <w:rPr/>
              <w:t> </w:t>
            </w:r>
          </w:p>
        </w:tc>
        <w:tc>
          <w:tcPr>
            <w:tcW w:w="18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64"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10,004</w:t>
            </w:r>
          </w:p>
        </w:tc>
        <w:tc>
          <w:tcPr>
            <w:tcW w:w="14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right"/>
              <w:rPr/>
            </w:pPr>
            <w:r>
              <w:rPr/>
              <w:t> </w:t>
            </w:r>
          </w:p>
        </w:tc>
        <w:tc>
          <w:tcPr>
            <w:tcW w:w="19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9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11,394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2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21,398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2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24,807</w:t>
            </w:r>
          </w:p>
        </w:tc>
        <w:tc>
          <w:tcPr>
            <w:tcW w:w="98" w:type="dxa"/>
            <w:tcBorders/>
            <w:shd w:fill="CCEEFF" w:val="clear"/>
            <w:vAlign w:val="bottom"/>
          </w:tcPr>
          <w:p>
            <w:pPr>
              <w:pStyle w:val="TableContents"/>
              <w:bidi w:val="0"/>
              <w:spacing w:before="0" w:after="283"/>
              <w:jc w:val="left"/>
              <w:rPr/>
            </w:pPr>
            <w:r>
              <w:rPr/>
              <w:t> </w:t>
            </w:r>
          </w:p>
        </w:tc>
      </w:tr>
      <w:tr>
        <w:trPr/>
        <w:tc>
          <w:tcPr>
            <w:tcW w:w="4895" w:type="dxa"/>
            <w:tcBorders/>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Net interest income</w:t>
            </w:r>
          </w:p>
        </w:tc>
        <w:tc>
          <w:tcPr>
            <w:tcW w:w="60" w:type="dxa"/>
            <w:tcBorders/>
            <w:vAlign w:val="bottom"/>
          </w:tcPr>
          <w:p>
            <w:pPr>
              <w:pStyle w:val="TableContents"/>
              <w:bidi w:val="0"/>
              <w:spacing w:before="0" w:after="283"/>
              <w:jc w:val="right"/>
              <w:rPr/>
            </w:pPr>
            <w:r>
              <w:rPr/>
              <w:t> </w:t>
            </w:r>
          </w:p>
        </w:tc>
        <w:tc>
          <w:tcPr>
            <w:tcW w:w="182" w:type="dxa"/>
            <w:tcBorders/>
            <w:vAlign w:val="bottom"/>
          </w:tcPr>
          <w:p>
            <w:pPr>
              <w:pStyle w:val="TableContents"/>
              <w:bidi w:val="0"/>
              <w:spacing w:before="0" w:after="283"/>
              <w:jc w:val="left"/>
              <w:rPr/>
            </w:pPr>
            <w:r>
              <w:rPr/>
              <w:t> </w:t>
            </w:r>
          </w:p>
        </w:tc>
        <w:tc>
          <w:tcPr>
            <w:tcW w:w="864"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4,736</w:t>
            </w:r>
          </w:p>
        </w:tc>
        <w:tc>
          <w:tcPr>
            <w:tcW w:w="14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right"/>
              <w:rPr/>
            </w:pPr>
            <w:r>
              <w:rPr/>
              <w:t> </w:t>
            </w:r>
          </w:p>
        </w:tc>
        <w:tc>
          <w:tcPr>
            <w:tcW w:w="190" w:type="dxa"/>
            <w:tcBorders/>
            <w:vAlign w:val="bottom"/>
          </w:tcPr>
          <w:p>
            <w:pPr>
              <w:pStyle w:val="TableContents"/>
              <w:bidi w:val="0"/>
              <w:spacing w:before="0" w:after="283"/>
              <w:jc w:val="left"/>
              <w:rPr/>
            </w:pPr>
            <w:r>
              <w:rPr/>
              <w:t> </w:t>
            </w:r>
          </w:p>
        </w:tc>
        <w:tc>
          <w:tcPr>
            <w:tcW w:w="99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4,456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7" w:type="dxa"/>
            <w:tcBorders/>
            <w:vAlign w:val="bottom"/>
          </w:tcPr>
          <w:p>
            <w:pPr>
              <w:pStyle w:val="TableContents"/>
              <w:bidi w:val="0"/>
              <w:spacing w:before="0" w:after="283"/>
              <w:jc w:val="left"/>
              <w:rPr/>
            </w:pPr>
            <w:r>
              <w:rPr/>
              <w:t> </w:t>
            </w:r>
          </w:p>
        </w:tc>
        <w:tc>
          <w:tcPr>
            <w:tcW w:w="102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9,192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7" w:type="dxa"/>
            <w:tcBorders/>
            <w:vAlign w:val="bottom"/>
          </w:tcPr>
          <w:p>
            <w:pPr>
              <w:pStyle w:val="TableContents"/>
              <w:bidi w:val="0"/>
              <w:spacing w:before="0" w:after="283"/>
              <w:jc w:val="left"/>
              <w:rPr/>
            </w:pPr>
            <w:r>
              <w:rPr/>
              <w:t> </w:t>
            </w:r>
          </w:p>
        </w:tc>
        <w:tc>
          <w:tcPr>
            <w:tcW w:w="102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4,807</w:t>
            </w:r>
          </w:p>
        </w:tc>
        <w:tc>
          <w:tcPr>
            <w:tcW w:w="98" w:type="dxa"/>
            <w:tcBorders/>
            <w:vAlign w:val="bottom"/>
          </w:tcPr>
          <w:p>
            <w:pPr>
              <w:pStyle w:val="TableContents"/>
              <w:bidi w:val="0"/>
              <w:spacing w:before="0" w:after="283"/>
              <w:jc w:val="left"/>
              <w:rPr/>
            </w:pPr>
            <w:r>
              <w:rPr/>
              <w:t> </w:t>
            </w:r>
          </w:p>
        </w:tc>
      </w:tr>
      <w:tr>
        <w:trPr/>
        <w:tc>
          <w:tcPr>
            <w:tcW w:w="4895" w:type="dxa"/>
            <w:tcBorders/>
            <w:shd w:fill="CCEEFF" w:val="clear"/>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Servicing fee income</w:t>
            </w:r>
          </w:p>
        </w:tc>
        <w:tc>
          <w:tcPr>
            <w:tcW w:w="60" w:type="dxa"/>
            <w:tcBorders/>
            <w:shd w:fill="CCEEFF" w:val="clear"/>
            <w:vAlign w:val="bottom"/>
          </w:tcPr>
          <w:p>
            <w:pPr>
              <w:pStyle w:val="TableContents"/>
              <w:bidi w:val="0"/>
              <w:spacing w:before="0" w:after="283"/>
              <w:jc w:val="right"/>
              <w:rPr/>
            </w:pPr>
            <w:r>
              <w:rPr/>
              <w:t> </w:t>
            </w:r>
          </w:p>
        </w:tc>
        <w:tc>
          <w:tcPr>
            <w:tcW w:w="182" w:type="dxa"/>
            <w:tcBorders/>
            <w:shd w:fill="CCEEFF" w:val="clear"/>
            <w:vAlign w:val="bottom"/>
          </w:tcPr>
          <w:p>
            <w:pPr>
              <w:pStyle w:val="TableContents"/>
              <w:bidi w:val="0"/>
              <w:spacing w:before="0" w:after="283"/>
              <w:jc w:val="left"/>
              <w:rPr/>
            </w:pPr>
            <w:r>
              <w:rPr/>
              <w:t> </w:t>
            </w:r>
          </w:p>
        </w:tc>
        <w:tc>
          <w:tcPr>
            <w:tcW w:w="864"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9,692</w:t>
            </w:r>
          </w:p>
        </w:tc>
        <w:tc>
          <w:tcPr>
            <w:tcW w:w="14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right"/>
              <w:rPr/>
            </w:pPr>
            <w:r>
              <w:rPr/>
              <w:t> </w:t>
            </w:r>
          </w:p>
        </w:tc>
        <w:tc>
          <w:tcPr>
            <w:tcW w:w="190" w:type="dxa"/>
            <w:tcBorders/>
            <w:shd w:fill="CCEEFF" w:val="clear"/>
            <w:vAlign w:val="bottom"/>
          </w:tcPr>
          <w:p>
            <w:pPr>
              <w:pStyle w:val="TableContents"/>
              <w:bidi w:val="0"/>
              <w:spacing w:before="0" w:after="283"/>
              <w:jc w:val="left"/>
              <w:rPr/>
            </w:pPr>
            <w:r>
              <w:rPr/>
              <w:t> </w:t>
            </w:r>
          </w:p>
        </w:tc>
        <w:tc>
          <w:tcPr>
            <w:tcW w:w="9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10,219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7" w:type="dxa"/>
            <w:tcBorders/>
            <w:shd w:fill="CCEEFF" w:val="clear"/>
            <w:vAlign w:val="bottom"/>
          </w:tcPr>
          <w:p>
            <w:pPr>
              <w:pStyle w:val="TableContents"/>
              <w:bidi w:val="0"/>
              <w:spacing w:before="0" w:after="283"/>
              <w:jc w:val="left"/>
              <w:rPr/>
            </w:pPr>
            <w:r>
              <w:rPr/>
              <w:t> </w:t>
            </w:r>
          </w:p>
        </w:tc>
        <w:tc>
          <w:tcPr>
            <w:tcW w:w="102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19,911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7" w:type="dxa"/>
            <w:tcBorders/>
            <w:shd w:fill="CCEEFF" w:val="clear"/>
            <w:vAlign w:val="bottom"/>
          </w:tcPr>
          <w:p>
            <w:pPr>
              <w:pStyle w:val="TableContents"/>
              <w:bidi w:val="0"/>
              <w:spacing w:before="0" w:after="283"/>
              <w:jc w:val="left"/>
              <w:rPr/>
            </w:pPr>
            <w:r>
              <w:rPr/>
              <w:t> </w:t>
            </w:r>
          </w:p>
        </w:tc>
        <w:tc>
          <w:tcPr>
            <w:tcW w:w="102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21,906</w:t>
            </w:r>
          </w:p>
        </w:tc>
        <w:tc>
          <w:tcPr>
            <w:tcW w:w="98" w:type="dxa"/>
            <w:tcBorders/>
            <w:shd w:fill="CCEEFF" w:val="clear"/>
            <w:vAlign w:val="bottom"/>
          </w:tcPr>
          <w:p>
            <w:pPr>
              <w:pStyle w:val="TableContents"/>
              <w:bidi w:val="0"/>
              <w:spacing w:before="0" w:after="283"/>
              <w:jc w:val="left"/>
              <w:rPr/>
            </w:pPr>
            <w:r>
              <w:rPr/>
              <w:t> </w:t>
            </w:r>
          </w:p>
        </w:tc>
      </w:tr>
      <w:tr>
        <w:trPr/>
        <w:tc>
          <w:tcPr>
            <w:tcW w:w="4895" w:type="dxa"/>
            <w:tcBorders/>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Servicing costs</w:t>
            </w:r>
          </w:p>
        </w:tc>
        <w:tc>
          <w:tcPr>
            <w:tcW w:w="60" w:type="dxa"/>
            <w:tcBorders/>
            <w:vAlign w:val="bottom"/>
          </w:tcPr>
          <w:p>
            <w:pPr>
              <w:pStyle w:val="TableContents"/>
              <w:bidi w:val="0"/>
              <w:spacing w:before="0" w:after="283"/>
              <w:jc w:val="right"/>
              <w:rPr/>
            </w:pPr>
            <w:r>
              <w:rPr/>
              <w:t> </w:t>
            </w:r>
          </w:p>
        </w:tc>
        <w:tc>
          <w:tcPr>
            <w:tcW w:w="182" w:type="dxa"/>
            <w:tcBorders>
              <w:bottom w:val="single" w:sz="12" w:space="0" w:color="000000"/>
            </w:tcBorders>
            <w:tcMar>
              <w:bottom w:w="28" w:type="dxa"/>
            </w:tcMar>
            <w:vAlign w:val="bottom"/>
          </w:tcPr>
          <w:p>
            <w:pPr>
              <w:pStyle w:val="TableContents"/>
              <w:bidi w:val="0"/>
              <w:spacing w:before="0" w:after="283"/>
              <w:jc w:val="left"/>
              <w:rPr/>
            </w:pPr>
            <w:r>
              <w:rPr/>
              <w:t> </w:t>
            </w:r>
          </w:p>
        </w:tc>
        <w:tc>
          <w:tcPr>
            <w:tcW w:w="864"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2,319</w:t>
            </w:r>
          </w:p>
        </w:tc>
        <w:tc>
          <w:tcPr>
            <w:tcW w:w="14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right"/>
              <w:rPr/>
            </w:pPr>
            <w:r>
              <w:rPr/>
              <w:t> </w:t>
            </w:r>
          </w:p>
        </w:tc>
        <w:tc>
          <w:tcPr>
            <w:tcW w:w="190" w:type="dxa"/>
            <w:tcBorders>
              <w:bottom w:val="single" w:sz="12" w:space="0" w:color="000000"/>
            </w:tcBorders>
            <w:tcMar>
              <w:bottom w:w="28" w:type="dxa"/>
            </w:tcMar>
            <w:vAlign w:val="bottom"/>
          </w:tcPr>
          <w:p>
            <w:pPr>
              <w:pStyle w:val="TableContents"/>
              <w:bidi w:val="0"/>
              <w:spacing w:before="0" w:after="283"/>
              <w:jc w:val="left"/>
              <w:rPr/>
            </w:pPr>
            <w:r>
              <w:rPr/>
              <w:t> </w:t>
            </w:r>
          </w:p>
        </w:tc>
        <w:tc>
          <w:tcPr>
            <w:tcW w:w="99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2,289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7" w:type="dxa"/>
            <w:tcBorders>
              <w:bottom w:val="single" w:sz="12" w:space="0" w:color="000000"/>
            </w:tcBorders>
            <w:tcMar>
              <w:bottom w:w="28" w:type="dxa"/>
            </w:tcMar>
            <w:vAlign w:val="bottom"/>
          </w:tcPr>
          <w:p>
            <w:pPr>
              <w:pStyle w:val="TableContents"/>
              <w:bidi w:val="0"/>
              <w:spacing w:before="0" w:after="283"/>
              <w:jc w:val="left"/>
              <w:rPr/>
            </w:pPr>
            <w:r>
              <w:rPr/>
              <w:t> </w:t>
            </w:r>
          </w:p>
        </w:tc>
        <w:tc>
          <w:tcPr>
            <w:tcW w:w="102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4,608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7" w:type="dxa"/>
            <w:tcBorders>
              <w:bottom w:val="single" w:sz="12" w:space="0" w:color="000000"/>
            </w:tcBorders>
            <w:tcMar>
              <w:bottom w:w="28" w:type="dxa"/>
            </w:tcMar>
            <w:vAlign w:val="bottom"/>
          </w:tcPr>
          <w:p>
            <w:pPr>
              <w:pStyle w:val="TableContents"/>
              <w:bidi w:val="0"/>
              <w:spacing w:before="0" w:after="283"/>
              <w:jc w:val="left"/>
              <w:rPr/>
            </w:pPr>
            <w:r>
              <w:rPr/>
              <w:t> </w:t>
            </w:r>
          </w:p>
        </w:tc>
        <w:tc>
          <w:tcPr>
            <w:tcW w:w="102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4,497</w:t>
            </w:r>
          </w:p>
        </w:tc>
        <w:tc>
          <w:tcPr>
            <w:tcW w:w="98" w:type="dxa"/>
            <w:tcBorders/>
            <w:vAlign w:val="bottom"/>
          </w:tcPr>
          <w:p>
            <w:pPr>
              <w:pStyle w:val="TableContents"/>
              <w:bidi w:val="0"/>
              <w:spacing w:before="0" w:after="283"/>
              <w:jc w:val="left"/>
              <w:rPr/>
            </w:pPr>
            <w:r>
              <w:rPr/>
              <w:t> </w:t>
            </w:r>
          </w:p>
        </w:tc>
      </w:tr>
      <w:tr>
        <w:trPr/>
        <w:tc>
          <w:tcPr>
            <w:tcW w:w="4895" w:type="dxa"/>
            <w:tcBorders/>
            <w:shd w:fill="CCEEFF" w:val="clear"/>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Net servicing income</w:t>
            </w:r>
          </w:p>
        </w:tc>
        <w:tc>
          <w:tcPr>
            <w:tcW w:w="60" w:type="dxa"/>
            <w:tcBorders/>
            <w:shd w:fill="CCEEFF" w:val="clear"/>
            <w:vAlign w:val="bottom"/>
          </w:tcPr>
          <w:p>
            <w:pPr>
              <w:pStyle w:val="TableContents"/>
              <w:bidi w:val="0"/>
              <w:spacing w:before="0" w:after="283"/>
              <w:jc w:val="right"/>
              <w:rPr/>
            </w:pPr>
            <w:r>
              <w:rPr/>
              <w:t> </w:t>
            </w:r>
          </w:p>
        </w:tc>
        <w:tc>
          <w:tcPr>
            <w:tcW w:w="182" w:type="dxa"/>
            <w:tcBorders/>
            <w:shd w:fill="CCEEFF" w:val="clear"/>
            <w:vAlign w:val="bottom"/>
          </w:tcPr>
          <w:p>
            <w:pPr>
              <w:pStyle w:val="TableContents"/>
              <w:bidi w:val="0"/>
              <w:spacing w:before="0" w:after="283"/>
              <w:jc w:val="left"/>
              <w:rPr/>
            </w:pPr>
            <w:r>
              <w:rPr/>
              <w:t> </w:t>
            </w:r>
          </w:p>
        </w:tc>
        <w:tc>
          <w:tcPr>
            <w:tcW w:w="864"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7,373</w:t>
            </w:r>
          </w:p>
        </w:tc>
        <w:tc>
          <w:tcPr>
            <w:tcW w:w="14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right"/>
              <w:rPr/>
            </w:pPr>
            <w:r>
              <w:rPr/>
              <w:t> </w:t>
            </w:r>
          </w:p>
        </w:tc>
        <w:tc>
          <w:tcPr>
            <w:tcW w:w="190" w:type="dxa"/>
            <w:tcBorders/>
            <w:shd w:fill="CCEEFF" w:val="clear"/>
            <w:vAlign w:val="bottom"/>
          </w:tcPr>
          <w:p>
            <w:pPr>
              <w:pStyle w:val="TableContents"/>
              <w:bidi w:val="0"/>
              <w:spacing w:before="0" w:after="283"/>
              <w:jc w:val="left"/>
              <w:rPr/>
            </w:pPr>
            <w:r>
              <w:rPr/>
              <w:t> </w:t>
            </w:r>
          </w:p>
        </w:tc>
        <w:tc>
          <w:tcPr>
            <w:tcW w:w="9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7,930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7" w:type="dxa"/>
            <w:tcBorders/>
            <w:shd w:fill="CCEEFF" w:val="clear"/>
            <w:vAlign w:val="bottom"/>
          </w:tcPr>
          <w:p>
            <w:pPr>
              <w:pStyle w:val="TableContents"/>
              <w:bidi w:val="0"/>
              <w:spacing w:before="0" w:after="283"/>
              <w:jc w:val="left"/>
              <w:rPr/>
            </w:pPr>
            <w:r>
              <w:rPr/>
              <w:t> </w:t>
            </w:r>
          </w:p>
        </w:tc>
        <w:tc>
          <w:tcPr>
            <w:tcW w:w="102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15,303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7" w:type="dxa"/>
            <w:tcBorders/>
            <w:shd w:fill="CCEEFF" w:val="clear"/>
            <w:vAlign w:val="bottom"/>
          </w:tcPr>
          <w:p>
            <w:pPr>
              <w:pStyle w:val="TableContents"/>
              <w:bidi w:val="0"/>
              <w:spacing w:before="0" w:after="283"/>
              <w:jc w:val="left"/>
              <w:rPr/>
            </w:pPr>
            <w:r>
              <w:rPr/>
              <w:t> </w:t>
            </w:r>
          </w:p>
        </w:tc>
        <w:tc>
          <w:tcPr>
            <w:tcW w:w="102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17,409</w:t>
            </w:r>
          </w:p>
        </w:tc>
        <w:tc>
          <w:tcPr>
            <w:tcW w:w="98" w:type="dxa"/>
            <w:tcBorders/>
            <w:shd w:fill="CCEEFF" w:val="clear"/>
            <w:vAlign w:val="bottom"/>
          </w:tcPr>
          <w:p>
            <w:pPr>
              <w:pStyle w:val="TableContents"/>
              <w:bidi w:val="0"/>
              <w:spacing w:before="0" w:after="283"/>
              <w:jc w:val="left"/>
              <w:rPr/>
            </w:pPr>
            <w:r>
              <w:rPr/>
              <w:t> </w:t>
            </w:r>
          </w:p>
        </w:tc>
      </w:tr>
      <w:tr>
        <w:trPr/>
        <w:tc>
          <w:tcPr>
            <w:tcW w:w="48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Other income (loss)</w:t>
            </w:r>
          </w:p>
        </w:tc>
        <w:tc>
          <w:tcPr>
            <w:tcW w:w="60" w:type="dxa"/>
            <w:tcBorders/>
            <w:vAlign w:val="bottom"/>
          </w:tcPr>
          <w:p>
            <w:pPr>
              <w:pStyle w:val="TableContents"/>
              <w:bidi w:val="0"/>
              <w:spacing w:before="0" w:after="283"/>
              <w:jc w:val="right"/>
              <w:rPr/>
            </w:pPr>
            <w:r>
              <w:rPr/>
              <w:t> </w:t>
            </w:r>
          </w:p>
        </w:tc>
        <w:tc>
          <w:tcPr>
            <w:tcW w:w="182" w:type="dxa"/>
            <w:tcBorders/>
            <w:vAlign w:val="bottom"/>
          </w:tcPr>
          <w:p>
            <w:pPr>
              <w:pStyle w:val="TableContents"/>
              <w:bidi w:val="0"/>
              <w:spacing w:before="0" w:after="283"/>
              <w:jc w:val="left"/>
              <w:rPr/>
            </w:pPr>
            <w:r>
              <w:rPr/>
              <w:t> </w:t>
            </w:r>
          </w:p>
        </w:tc>
        <w:tc>
          <w:tcPr>
            <w:tcW w:w="864" w:type="dxa"/>
            <w:tcBorders/>
            <w:vAlign w:val="bottom"/>
          </w:tcPr>
          <w:p>
            <w:pPr>
              <w:pStyle w:val="TableContents"/>
              <w:bidi w:val="0"/>
              <w:spacing w:before="0" w:after="283"/>
              <w:jc w:val="right"/>
              <w:rPr/>
            </w:pPr>
            <w:r>
              <w:rPr/>
              <w:t> </w:t>
            </w:r>
          </w:p>
        </w:tc>
        <w:tc>
          <w:tcPr>
            <w:tcW w:w="14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right"/>
              <w:rPr/>
            </w:pPr>
            <w:r>
              <w:rPr/>
              <w:t> </w:t>
            </w:r>
          </w:p>
        </w:tc>
        <w:tc>
          <w:tcPr>
            <w:tcW w:w="190" w:type="dxa"/>
            <w:tcBorders/>
            <w:vAlign w:val="bottom"/>
          </w:tcPr>
          <w:p>
            <w:pPr>
              <w:pStyle w:val="TableContents"/>
              <w:bidi w:val="0"/>
              <w:spacing w:before="0" w:after="283"/>
              <w:jc w:val="left"/>
              <w:rPr/>
            </w:pPr>
            <w:r>
              <w:rPr/>
              <w:t> </w:t>
            </w:r>
          </w:p>
        </w:tc>
        <w:tc>
          <w:tcPr>
            <w:tcW w:w="990"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7" w:type="dxa"/>
            <w:tcBorders/>
            <w:vAlign w:val="bottom"/>
          </w:tcPr>
          <w:p>
            <w:pPr>
              <w:pStyle w:val="TableContents"/>
              <w:bidi w:val="0"/>
              <w:spacing w:before="0" w:after="283"/>
              <w:jc w:val="left"/>
              <w:rPr/>
            </w:pPr>
            <w:r>
              <w:rPr/>
              <w:t> </w:t>
            </w:r>
          </w:p>
        </w:tc>
        <w:tc>
          <w:tcPr>
            <w:tcW w:w="102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7" w:type="dxa"/>
            <w:tcBorders/>
            <w:vAlign w:val="bottom"/>
          </w:tcPr>
          <w:p>
            <w:pPr>
              <w:pStyle w:val="TableContents"/>
              <w:bidi w:val="0"/>
              <w:spacing w:before="0" w:after="283"/>
              <w:jc w:val="left"/>
              <w:rPr/>
            </w:pPr>
            <w:r>
              <w:rPr/>
              <w:t> </w:t>
            </w:r>
          </w:p>
        </w:tc>
        <w:tc>
          <w:tcPr>
            <w:tcW w:w="1025" w:type="dxa"/>
            <w:tcBorders/>
            <w:vAlign w:val="bottom"/>
          </w:tcPr>
          <w:p>
            <w:pPr>
              <w:pStyle w:val="TableContents"/>
              <w:bidi w:val="0"/>
              <w:spacing w:before="0" w:after="283"/>
              <w:jc w:val="right"/>
              <w:rPr/>
            </w:pPr>
            <w:r>
              <w:rPr/>
              <w:t> </w:t>
            </w:r>
          </w:p>
        </w:tc>
        <w:tc>
          <w:tcPr>
            <w:tcW w:w="98" w:type="dxa"/>
            <w:tcBorders/>
            <w:vAlign w:val="bottom"/>
          </w:tcPr>
          <w:p>
            <w:pPr>
              <w:pStyle w:val="TableContents"/>
              <w:bidi w:val="0"/>
              <w:spacing w:before="0" w:after="283"/>
              <w:jc w:val="left"/>
              <w:rPr/>
            </w:pPr>
            <w:r>
              <w:rPr/>
              <w:t> </w:t>
            </w:r>
          </w:p>
        </w:tc>
      </w:tr>
      <w:tr>
        <w:trPr/>
        <w:tc>
          <w:tcPr>
            <w:tcW w:w="4895" w:type="dxa"/>
            <w:tcBorders/>
            <w:shd w:fill="CCEEFF" w:val="clear"/>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Realized loss on RMBS, net</w:t>
            </w:r>
          </w:p>
        </w:tc>
        <w:tc>
          <w:tcPr>
            <w:tcW w:w="60" w:type="dxa"/>
            <w:tcBorders/>
            <w:shd w:fill="CCEEFF" w:val="clear"/>
            <w:vAlign w:val="bottom"/>
          </w:tcPr>
          <w:p>
            <w:pPr>
              <w:pStyle w:val="TableContents"/>
              <w:bidi w:val="0"/>
              <w:spacing w:before="0" w:after="283"/>
              <w:jc w:val="right"/>
              <w:rPr/>
            </w:pPr>
            <w:r>
              <w:rPr/>
              <w:t> </w:t>
            </w:r>
          </w:p>
        </w:tc>
        <w:tc>
          <w:tcPr>
            <w:tcW w:w="182" w:type="dxa"/>
            <w:tcBorders/>
            <w:shd w:fill="CCEEFF" w:val="clear"/>
            <w:vAlign w:val="bottom"/>
          </w:tcPr>
          <w:p>
            <w:pPr>
              <w:pStyle w:val="TableContents"/>
              <w:bidi w:val="0"/>
              <w:spacing w:before="0" w:after="283"/>
              <w:jc w:val="left"/>
              <w:rPr/>
            </w:pPr>
            <w:r>
              <w:rPr/>
              <w:t> </w:t>
            </w:r>
          </w:p>
        </w:tc>
        <w:tc>
          <w:tcPr>
            <w:tcW w:w="864"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(1,047</w:t>
            </w:r>
          </w:p>
        </w:tc>
        <w:tc>
          <w:tcPr>
            <w:tcW w:w="14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1" w:type="dxa"/>
            <w:tcBorders/>
            <w:shd w:fill="CCEEFF" w:val="clear"/>
            <w:vAlign w:val="bottom"/>
          </w:tcPr>
          <w:p>
            <w:pPr>
              <w:pStyle w:val="TableContents"/>
              <w:bidi w:val="0"/>
              <w:spacing w:before="0" w:after="283"/>
              <w:jc w:val="right"/>
              <w:rPr/>
            </w:pPr>
            <w:r>
              <w:rPr/>
              <w:t> </w:t>
            </w:r>
          </w:p>
        </w:tc>
        <w:tc>
          <w:tcPr>
            <w:tcW w:w="190" w:type="dxa"/>
            <w:tcBorders/>
            <w:shd w:fill="CCEEFF" w:val="clear"/>
            <w:vAlign w:val="bottom"/>
          </w:tcPr>
          <w:p>
            <w:pPr>
              <w:pStyle w:val="TableContents"/>
              <w:bidi w:val="0"/>
              <w:spacing w:before="0" w:after="283"/>
              <w:jc w:val="left"/>
              <w:rPr/>
            </w:pPr>
            <w:r>
              <w:rPr/>
              <w:t> </w:t>
            </w:r>
          </w:p>
        </w:tc>
        <w:tc>
          <w:tcPr>
            <w:tcW w:w="9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7" w:type="dxa"/>
            <w:tcBorders/>
            <w:shd w:fill="CCEEFF" w:val="clear"/>
            <w:vAlign w:val="bottom"/>
          </w:tcPr>
          <w:p>
            <w:pPr>
              <w:pStyle w:val="TableContents"/>
              <w:bidi w:val="0"/>
              <w:spacing w:before="0" w:after="283"/>
              <w:jc w:val="left"/>
              <w:rPr/>
            </w:pPr>
            <w:r>
              <w:rPr/>
              <w:t> </w:t>
            </w:r>
          </w:p>
        </w:tc>
        <w:tc>
          <w:tcPr>
            <w:tcW w:w="102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(1,047</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97" w:type="dxa"/>
            <w:tcBorders/>
            <w:shd w:fill="CCEEFF" w:val="clear"/>
            <w:vAlign w:val="bottom"/>
          </w:tcPr>
          <w:p>
            <w:pPr>
              <w:pStyle w:val="TableContents"/>
              <w:bidi w:val="0"/>
              <w:spacing w:before="0" w:after="283"/>
              <w:jc w:val="left"/>
              <w:rPr/>
            </w:pPr>
            <w:r>
              <w:rPr/>
              <w:t> </w:t>
            </w:r>
          </w:p>
        </w:tc>
        <w:tc>
          <w:tcPr>
            <w:tcW w:w="102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(6,045</w:t>
            </w:r>
          </w:p>
        </w:tc>
        <w:tc>
          <w:tcPr>
            <w:tcW w:w="9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4895" w:type="dxa"/>
            <w:tcBorders/>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Realized gain (loss) on derivatives, net</w:t>
            </w:r>
          </w:p>
        </w:tc>
        <w:tc>
          <w:tcPr>
            <w:tcW w:w="60" w:type="dxa"/>
            <w:tcBorders/>
            <w:vAlign w:val="bottom"/>
          </w:tcPr>
          <w:p>
            <w:pPr>
              <w:pStyle w:val="TableContents"/>
              <w:bidi w:val="0"/>
              <w:spacing w:before="0" w:after="283"/>
              <w:jc w:val="right"/>
              <w:rPr/>
            </w:pPr>
            <w:r>
              <w:rPr/>
              <w:t> </w:t>
            </w:r>
          </w:p>
        </w:tc>
        <w:tc>
          <w:tcPr>
            <w:tcW w:w="182" w:type="dxa"/>
            <w:tcBorders/>
            <w:vAlign w:val="bottom"/>
          </w:tcPr>
          <w:p>
            <w:pPr>
              <w:pStyle w:val="TableContents"/>
              <w:bidi w:val="0"/>
              <w:spacing w:before="0" w:after="283"/>
              <w:jc w:val="left"/>
              <w:rPr/>
            </w:pPr>
            <w:r>
              <w:rPr/>
              <w:t> </w:t>
            </w:r>
          </w:p>
        </w:tc>
        <w:tc>
          <w:tcPr>
            <w:tcW w:w="864"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12,139</w:t>
            </w:r>
          </w:p>
        </w:tc>
        <w:tc>
          <w:tcPr>
            <w:tcW w:w="14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right"/>
              <w:rPr/>
            </w:pPr>
            <w:r>
              <w:rPr/>
              <w:t> </w:t>
            </w:r>
          </w:p>
        </w:tc>
        <w:tc>
          <w:tcPr>
            <w:tcW w:w="190" w:type="dxa"/>
            <w:tcBorders/>
            <w:vAlign w:val="bottom"/>
          </w:tcPr>
          <w:p>
            <w:pPr>
              <w:pStyle w:val="TableContents"/>
              <w:bidi w:val="0"/>
              <w:spacing w:before="0" w:after="283"/>
              <w:jc w:val="left"/>
              <w:rPr/>
            </w:pPr>
            <w:r>
              <w:rPr/>
              <w:t> </w:t>
            </w:r>
          </w:p>
        </w:tc>
        <w:tc>
          <w:tcPr>
            <w:tcW w:w="99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(70</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97" w:type="dxa"/>
            <w:tcBorders/>
            <w:vAlign w:val="bottom"/>
          </w:tcPr>
          <w:p>
            <w:pPr>
              <w:pStyle w:val="TableContents"/>
              <w:bidi w:val="0"/>
              <w:spacing w:before="0" w:after="283"/>
              <w:jc w:val="left"/>
              <w:rPr/>
            </w:pPr>
            <w:r>
              <w:rPr/>
              <w:t> </w:t>
            </w:r>
          </w:p>
        </w:tc>
        <w:tc>
          <w:tcPr>
            <w:tcW w:w="102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12,069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7" w:type="dxa"/>
            <w:tcBorders/>
            <w:vAlign w:val="bottom"/>
          </w:tcPr>
          <w:p>
            <w:pPr>
              <w:pStyle w:val="TableContents"/>
              <w:bidi w:val="0"/>
              <w:spacing w:before="0" w:after="283"/>
              <w:jc w:val="left"/>
              <w:rPr/>
            </w:pPr>
            <w:r>
              <w:rPr/>
              <w:t> </w:t>
            </w:r>
          </w:p>
        </w:tc>
        <w:tc>
          <w:tcPr>
            <w:tcW w:w="102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19,472</w:t>
            </w:r>
          </w:p>
        </w:tc>
        <w:tc>
          <w:tcPr>
            <w:tcW w:w="98" w:type="dxa"/>
            <w:tcBorders/>
            <w:vAlign w:val="bottom"/>
          </w:tcPr>
          <w:p>
            <w:pPr>
              <w:pStyle w:val="TableContents"/>
              <w:bidi w:val="0"/>
              <w:spacing w:before="0" w:after="283"/>
              <w:jc w:val="left"/>
              <w:rPr/>
            </w:pPr>
            <w:r>
              <w:rPr/>
              <w:t> </w:t>
            </w:r>
          </w:p>
        </w:tc>
      </w:tr>
      <w:tr>
        <w:trPr/>
        <w:tc>
          <w:tcPr>
            <w:tcW w:w="4895" w:type="dxa"/>
            <w:tcBorders/>
            <w:shd w:fill="CCEEFF" w:val="clear"/>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Realized gain on acquired assets, net</w:t>
            </w:r>
          </w:p>
        </w:tc>
        <w:tc>
          <w:tcPr>
            <w:tcW w:w="60" w:type="dxa"/>
            <w:tcBorders/>
            <w:shd w:fill="CCEEFF" w:val="clear"/>
            <w:vAlign w:val="bottom"/>
          </w:tcPr>
          <w:p>
            <w:pPr>
              <w:pStyle w:val="TableContents"/>
              <w:bidi w:val="0"/>
              <w:spacing w:before="0" w:after="283"/>
              <w:jc w:val="right"/>
              <w:rPr/>
            </w:pPr>
            <w:r>
              <w:rPr/>
              <w:t> </w:t>
            </w:r>
          </w:p>
        </w:tc>
        <w:tc>
          <w:tcPr>
            <w:tcW w:w="182" w:type="dxa"/>
            <w:tcBorders/>
            <w:shd w:fill="CCEEFF" w:val="clear"/>
            <w:vAlign w:val="bottom"/>
          </w:tcPr>
          <w:p>
            <w:pPr>
              <w:pStyle w:val="TableContents"/>
              <w:bidi w:val="0"/>
              <w:spacing w:before="0" w:after="283"/>
              <w:jc w:val="left"/>
              <w:rPr/>
            </w:pPr>
            <w:r>
              <w:rPr/>
              <w:t> </w:t>
            </w:r>
          </w:p>
        </w:tc>
        <w:tc>
          <w:tcPr>
            <w:tcW w:w="864"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w:t>
            </w:r>
          </w:p>
        </w:tc>
        <w:tc>
          <w:tcPr>
            <w:tcW w:w="14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right"/>
              <w:rPr/>
            </w:pPr>
            <w:r>
              <w:rPr/>
              <w:t> </w:t>
            </w:r>
          </w:p>
        </w:tc>
        <w:tc>
          <w:tcPr>
            <w:tcW w:w="190" w:type="dxa"/>
            <w:tcBorders/>
            <w:shd w:fill="CCEEFF" w:val="clear"/>
            <w:vAlign w:val="bottom"/>
          </w:tcPr>
          <w:p>
            <w:pPr>
              <w:pStyle w:val="TableContents"/>
              <w:bidi w:val="0"/>
              <w:spacing w:before="0" w:after="283"/>
              <w:jc w:val="left"/>
              <w:rPr/>
            </w:pPr>
            <w:r>
              <w:rPr/>
              <w:t> </w:t>
            </w:r>
          </w:p>
        </w:tc>
        <w:tc>
          <w:tcPr>
            <w:tcW w:w="9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7" w:type="dxa"/>
            <w:tcBorders/>
            <w:shd w:fill="CCEEFF" w:val="clear"/>
            <w:vAlign w:val="bottom"/>
          </w:tcPr>
          <w:p>
            <w:pPr>
              <w:pStyle w:val="TableContents"/>
              <w:bidi w:val="0"/>
              <w:spacing w:before="0" w:after="283"/>
              <w:jc w:val="left"/>
              <w:rPr/>
            </w:pPr>
            <w:r>
              <w:rPr/>
              <w:t> </w:t>
            </w:r>
          </w:p>
        </w:tc>
        <w:tc>
          <w:tcPr>
            <w:tcW w:w="102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7" w:type="dxa"/>
            <w:tcBorders/>
            <w:shd w:fill="CCEEFF" w:val="clear"/>
            <w:vAlign w:val="bottom"/>
          </w:tcPr>
          <w:p>
            <w:pPr>
              <w:pStyle w:val="TableContents"/>
              <w:bidi w:val="0"/>
              <w:spacing w:before="0" w:after="283"/>
              <w:jc w:val="left"/>
              <w:rPr/>
            </w:pPr>
            <w:r>
              <w:rPr/>
              <w:t> </w:t>
            </w:r>
          </w:p>
        </w:tc>
        <w:tc>
          <w:tcPr>
            <w:tcW w:w="102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98" w:type="dxa"/>
            <w:tcBorders/>
            <w:shd w:fill="CCEEFF" w:val="clear"/>
            <w:vAlign w:val="bottom"/>
          </w:tcPr>
          <w:p>
            <w:pPr>
              <w:pStyle w:val="TableContents"/>
              <w:bidi w:val="0"/>
              <w:spacing w:before="0" w:after="283"/>
              <w:jc w:val="left"/>
              <w:rPr/>
            </w:pPr>
            <w:r>
              <w:rPr/>
              <w:t> </w:t>
            </w:r>
          </w:p>
        </w:tc>
      </w:tr>
      <w:tr>
        <w:trPr/>
        <w:tc>
          <w:tcPr>
            <w:tcW w:w="4895" w:type="dxa"/>
            <w:tcBorders/>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Unrealized gain (loss) on RMBS, measured at fair value through earnings, net</w:t>
            </w:r>
          </w:p>
        </w:tc>
        <w:tc>
          <w:tcPr>
            <w:tcW w:w="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864" w:type="dxa"/>
            <w:tcBorders/>
            <w:vAlign w:val="bottom"/>
          </w:tcPr>
          <w:p>
            <w:pPr>
              <w:pStyle w:val="TableContents"/>
              <w:bidi w:val="0"/>
              <w:spacing w:before="0" w:after="283"/>
              <w:jc w:val="right"/>
              <w:rPr/>
            </w:pPr>
            <w:r>
              <w:rPr/>
              <w:t>(860</w:t>
            </w:r>
          </w:p>
        </w:tc>
        <w:tc>
          <w:tcPr>
            <w:tcW w:w="141" w:type="dxa"/>
            <w:tcBorders/>
            <w:vAlign w:val="bottom"/>
          </w:tcPr>
          <w:p>
            <w:pPr>
              <w:pStyle w:val="TableContents"/>
              <w:bidi w:val="0"/>
              <w:spacing w:before="0" w:after="283"/>
              <w:jc w:val="left"/>
              <w:rPr/>
            </w:pPr>
            <w:r>
              <w:rPr/>
              <w:t>)</w:t>
            </w:r>
          </w:p>
        </w:tc>
        <w:tc>
          <w:tcPr>
            <w:tcW w:w="61" w:type="dxa"/>
            <w:tcBorders/>
            <w:vAlign w:val="bottom"/>
          </w:tcPr>
          <w:p>
            <w:pPr>
              <w:pStyle w:val="TableContents"/>
              <w:bidi w:val="0"/>
              <w:spacing w:before="0" w:after="283"/>
              <w:jc w:val="right"/>
              <w:rPr/>
            </w:pPr>
            <w:r>
              <w:rPr/>
              <w:t> </w:t>
            </w:r>
          </w:p>
        </w:tc>
        <w:tc>
          <w:tcPr>
            <w:tcW w:w="190" w:type="dxa"/>
            <w:tcBorders/>
            <w:vAlign w:val="bottom"/>
          </w:tcPr>
          <w:p>
            <w:pPr>
              <w:pStyle w:val="TableContents"/>
              <w:bidi w:val="0"/>
              <w:spacing w:before="0" w:after="283"/>
              <w:jc w:val="left"/>
              <w:rPr/>
            </w:pPr>
            <w:r>
              <w:rPr/>
              <w:t> </w:t>
            </w:r>
          </w:p>
        </w:tc>
        <w:tc>
          <w:tcPr>
            <w:tcW w:w="99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(12,436</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97" w:type="dxa"/>
            <w:tcBorders/>
            <w:vAlign w:val="bottom"/>
          </w:tcPr>
          <w:p>
            <w:pPr>
              <w:pStyle w:val="TableContents"/>
              <w:bidi w:val="0"/>
              <w:spacing w:before="0" w:after="283"/>
              <w:jc w:val="left"/>
              <w:rPr/>
            </w:pPr>
            <w:r>
              <w:rPr/>
              <w:t> </w:t>
            </w:r>
          </w:p>
        </w:tc>
        <w:tc>
          <w:tcPr>
            <w:tcW w:w="102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(13,296</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97" w:type="dxa"/>
            <w:tcBorders/>
            <w:vAlign w:val="bottom"/>
          </w:tcPr>
          <w:p>
            <w:pPr>
              <w:pStyle w:val="TableContents"/>
              <w:bidi w:val="0"/>
              <w:spacing w:before="0" w:after="283"/>
              <w:jc w:val="left"/>
              <w:rPr/>
            </w:pPr>
            <w:r>
              <w:rPr/>
              <w:t> </w:t>
            </w:r>
          </w:p>
        </w:tc>
        <w:tc>
          <w:tcPr>
            <w:tcW w:w="102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18,288</w:t>
            </w:r>
          </w:p>
        </w:tc>
        <w:tc>
          <w:tcPr>
            <w:tcW w:w="98" w:type="dxa"/>
            <w:tcBorders/>
            <w:vAlign w:val="bottom"/>
          </w:tcPr>
          <w:p>
            <w:pPr>
              <w:pStyle w:val="TableContents"/>
              <w:bidi w:val="0"/>
              <w:spacing w:before="0" w:after="283"/>
              <w:jc w:val="left"/>
              <w:rPr/>
            </w:pPr>
            <w:r>
              <w:rPr/>
              <w:t> </w:t>
            </w:r>
          </w:p>
        </w:tc>
      </w:tr>
      <w:tr>
        <w:trPr/>
        <w:tc>
          <w:tcPr>
            <w:tcW w:w="4895" w:type="dxa"/>
            <w:tcBorders/>
            <w:shd w:fill="CCEEFF" w:val="clear"/>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Unrealized gain (loss) on derivatives, net</w:t>
            </w:r>
          </w:p>
        </w:tc>
        <w:tc>
          <w:tcPr>
            <w:tcW w:w="60" w:type="dxa"/>
            <w:tcBorders/>
            <w:shd w:fill="CCEEFF" w:val="clear"/>
            <w:vAlign w:val="bottom"/>
          </w:tcPr>
          <w:p>
            <w:pPr>
              <w:pStyle w:val="TableContents"/>
              <w:bidi w:val="0"/>
              <w:spacing w:before="0" w:after="283"/>
              <w:jc w:val="right"/>
              <w:rPr/>
            </w:pPr>
            <w:r>
              <w:rPr/>
              <w:t> </w:t>
            </w:r>
          </w:p>
        </w:tc>
        <w:tc>
          <w:tcPr>
            <w:tcW w:w="182" w:type="dxa"/>
            <w:tcBorders/>
            <w:shd w:fill="CCEEFF" w:val="clear"/>
            <w:vAlign w:val="bottom"/>
          </w:tcPr>
          <w:p>
            <w:pPr>
              <w:pStyle w:val="TableContents"/>
              <w:bidi w:val="0"/>
              <w:spacing w:before="0" w:after="283"/>
              <w:jc w:val="left"/>
              <w:rPr/>
            </w:pPr>
            <w:r>
              <w:rPr/>
              <w:t> </w:t>
            </w:r>
          </w:p>
        </w:tc>
        <w:tc>
          <w:tcPr>
            <w:tcW w:w="864"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(9,299</w:t>
            </w:r>
          </w:p>
        </w:tc>
        <w:tc>
          <w:tcPr>
            <w:tcW w:w="14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1" w:type="dxa"/>
            <w:tcBorders/>
            <w:shd w:fill="CCEEFF" w:val="clear"/>
            <w:vAlign w:val="bottom"/>
          </w:tcPr>
          <w:p>
            <w:pPr>
              <w:pStyle w:val="TableContents"/>
              <w:bidi w:val="0"/>
              <w:spacing w:before="0" w:after="283"/>
              <w:jc w:val="right"/>
              <w:rPr/>
            </w:pPr>
            <w:r>
              <w:rPr/>
              <w:t> </w:t>
            </w:r>
          </w:p>
        </w:tc>
        <w:tc>
          <w:tcPr>
            <w:tcW w:w="190" w:type="dxa"/>
            <w:tcBorders/>
            <w:shd w:fill="CCEEFF" w:val="clear"/>
            <w:vAlign w:val="bottom"/>
          </w:tcPr>
          <w:p>
            <w:pPr>
              <w:pStyle w:val="TableContents"/>
              <w:bidi w:val="0"/>
              <w:spacing w:before="0" w:after="283"/>
              <w:jc w:val="left"/>
              <w:rPr/>
            </w:pPr>
            <w:r>
              <w:rPr/>
              <w:t> </w:t>
            </w:r>
          </w:p>
        </w:tc>
        <w:tc>
          <w:tcPr>
            <w:tcW w:w="9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6,121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7" w:type="dxa"/>
            <w:tcBorders/>
            <w:shd w:fill="CCEEFF" w:val="clear"/>
            <w:vAlign w:val="bottom"/>
          </w:tcPr>
          <w:p>
            <w:pPr>
              <w:pStyle w:val="TableContents"/>
              <w:bidi w:val="0"/>
              <w:spacing w:before="0" w:after="283"/>
              <w:jc w:val="left"/>
              <w:rPr/>
            </w:pPr>
            <w:r>
              <w:rPr/>
              <w:t> </w:t>
            </w:r>
          </w:p>
        </w:tc>
        <w:tc>
          <w:tcPr>
            <w:tcW w:w="102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(3,178</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97" w:type="dxa"/>
            <w:tcBorders/>
            <w:shd w:fill="CCEEFF" w:val="clear"/>
            <w:vAlign w:val="bottom"/>
          </w:tcPr>
          <w:p>
            <w:pPr>
              <w:pStyle w:val="TableContents"/>
              <w:bidi w:val="0"/>
              <w:spacing w:before="0" w:after="283"/>
              <w:jc w:val="left"/>
              <w:rPr/>
            </w:pPr>
            <w:r>
              <w:rPr/>
              <w:t> </w:t>
            </w:r>
          </w:p>
        </w:tc>
        <w:tc>
          <w:tcPr>
            <w:tcW w:w="102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(41,888</w:t>
            </w:r>
          </w:p>
        </w:tc>
        <w:tc>
          <w:tcPr>
            <w:tcW w:w="9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4895" w:type="dxa"/>
            <w:tcBorders/>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Unrealized loss on investments in Servicing Related Assets</w:t>
            </w:r>
          </w:p>
        </w:tc>
        <w:tc>
          <w:tcPr>
            <w:tcW w:w="60" w:type="dxa"/>
            <w:tcBorders/>
            <w:vAlign w:val="bottom"/>
          </w:tcPr>
          <w:p>
            <w:pPr>
              <w:pStyle w:val="TableContents"/>
              <w:bidi w:val="0"/>
              <w:spacing w:before="0" w:after="283"/>
              <w:jc w:val="right"/>
              <w:rPr/>
            </w:pPr>
            <w:r>
              <w:rPr/>
              <w:t> </w:t>
            </w:r>
          </w:p>
        </w:tc>
        <w:tc>
          <w:tcPr>
            <w:tcW w:w="182" w:type="dxa"/>
            <w:tcBorders/>
            <w:vAlign w:val="bottom"/>
          </w:tcPr>
          <w:p>
            <w:pPr>
              <w:pStyle w:val="TableContents"/>
              <w:bidi w:val="0"/>
              <w:spacing w:before="0" w:after="283"/>
              <w:jc w:val="left"/>
              <w:rPr/>
            </w:pPr>
            <w:r>
              <w:rPr/>
              <w:t> </w:t>
            </w:r>
          </w:p>
        </w:tc>
        <w:tc>
          <w:tcPr>
            <w:tcW w:w="864"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(2,351</w:t>
            </w:r>
          </w:p>
        </w:tc>
        <w:tc>
          <w:tcPr>
            <w:tcW w:w="14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1" w:type="dxa"/>
            <w:tcBorders/>
            <w:vAlign w:val="bottom"/>
          </w:tcPr>
          <w:p>
            <w:pPr>
              <w:pStyle w:val="TableContents"/>
              <w:bidi w:val="0"/>
              <w:spacing w:before="0" w:after="283"/>
              <w:jc w:val="right"/>
              <w:rPr/>
            </w:pPr>
            <w:r>
              <w:rPr/>
              <w:t> </w:t>
            </w:r>
          </w:p>
        </w:tc>
        <w:tc>
          <w:tcPr>
            <w:tcW w:w="190" w:type="dxa"/>
            <w:tcBorders/>
            <w:vAlign w:val="bottom"/>
          </w:tcPr>
          <w:p>
            <w:pPr>
              <w:pStyle w:val="TableContents"/>
              <w:bidi w:val="0"/>
              <w:spacing w:before="0" w:after="283"/>
              <w:jc w:val="left"/>
              <w:rPr/>
            </w:pPr>
            <w:r>
              <w:rPr/>
              <w:t> </w:t>
            </w:r>
          </w:p>
        </w:tc>
        <w:tc>
          <w:tcPr>
            <w:tcW w:w="99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(1,361</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97" w:type="dxa"/>
            <w:tcBorders/>
            <w:vAlign w:val="bottom"/>
          </w:tcPr>
          <w:p>
            <w:pPr>
              <w:pStyle w:val="TableContents"/>
              <w:bidi w:val="0"/>
              <w:spacing w:before="0" w:after="283"/>
              <w:jc w:val="left"/>
              <w:rPr/>
            </w:pPr>
            <w:r>
              <w:rPr/>
              <w:t> </w:t>
            </w:r>
          </w:p>
        </w:tc>
        <w:tc>
          <w:tcPr>
            <w:tcW w:w="102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(3,712</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97" w:type="dxa"/>
            <w:tcBorders/>
            <w:vAlign w:val="bottom"/>
          </w:tcPr>
          <w:p>
            <w:pPr>
              <w:pStyle w:val="TableContents"/>
              <w:bidi w:val="0"/>
              <w:spacing w:before="0" w:after="283"/>
              <w:jc w:val="left"/>
              <w:rPr/>
            </w:pPr>
            <w:r>
              <w:rPr/>
              <w:t> </w:t>
            </w:r>
          </w:p>
        </w:tc>
        <w:tc>
          <w:tcPr>
            <w:tcW w:w="102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(9,056</w:t>
            </w:r>
          </w:p>
        </w:tc>
        <w:tc>
          <w:tcPr>
            <w:tcW w:w="9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4895" w:type="dxa"/>
            <w:tcBorders/>
            <w:shd w:fill="CCEEFF" w:val="clear"/>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Credit loss and impairment on other assets</w:t>
            </w:r>
          </w:p>
        </w:tc>
        <w:tc>
          <w:tcPr>
            <w:tcW w:w="60" w:type="dxa"/>
            <w:tcBorders/>
            <w:shd w:fill="CCEEFF" w:val="clear"/>
            <w:vAlign w:val="bottom"/>
          </w:tcPr>
          <w:p>
            <w:pPr>
              <w:pStyle w:val="TableContents"/>
              <w:bidi w:val="0"/>
              <w:spacing w:before="0" w:after="283"/>
              <w:jc w:val="right"/>
              <w:rPr/>
            </w:pPr>
            <w:r>
              <w:rPr/>
              <w:t> </w:t>
            </w:r>
          </w:p>
        </w:tc>
        <w:tc>
          <w:tcPr>
            <w:tcW w:w="18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64"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(2,815</w:t>
            </w:r>
          </w:p>
        </w:tc>
        <w:tc>
          <w:tcPr>
            <w:tcW w:w="14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1" w:type="dxa"/>
            <w:tcBorders/>
            <w:shd w:fill="CCEEFF" w:val="clear"/>
            <w:vAlign w:val="bottom"/>
          </w:tcPr>
          <w:p>
            <w:pPr>
              <w:pStyle w:val="TableContents"/>
              <w:bidi w:val="0"/>
              <w:spacing w:before="0" w:after="283"/>
              <w:jc w:val="right"/>
              <w:rPr/>
            </w:pPr>
            <w:r>
              <w:rPr/>
              <w:t> </w:t>
            </w:r>
          </w:p>
        </w:tc>
        <w:tc>
          <w:tcPr>
            <w:tcW w:w="19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9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2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(2,815</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9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2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98" w:type="dxa"/>
            <w:tcBorders/>
            <w:shd w:fill="CCEEFF" w:val="clear"/>
            <w:vAlign w:val="bottom"/>
          </w:tcPr>
          <w:p>
            <w:pPr>
              <w:pStyle w:val="TableContents"/>
              <w:bidi w:val="0"/>
              <w:spacing w:before="0" w:after="283"/>
              <w:jc w:val="left"/>
              <w:rPr/>
            </w:pPr>
            <w:r>
              <w:rPr/>
              <w:t> </w:t>
            </w:r>
          </w:p>
        </w:tc>
      </w:tr>
      <w:tr>
        <w:trPr/>
        <w:tc>
          <w:tcPr>
            <w:tcW w:w="48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Total other loss</w:t>
            </w:r>
          </w:p>
        </w:tc>
        <w:tc>
          <w:tcPr>
            <w:tcW w:w="60" w:type="dxa"/>
            <w:tcBorders/>
            <w:vAlign w:val="bottom"/>
          </w:tcPr>
          <w:p>
            <w:pPr>
              <w:pStyle w:val="TableContents"/>
              <w:bidi w:val="0"/>
              <w:spacing w:before="0" w:after="283"/>
              <w:jc w:val="right"/>
              <w:rPr/>
            </w:pPr>
            <w:r>
              <w:rPr/>
              <w:t> </w:t>
            </w:r>
          </w:p>
        </w:tc>
        <w:tc>
          <w:tcPr>
            <w:tcW w:w="182" w:type="dxa"/>
            <w:tcBorders>
              <w:bottom w:val="single" w:sz="12" w:space="0" w:color="000000"/>
            </w:tcBorders>
            <w:tcMar>
              <w:bottom w:w="28" w:type="dxa"/>
            </w:tcMar>
            <w:vAlign w:val="bottom"/>
          </w:tcPr>
          <w:p>
            <w:pPr>
              <w:pStyle w:val="TableContents"/>
              <w:bidi w:val="0"/>
              <w:spacing w:before="0" w:after="283"/>
              <w:jc w:val="left"/>
              <w:rPr/>
            </w:pPr>
            <w:r>
              <w:rPr/>
              <w:t> </w:t>
            </w:r>
          </w:p>
        </w:tc>
        <w:tc>
          <w:tcPr>
            <w:tcW w:w="864"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(4,231</w:t>
            </w:r>
          </w:p>
        </w:tc>
        <w:tc>
          <w:tcPr>
            <w:tcW w:w="14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1" w:type="dxa"/>
            <w:tcBorders/>
            <w:vAlign w:val="bottom"/>
          </w:tcPr>
          <w:p>
            <w:pPr>
              <w:pStyle w:val="TableContents"/>
              <w:bidi w:val="0"/>
              <w:spacing w:before="0" w:after="283"/>
              <w:jc w:val="right"/>
              <w:rPr/>
            </w:pPr>
            <w:r>
              <w:rPr/>
              <w:t> </w:t>
            </w:r>
          </w:p>
        </w:tc>
        <w:tc>
          <w:tcPr>
            <w:tcW w:w="190" w:type="dxa"/>
            <w:tcBorders>
              <w:bottom w:val="single" w:sz="12" w:space="0" w:color="000000"/>
            </w:tcBorders>
            <w:tcMar>
              <w:bottom w:w="28" w:type="dxa"/>
            </w:tcMar>
            <w:vAlign w:val="bottom"/>
          </w:tcPr>
          <w:p>
            <w:pPr>
              <w:pStyle w:val="TableContents"/>
              <w:bidi w:val="0"/>
              <w:spacing w:before="0" w:after="283"/>
              <w:jc w:val="left"/>
              <w:rPr/>
            </w:pPr>
            <w:r>
              <w:rPr/>
              <w:t> </w:t>
            </w:r>
          </w:p>
        </w:tc>
        <w:tc>
          <w:tcPr>
            <w:tcW w:w="99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(7,746</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97" w:type="dxa"/>
            <w:tcBorders>
              <w:bottom w:val="single" w:sz="12" w:space="0" w:color="000000"/>
            </w:tcBorders>
            <w:tcMar>
              <w:bottom w:w="28" w:type="dxa"/>
            </w:tcMar>
            <w:vAlign w:val="bottom"/>
          </w:tcPr>
          <w:p>
            <w:pPr>
              <w:pStyle w:val="TableContents"/>
              <w:bidi w:val="0"/>
              <w:spacing w:before="0" w:after="283"/>
              <w:jc w:val="left"/>
              <w:rPr/>
            </w:pPr>
            <w:r>
              <w:rPr/>
              <w:t> </w:t>
            </w:r>
          </w:p>
        </w:tc>
        <w:tc>
          <w:tcPr>
            <w:tcW w:w="102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(11,977</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97" w:type="dxa"/>
            <w:tcBorders>
              <w:bottom w:val="single" w:sz="12" w:space="0" w:color="000000"/>
            </w:tcBorders>
            <w:tcMar>
              <w:bottom w:w="28" w:type="dxa"/>
            </w:tcMar>
            <w:vAlign w:val="bottom"/>
          </w:tcPr>
          <w:p>
            <w:pPr>
              <w:pStyle w:val="TableContents"/>
              <w:bidi w:val="0"/>
              <w:spacing w:before="0" w:after="283"/>
              <w:jc w:val="left"/>
              <w:rPr/>
            </w:pPr>
            <w:r>
              <w:rPr/>
              <w:t> </w:t>
            </w:r>
          </w:p>
        </w:tc>
        <w:tc>
          <w:tcPr>
            <w:tcW w:w="102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(19,229</w:t>
            </w:r>
          </w:p>
        </w:tc>
        <w:tc>
          <w:tcPr>
            <w:tcW w:w="9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48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Total Income</w:t>
            </w:r>
          </w:p>
        </w:tc>
        <w:tc>
          <w:tcPr>
            <w:tcW w:w="60" w:type="dxa"/>
            <w:tcBorders/>
            <w:shd w:fill="CCEEFF" w:val="clear"/>
            <w:vAlign w:val="bottom"/>
          </w:tcPr>
          <w:p>
            <w:pPr>
              <w:pStyle w:val="TableContents"/>
              <w:bidi w:val="0"/>
              <w:spacing w:before="0" w:after="283"/>
              <w:jc w:val="right"/>
              <w:rPr/>
            </w:pPr>
            <w:r>
              <w:rPr/>
              <w:t> </w:t>
            </w:r>
          </w:p>
        </w:tc>
        <w:tc>
          <w:tcPr>
            <w:tcW w:w="182" w:type="dxa"/>
            <w:tcBorders/>
            <w:shd w:fill="CCEEFF" w:val="clear"/>
            <w:vAlign w:val="bottom"/>
          </w:tcPr>
          <w:p>
            <w:pPr>
              <w:pStyle w:val="TableContents"/>
              <w:bidi w:val="0"/>
              <w:spacing w:before="0" w:after="283"/>
              <w:jc w:val="left"/>
              <w:rPr/>
            </w:pPr>
            <w:r>
              <w:rPr/>
              <w:t> </w:t>
            </w:r>
          </w:p>
        </w:tc>
        <w:tc>
          <w:tcPr>
            <w:tcW w:w="864"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7,878</w:t>
            </w:r>
          </w:p>
        </w:tc>
        <w:tc>
          <w:tcPr>
            <w:tcW w:w="14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right"/>
              <w:rPr/>
            </w:pPr>
            <w:r>
              <w:rPr/>
              <w:t> </w:t>
            </w:r>
          </w:p>
        </w:tc>
        <w:tc>
          <w:tcPr>
            <w:tcW w:w="190" w:type="dxa"/>
            <w:tcBorders/>
            <w:shd w:fill="CCEEFF" w:val="clear"/>
            <w:vAlign w:val="bottom"/>
          </w:tcPr>
          <w:p>
            <w:pPr>
              <w:pStyle w:val="TableContents"/>
              <w:bidi w:val="0"/>
              <w:spacing w:before="0" w:after="283"/>
              <w:jc w:val="left"/>
              <w:rPr/>
            </w:pPr>
            <w:r>
              <w:rPr/>
              <w:t> </w:t>
            </w:r>
          </w:p>
        </w:tc>
        <w:tc>
          <w:tcPr>
            <w:tcW w:w="990"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4,640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7" w:type="dxa"/>
            <w:tcBorders/>
            <w:shd w:fill="CCEEFF" w:val="clear"/>
            <w:vAlign w:val="bottom"/>
          </w:tcPr>
          <w:p>
            <w:pPr>
              <w:pStyle w:val="TableContents"/>
              <w:bidi w:val="0"/>
              <w:spacing w:before="0" w:after="283"/>
              <w:jc w:val="left"/>
              <w:rPr/>
            </w:pPr>
            <w:r>
              <w:rPr/>
              <w:t> </w:t>
            </w:r>
          </w:p>
        </w:tc>
        <w:tc>
          <w:tcPr>
            <w:tcW w:w="1025"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12,518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7" w:type="dxa"/>
            <w:tcBorders/>
            <w:shd w:fill="CCEEFF" w:val="clear"/>
            <w:vAlign w:val="bottom"/>
          </w:tcPr>
          <w:p>
            <w:pPr>
              <w:pStyle w:val="TableContents"/>
              <w:bidi w:val="0"/>
              <w:spacing w:before="0" w:after="283"/>
              <w:jc w:val="left"/>
              <w:rPr/>
            </w:pPr>
            <w:r>
              <w:rPr/>
              <w:t> </w:t>
            </w:r>
          </w:p>
        </w:tc>
        <w:tc>
          <w:tcPr>
            <w:tcW w:w="1025"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2,987</w:t>
            </w:r>
          </w:p>
        </w:tc>
        <w:tc>
          <w:tcPr>
            <w:tcW w:w="98" w:type="dxa"/>
            <w:tcBorders/>
            <w:shd w:fill="CCEEFF" w:val="clear"/>
            <w:vAlign w:val="bottom"/>
          </w:tcPr>
          <w:p>
            <w:pPr>
              <w:pStyle w:val="TableContents"/>
              <w:bidi w:val="0"/>
              <w:spacing w:before="0" w:after="283"/>
              <w:jc w:val="left"/>
              <w:rPr/>
            </w:pPr>
            <w:r>
              <w:rPr/>
              <w:t> </w:t>
            </w:r>
          </w:p>
        </w:tc>
      </w:tr>
      <w:tr>
        <w:trPr/>
        <w:tc>
          <w:tcPr>
            <w:tcW w:w="489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Expenses</w:t>
            </w:r>
          </w:p>
        </w:tc>
        <w:tc>
          <w:tcPr>
            <w:tcW w:w="60" w:type="dxa"/>
            <w:tcBorders/>
            <w:vAlign w:val="bottom"/>
          </w:tcPr>
          <w:p>
            <w:pPr>
              <w:pStyle w:val="TableContents"/>
              <w:bidi w:val="0"/>
              <w:spacing w:before="0" w:after="283"/>
              <w:jc w:val="right"/>
              <w:rPr/>
            </w:pPr>
            <w:r>
              <w:rPr/>
              <w:t> </w:t>
            </w:r>
          </w:p>
        </w:tc>
        <w:tc>
          <w:tcPr>
            <w:tcW w:w="182" w:type="dxa"/>
            <w:tcBorders/>
            <w:vAlign w:val="bottom"/>
          </w:tcPr>
          <w:p>
            <w:pPr>
              <w:pStyle w:val="TableContents"/>
              <w:bidi w:val="0"/>
              <w:spacing w:before="0" w:after="283"/>
              <w:jc w:val="left"/>
              <w:rPr/>
            </w:pPr>
            <w:r>
              <w:rPr/>
              <w:t> </w:t>
            </w:r>
          </w:p>
        </w:tc>
        <w:tc>
          <w:tcPr>
            <w:tcW w:w="864" w:type="dxa"/>
            <w:tcBorders/>
            <w:vAlign w:val="bottom"/>
          </w:tcPr>
          <w:p>
            <w:pPr>
              <w:pStyle w:val="TableContents"/>
              <w:bidi w:val="0"/>
              <w:spacing w:before="0" w:after="283"/>
              <w:jc w:val="right"/>
              <w:rPr/>
            </w:pPr>
            <w:r>
              <w:rPr/>
              <w:t> </w:t>
            </w:r>
          </w:p>
        </w:tc>
        <w:tc>
          <w:tcPr>
            <w:tcW w:w="14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right"/>
              <w:rPr/>
            </w:pPr>
            <w:r>
              <w:rPr/>
              <w:t> </w:t>
            </w:r>
          </w:p>
        </w:tc>
        <w:tc>
          <w:tcPr>
            <w:tcW w:w="190" w:type="dxa"/>
            <w:tcBorders/>
            <w:vAlign w:val="bottom"/>
          </w:tcPr>
          <w:p>
            <w:pPr>
              <w:pStyle w:val="TableContents"/>
              <w:bidi w:val="0"/>
              <w:spacing w:before="0" w:after="283"/>
              <w:jc w:val="left"/>
              <w:rPr/>
            </w:pPr>
            <w:r>
              <w:rPr/>
              <w:t> </w:t>
            </w:r>
          </w:p>
        </w:tc>
        <w:tc>
          <w:tcPr>
            <w:tcW w:w="990"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7" w:type="dxa"/>
            <w:tcBorders/>
            <w:vAlign w:val="bottom"/>
          </w:tcPr>
          <w:p>
            <w:pPr>
              <w:pStyle w:val="TableContents"/>
              <w:bidi w:val="0"/>
              <w:spacing w:before="0" w:after="283"/>
              <w:jc w:val="left"/>
              <w:rPr/>
            </w:pPr>
            <w:r>
              <w:rPr/>
              <w:t> </w:t>
            </w:r>
          </w:p>
        </w:tc>
        <w:tc>
          <w:tcPr>
            <w:tcW w:w="102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7" w:type="dxa"/>
            <w:tcBorders/>
            <w:vAlign w:val="bottom"/>
          </w:tcPr>
          <w:p>
            <w:pPr>
              <w:pStyle w:val="TableContents"/>
              <w:bidi w:val="0"/>
              <w:spacing w:before="0" w:after="283"/>
              <w:jc w:val="left"/>
              <w:rPr/>
            </w:pPr>
            <w:r>
              <w:rPr/>
              <w:t> </w:t>
            </w:r>
          </w:p>
        </w:tc>
        <w:tc>
          <w:tcPr>
            <w:tcW w:w="1025" w:type="dxa"/>
            <w:tcBorders/>
            <w:vAlign w:val="bottom"/>
          </w:tcPr>
          <w:p>
            <w:pPr>
              <w:pStyle w:val="TableContents"/>
              <w:bidi w:val="0"/>
              <w:spacing w:before="0" w:after="283"/>
              <w:jc w:val="right"/>
              <w:rPr/>
            </w:pPr>
            <w:r>
              <w:rPr/>
              <w:t> </w:t>
            </w:r>
          </w:p>
        </w:tc>
        <w:tc>
          <w:tcPr>
            <w:tcW w:w="98" w:type="dxa"/>
            <w:tcBorders/>
            <w:vAlign w:val="bottom"/>
          </w:tcPr>
          <w:p>
            <w:pPr>
              <w:pStyle w:val="TableContents"/>
              <w:bidi w:val="0"/>
              <w:spacing w:before="0" w:after="283"/>
              <w:jc w:val="left"/>
              <w:rPr/>
            </w:pPr>
            <w:r>
              <w:rPr/>
              <w:t> </w:t>
            </w:r>
          </w:p>
        </w:tc>
      </w:tr>
      <w:tr>
        <w:trPr/>
        <w:tc>
          <w:tcPr>
            <w:tcW w:w="4895" w:type="dxa"/>
            <w:tcBorders/>
            <w:shd w:fill="CCEEFF" w:val="clear"/>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General and administrative expense</w:t>
            </w:r>
          </w:p>
        </w:tc>
        <w:tc>
          <w:tcPr>
            <w:tcW w:w="60" w:type="dxa"/>
            <w:tcBorders/>
            <w:shd w:fill="CCEEFF" w:val="clear"/>
            <w:vAlign w:val="bottom"/>
          </w:tcPr>
          <w:p>
            <w:pPr>
              <w:pStyle w:val="TableContents"/>
              <w:bidi w:val="0"/>
              <w:spacing w:before="0" w:after="283"/>
              <w:jc w:val="right"/>
              <w:rPr/>
            </w:pPr>
            <w:r>
              <w:rPr/>
              <w:t> </w:t>
            </w:r>
          </w:p>
        </w:tc>
        <w:tc>
          <w:tcPr>
            <w:tcW w:w="182" w:type="dxa"/>
            <w:tcBorders/>
            <w:shd w:fill="CCEEFF" w:val="clear"/>
            <w:vAlign w:val="bottom"/>
          </w:tcPr>
          <w:p>
            <w:pPr>
              <w:pStyle w:val="TableContents"/>
              <w:bidi w:val="0"/>
              <w:spacing w:before="0" w:after="283"/>
              <w:jc w:val="left"/>
              <w:rPr/>
            </w:pPr>
            <w:r>
              <w:rPr/>
              <w:t> </w:t>
            </w:r>
          </w:p>
        </w:tc>
        <w:tc>
          <w:tcPr>
            <w:tcW w:w="864"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2,128</w:t>
            </w:r>
          </w:p>
        </w:tc>
        <w:tc>
          <w:tcPr>
            <w:tcW w:w="14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right"/>
              <w:rPr/>
            </w:pPr>
            <w:r>
              <w:rPr/>
              <w:t> </w:t>
            </w:r>
          </w:p>
        </w:tc>
        <w:tc>
          <w:tcPr>
            <w:tcW w:w="190" w:type="dxa"/>
            <w:tcBorders/>
            <w:shd w:fill="CCEEFF" w:val="clear"/>
            <w:vAlign w:val="bottom"/>
          </w:tcPr>
          <w:p>
            <w:pPr>
              <w:pStyle w:val="TableContents"/>
              <w:bidi w:val="0"/>
              <w:spacing w:before="0" w:after="283"/>
              <w:jc w:val="left"/>
              <w:rPr/>
            </w:pPr>
            <w:r>
              <w:rPr/>
              <w:t> </w:t>
            </w:r>
          </w:p>
        </w:tc>
        <w:tc>
          <w:tcPr>
            <w:tcW w:w="9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1,693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7" w:type="dxa"/>
            <w:tcBorders/>
            <w:shd w:fill="CCEEFF" w:val="clear"/>
            <w:vAlign w:val="bottom"/>
          </w:tcPr>
          <w:p>
            <w:pPr>
              <w:pStyle w:val="TableContents"/>
              <w:bidi w:val="0"/>
              <w:spacing w:before="0" w:after="283"/>
              <w:jc w:val="left"/>
              <w:rPr/>
            </w:pPr>
            <w:r>
              <w:rPr/>
              <w:t> </w:t>
            </w:r>
          </w:p>
        </w:tc>
        <w:tc>
          <w:tcPr>
            <w:tcW w:w="102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3,821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7" w:type="dxa"/>
            <w:tcBorders/>
            <w:shd w:fill="CCEEFF" w:val="clear"/>
            <w:vAlign w:val="bottom"/>
          </w:tcPr>
          <w:p>
            <w:pPr>
              <w:pStyle w:val="TableContents"/>
              <w:bidi w:val="0"/>
              <w:spacing w:before="0" w:after="283"/>
              <w:jc w:val="left"/>
              <w:rPr/>
            </w:pPr>
            <w:r>
              <w:rPr/>
              <w:t> </w:t>
            </w:r>
          </w:p>
        </w:tc>
        <w:tc>
          <w:tcPr>
            <w:tcW w:w="102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4,006</w:t>
            </w:r>
          </w:p>
        </w:tc>
        <w:tc>
          <w:tcPr>
            <w:tcW w:w="98" w:type="dxa"/>
            <w:tcBorders/>
            <w:shd w:fill="CCEEFF" w:val="clear"/>
            <w:vAlign w:val="bottom"/>
          </w:tcPr>
          <w:p>
            <w:pPr>
              <w:pStyle w:val="TableContents"/>
              <w:bidi w:val="0"/>
              <w:spacing w:before="0" w:after="283"/>
              <w:jc w:val="left"/>
              <w:rPr/>
            </w:pPr>
            <w:r>
              <w:rPr/>
              <w:t> </w:t>
            </w:r>
          </w:p>
        </w:tc>
      </w:tr>
      <w:tr>
        <w:trPr/>
        <w:tc>
          <w:tcPr>
            <w:tcW w:w="4895" w:type="dxa"/>
            <w:tcBorders/>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Compensation and benefits</w:t>
            </w:r>
          </w:p>
        </w:tc>
        <w:tc>
          <w:tcPr>
            <w:tcW w:w="60" w:type="dxa"/>
            <w:tcBorders/>
            <w:vAlign w:val="bottom"/>
          </w:tcPr>
          <w:p>
            <w:pPr>
              <w:pStyle w:val="TableContents"/>
              <w:bidi w:val="0"/>
              <w:spacing w:before="0" w:after="283"/>
              <w:jc w:val="right"/>
              <w:rPr/>
            </w:pPr>
            <w:r>
              <w:rPr/>
              <w:t> </w:t>
            </w:r>
          </w:p>
        </w:tc>
        <w:tc>
          <w:tcPr>
            <w:tcW w:w="182" w:type="dxa"/>
            <w:tcBorders>
              <w:bottom w:val="single" w:sz="12" w:space="0" w:color="000000"/>
            </w:tcBorders>
            <w:tcMar>
              <w:bottom w:w="28" w:type="dxa"/>
            </w:tcMar>
            <w:vAlign w:val="bottom"/>
          </w:tcPr>
          <w:p>
            <w:pPr>
              <w:pStyle w:val="TableContents"/>
              <w:bidi w:val="0"/>
              <w:spacing w:before="0" w:after="283"/>
              <w:jc w:val="left"/>
              <w:rPr/>
            </w:pPr>
            <w:r>
              <w:rPr/>
              <w:t> </w:t>
            </w:r>
          </w:p>
        </w:tc>
        <w:tc>
          <w:tcPr>
            <w:tcW w:w="864"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1,889</w:t>
            </w:r>
          </w:p>
        </w:tc>
        <w:tc>
          <w:tcPr>
            <w:tcW w:w="14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right"/>
              <w:rPr/>
            </w:pPr>
            <w:r>
              <w:rPr/>
              <w:t> </w:t>
            </w:r>
          </w:p>
        </w:tc>
        <w:tc>
          <w:tcPr>
            <w:tcW w:w="190" w:type="dxa"/>
            <w:tcBorders>
              <w:bottom w:val="single" w:sz="12" w:space="0" w:color="000000"/>
            </w:tcBorders>
            <w:tcMar>
              <w:bottom w:w="28" w:type="dxa"/>
            </w:tcMar>
            <w:vAlign w:val="bottom"/>
          </w:tcPr>
          <w:p>
            <w:pPr>
              <w:pStyle w:val="TableContents"/>
              <w:bidi w:val="0"/>
              <w:spacing w:before="0" w:after="283"/>
              <w:jc w:val="left"/>
              <w:rPr/>
            </w:pPr>
            <w:r>
              <w:rPr/>
              <w:t> </w:t>
            </w:r>
          </w:p>
        </w:tc>
        <w:tc>
          <w:tcPr>
            <w:tcW w:w="99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1,579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7" w:type="dxa"/>
            <w:tcBorders>
              <w:bottom w:val="single" w:sz="12" w:space="0" w:color="000000"/>
            </w:tcBorders>
            <w:tcMar>
              <w:bottom w:w="28" w:type="dxa"/>
            </w:tcMar>
            <w:vAlign w:val="bottom"/>
          </w:tcPr>
          <w:p>
            <w:pPr>
              <w:pStyle w:val="TableContents"/>
              <w:bidi w:val="0"/>
              <w:spacing w:before="0" w:after="283"/>
              <w:jc w:val="left"/>
              <w:rPr/>
            </w:pPr>
            <w:r>
              <w:rPr/>
              <w:t> </w:t>
            </w:r>
          </w:p>
        </w:tc>
        <w:tc>
          <w:tcPr>
            <w:tcW w:w="102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3,468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7" w:type="dxa"/>
            <w:tcBorders>
              <w:bottom w:val="single" w:sz="12" w:space="0" w:color="000000"/>
            </w:tcBorders>
            <w:tcMar>
              <w:bottom w:w="28" w:type="dxa"/>
            </w:tcMar>
            <w:vAlign w:val="bottom"/>
          </w:tcPr>
          <w:p>
            <w:pPr>
              <w:pStyle w:val="TableContents"/>
              <w:bidi w:val="0"/>
              <w:spacing w:before="0" w:after="283"/>
              <w:jc w:val="left"/>
              <w:rPr/>
            </w:pPr>
            <w:r>
              <w:rPr/>
              <w:t> </w:t>
            </w:r>
          </w:p>
        </w:tc>
        <w:tc>
          <w:tcPr>
            <w:tcW w:w="102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3,118</w:t>
            </w:r>
          </w:p>
        </w:tc>
        <w:tc>
          <w:tcPr>
            <w:tcW w:w="98" w:type="dxa"/>
            <w:tcBorders/>
            <w:vAlign w:val="bottom"/>
          </w:tcPr>
          <w:p>
            <w:pPr>
              <w:pStyle w:val="TableContents"/>
              <w:bidi w:val="0"/>
              <w:spacing w:before="0" w:after="283"/>
              <w:jc w:val="left"/>
              <w:rPr/>
            </w:pPr>
            <w:r>
              <w:rPr/>
              <w:t> </w:t>
            </w:r>
          </w:p>
        </w:tc>
      </w:tr>
      <w:tr>
        <w:trPr/>
        <w:tc>
          <w:tcPr>
            <w:tcW w:w="4895" w:type="dxa"/>
            <w:tcBorders/>
            <w:shd w:fill="CCEEFF" w:val="clear"/>
            <w:vAlign w:val="bottom"/>
          </w:tcPr>
          <w:p>
            <w:pPr>
              <w:pStyle w:val="TableContents"/>
              <w:bidi w:val="0"/>
              <w:spacing w:before="0" w:after="0"/>
              <w:ind w:left="180" w:right="0" w:hanging="0"/>
              <w:jc w:val="left"/>
              <w:rPr>
                <w:rFonts w:ascii="Times New Roman" w:hAnsi="Times New Roman"/>
                <w:b/>
                <w:sz w:val="20"/>
              </w:rPr>
            </w:pPr>
            <w:r>
              <w:rPr>
                <w:rFonts w:ascii="Times New Roman" w:hAnsi="Times New Roman"/>
                <w:b/>
                <w:sz w:val="20"/>
              </w:rPr>
              <w:t>Total Expenses</w:t>
            </w:r>
          </w:p>
        </w:tc>
        <w:tc>
          <w:tcPr>
            <w:tcW w:w="60" w:type="dxa"/>
            <w:tcBorders/>
            <w:shd w:fill="CCEEFF" w:val="clear"/>
            <w:vAlign w:val="bottom"/>
          </w:tcPr>
          <w:p>
            <w:pPr>
              <w:pStyle w:val="TableContents"/>
              <w:bidi w:val="0"/>
              <w:spacing w:before="0" w:after="283"/>
              <w:jc w:val="right"/>
              <w:rPr/>
            </w:pPr>
            <w:r>
              <w:rPr/>
              <w:t> </w:t>
            </w:r>
          </w:p>
        </w:tc>
        <w:tc>
          <w:tcPr>
            <w:tcW w:w="18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64"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4,017</w:t>
            </w:r>
          </w:p>
        </w:tc>
        <w:tc>
          <w:tcPr>
            <w:tcW w:w="14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right"/>
              <w:rPr/>
            </w:pPr>
            <w:r>
              <w:rPr/>
              <w:t> </w:t>
            </w:r>
          </w:p>
        </w:tc>
        <w:tc>
          <w:tcPr>
            <w:tcW w:w="19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9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3,272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2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7,289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7" w:type="dxa"/>
            <w:tcBorders/>
            <w:shd w:fill="CCEEFF" w:val="clear"/>
            <w:vAlign w:val="bottom"/>
          </w:tcPr>
          <w:p>
            <w:pPr>
              <w:pStyle w:val="TableContents"/>
              <w:bidi w:val="0"/>
              <w:spacing w:before="0" w:after="283"/>
              <w:jc w:val="left"/>
              <w:rPr/>
            </w:pPr>
            <w:r>
              <w:rPr/>
              <w:t> </w:t>
            </w:r>
          </w:p>
        </w:tc>
        <w:tc>
          <w:tcPr>
            <w:tcW w:w="1025"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7,124</w:t>
            </w:r>
          </w:p>
        </w:tc>
        <w:tc>
          <w:tcPr>
            <w:tcW w:w="98" w:type="dxa"/>
            <w:tcBorders/>
            <w:shd w:fill="CCEEFF" w:val="clear"/>
            <w:vAlign w:val="bottom"/>
          </w:tcPr>
          <w:p>
            <w:pPr>
              <w:pStyle w:val="TableContents"/>
              <w:bidi w:val="0"/>
              <w:spacing w:before="0" w:after="283"/>
              <w:jc w:val="left"/>
              <w:rPr/>
            </w:pPr>
            <w:r>
              <w:rPr/>
              <w:t> </w:t>
            </w:r>
          </w:p>
        </w:tc>
      </w:tr>
      <w:tr>
        <w:trPr/>
        <w:tc>
          <w:tcPr>
            <w:tcW w:w="489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Income (Loss) Before Income Taxes</w:t>
            </w:r>
          </w:p>
        </w:tc>
        <w:tc>
          <w:tcPr>
            <w:tcW w:w="60" w:type="dxa"/>
            <w:tcBorders/>
            <w:vAlign w:val="bottom"/>
          </w:tcPr>
          <w:p>
            <w:pPr>
              <w:pStyle w:val="TableContents"/>
              <w:bidi w:val="0"/>
              <w:spacing w:before="0" w:after="283"/>
              <w:jc w:val="right"/>
              <w:rPr/>
            </w:pPr>
            <w:r>
              <w:rPr/>
              <w:t> </w:t>
            </w:r>
          </w:p>
        </w:tc>
        <w:tc>
          <w:tcPr>
            <w:tcW w:w="182" w:type="dxa"/>
            <w:tcBorders/>
            <w:vAlign w:val="bottom"/>
          </w:tcPr>
          <w:p>
            <w:pPr>
              <w:pStyle w:val="TableContents"/>
              <w:bidi w:val="0"/>
              <w:spacing w:before="0" w:after="283"/>
              <w:jc w:val="left"/>
              <w:rPr/>
            </w:pPr>
            <w:r>
              <w:rPr/>
              <w:t> </w:t>
            </w:r>
          </w:p>
        </w:tc>
        <w:tc>
          <w:tcPr>
            <w:tcW w:w="864"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3,861</w:t>
            </w:r>
          </w:p>
        </w:tc>
        <w:tc>
          <w:tcPr>
            <w:tcW w:w="14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right"/>
              <w:rPr/>
            </w:pPr>
            <w:r>
              <w:rPr/>
              <w:t> </w:t>
            </w:r>
          </w:p>
        </w:tc>
        <w:tc>
          <w:tcPr>
            <w:tcW w:w="190" w:type="dxa"/>
            <w:tcBorders/>
            <w:vAlign w:val="bottom"/>
          </w:tcPr>
          <w:p>
            <w:pPr>
              <w:pStyle w:val="TableContents"/>
              <w:bidi w:val="0"/>
              <w:spacing w:before="0" w:after="283"/>
              <w:jc w:val="left"/>
              <w:rPr/>
            </w:pPr>
            <w:r>
              <w:rPr/>
              <w:t> </w:t>
            </w:r>
          </w:p>
        </w:tc>
        <w:tc>
          <w:tcPr>
            <w:tcW w:w="990"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1,368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7" w:type="dxa"/>
            <w:tcBorders/>
            <w:vAlign w:val="bottom"/>
          </w:tcPr>
          <w:p>
            <w:pPr>
              <w:pStyle w:val="TableContents"/>
              <w:bidi w:val="0"/>
              <w:spacing w:before="0" w:after="283"/>
              <w:jc w:val="left"/>
              <w:rPr/>
            </w:pPr>
            <w:r>
              <w:rPr/>
              <w:t> </w:t>
            </w:r>
          </w:p>
        </w:tc>
        <w:tc>
          <w:tcPr>
            <w:tcW w:w="1025"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5,229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7" w:type="dxa"/>
            <w:tcBorders/>
            <w:vAlign w:val="bottom"/>
          </w:tcPr>
          <w:p>
            <w:pPr>
              <w:pStyle w:val="TableContents"/>
              <w:bidi w:val="0"/>
              <w:spacing w:before="0" w:after="283"/>
              <w:jc w:val="left"/>
              <w:rPr/>
            </w:pPr>
            <w:r>
              <w:rPr/>
              <w:t> </w:t>
            </w:r>
          </w:p>
        </w:tc>
        <w:tc>
          <w:tcPr>
            <w:tcW w:w="1025"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(4,137</w:t>
            </w:r>
          </w:p>
        </w:tc>
        <w:tc>
          <w:tcPr>
            <w:tcW w:w="98"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r>
      <w:tr>
        <w:trPr/>
        <w:tc>
          <w:tcPr>
            <w:tcW w:w="4895" w:type="dxa"/>
            <w:tcBorders/>
            <w:shd w:fill="CCEEFF" w:val="clear"/>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Provision for corporate business taxes</w:t>
            </w:r>
          </w:p>
        </w:tc>
        <w:tc>
          <w:tcPr>
            <w:tcW w:w="60" w:type="dxa"/>
            <w:tcBorders/>
            <w:shd w:fill="CCEEFF" w:val="clear"/>
            <w:vAlign w:val="bottom"/>
          </w:tcPr>
          <w:p>
            <w:pPr>
              <w:pStyle w:val="TableContents"/>
              <w:bidi w:val="0"/>
              <w:spacing w:before="0" w:after="283"/>
              <w:jc w:val="right"/>
              <w:rPr/>
            </w:pPr>
            <w:r>
              <w:rPr/>
              <w:t> </w:t>
            </w:r>
          </w:p>
        </w:tc>
        <w:tc>
          <w:tcPr>
            <w:tcW w:w="18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64"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67</w:t>
            </w:r>
          </w:p>
        </w:tc>
        <w:tc>
          <w:tcPr>
            <w:tcW w:w="14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right"/>
              <w:rPr/>
            </w:pPr>
            <w:r>
              <w:rPr/>
              <w:t> </w:t>
            </w:r>
          </w:p>
        </w:tc>
        <w:tc>
          <w:tcPr>
            <w:tcW w:w="19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9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939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2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1,006</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2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1,294</w:t>
            </w:r>
          </w:p>
        </w:tc>
        <w:tc>
          <w:tcPr>
            <w:tcW w:w="98" w:type="dxa"/>
            <w:tcBorders/>
            <w:shd w:fill="CCEEFF" w:val="clear"/>
            <w:vAlign w:val="bottom"/>
          </w:tcPr>
          <w:p>
            <w:pPr>
              <w:pStyle w:val="TableContents"/>
              <w:bidi w:val="0"/>
              <w:spacing w:before="0" w:after="283"/>
              <w:jc w:val="left"/>
              <w:rPr/>
            </w:pPr>
            <w:r>
              <w:rPr/>
              <w:t> </w:t>
            </w:r>
          </w:p>
        </w:tc>
      </w:tr>
      <w:tr>
        <w:trPr/>
        <w:tc>
          <w:tcPr>
            <w:tcW w:w="489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Net Income (Loss)</w:t>
            </w:r>
          </w:p>
        </w:tc>
        <w:tc>
          <w:tcPr>
            <w:tcW w:w="60" w:type="dxa"/>
            <w:tcBorders/>
            <w:vAlign w:val="bottom"/>
          </w:tcPr>
          <w:p>
            <w:pPr>
              <w:pStyle w:val="TableContents"/>
              <w:bidi w:val="0"/>
              <w:spacing w:before="0" w:after="283"/>
              <w:jc w:val="right"/>
              <w:rPr/>
            </w:pPr>
            <w:r>
              <w:rPr/>
              <w:t> </w:t>
            </w:r>
          </w:p>
        </w:tc>
        <w:tc>
          <w:tcPr>
            <w:tcW w:w="182" w:type="dxa"/>
            <w:tcBorders/>
            <w:vAlign w:val="bottom"/>
          </w:tcPr>
          <w:p>
            <w:pPr>
              <w:pStyle w:val="TableContents"/>
              <w:bidi w:val="0"/>
              <w:spacing w:before="0" w:after="283"/>
              <w:jc w:val="left"/>
              <w:rPr/>
            </w:pPr>
            <w:r>
              <w:rPr/>
              <w:t> </w:t>
            </w:r>
          </w:p>
        </w:tc>
        <w:tc>
          <w:tcPr>
            <w:tcW w:w="864"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3,794</w:t>
            </w:r>
          </w:p>
        </w:tc>
        <w:tc>
          <w:tcPr>
            <w:tcW w:w="14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right"/>
              <w:rPr/>
            </w:pPr>
            <w:r>
              <w:rPr/>
              <w:t> </w:t>
            </w:r>
          </w:p>
        </w:tc>
        <w:tc>
          <w:tcPr>
            <w:tcW w:w="190" w:type="dxa"/>
            <w:tcBorders/>
            <w:vAlign w:val="bottom"/>
          </w:tcPr>
          <w:p>
            <w:pPr>
              <w:pStyle w:val="TableContents"/>
              <w:bidi w:val="0"/>
              <w:spacing w:before="0" w:after="283"/>
              <w:jc w:val="left"/>
              <w:rPr/>
            </w:pPr>
            <w:r>
              <w:rPr/>
              <w:t> </w:t>
            </w:r>
          </w:p>
        </w:tc>
        <w:tc>
          <w:tcPr>
            <w:tcW w:w="990"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429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7" w:type="dxa"/>
            <w:tcBorders/>
            <w:vAlign w:val="bottom"/>
          </w:tcPr>
          <w:p>
            <w:pPr>
              <w:pStyle w:val="TableContents"/>
              <w:bidi w:val="0"/>
              <w:spacing w:before="0" w:after="283"/>
              <w:jc w:val="left"/>
              <w:rPr/>
            </w:pPr>
            <w:r>
              <w:rPr/>
              <w:t> </w:t>
            </w:r>
          </w:p>
        </w:tc>
        <w:tc>
          <w:tcPr>
            <w:tcW w:w="1025"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4,223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7" w:type="dxa"/>
            <w:tcBorders/>
            <w:vAlign w:val="bottom"/>
          </w:tcPr>
          <w:p>
            <w:pPr>
              <w:pStyle w:val="TableContents"/>
              <w:bidi w:val="0"/>
              <w:spacing w:before="0" w:after="283"/>
              <w:jc w:val="left"/>
              <w:rPr/>
            </w:pPr>
            <w:r>
              <w:rPr/>
              <w:t> </w:t>
            </w:r>
          </w:p>
        </w:tc>
        <w:tc>
          <w:tcPr>
            <w:tcW w:w="1025"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(5,431</w:t>
            </w:r>
          </w:p>
        </w:tc>
        <w:tc>
          <w:tcPr>
            <w:tcW w:w="98"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r>
      <w:tr>
        <w:trPr/>
        <w:tc>
          <w:tcPr>
            <w:tcW w:w="4895" w:type="dxa"/>
            <w:tcBorders/>
            <w:shd w:fill="CCEEFF" w:val="clear"/>
            <w:vAlign w:val="bottom"/>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Net loss (income) allocated to noncontrolling interests in Operating Partnership</w:t>
            </w:r>
          </w:p>
        </w:tc>
        <w:tc>
          <w:tcPr>
            <w:tcW w:w="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864" w:type="dxa"/>
            <w:tcBorders/>
            <w:shd w:fill="CCEEFF" w:val="clear"/>
            <w:vAlign w:val="bottom"/>
          </w:tcPr>
          <w:p>
            <w:pPr>
              <w:pStyle w:val="TableContents"/>
              <w:bidi w:val="0"/>
              <w:spacing w:before="0" w:after="283"/>
              <w:jc w:val="right"/>
              <w:rPr/>
            </w:pPr>
            <w:r>
              <w:rPr/>
              <w:t>(55</w:t>
            </w:r>
          </w:p>
        </w:tc>
        <w:tc>
          <w:tcPr>
            <w:tcW w:w="141" w:type="dxa"/>
            <w:tcBorders/>
            <w:shd w:fill="CCEEFF" w:val="clear"/>
            <w:vAlign w:val="bottom"/>
          </w:tcPr>
          <w:p>
            <w:pPr>
              <w:pStyle w:val="TableContents"/>
              <w:bidi w:val="0"/>
              <w:spacing w:before="0" w:after="283"/>
              <w:jc w:val="left"/>
              <w:rPr/>
            </w:pPr>
            <w:r>
              <w:rPr/>
              <w:t xml:space="preserve">) </w:t>
            </w:r>
          </w:p>
        </w:tc>
        <w:tc>
          <w:tcPr>
            <w:tcW w:w="61" w:type="dxa"/>
            <w:tcBorders/>
            <w:shd w:fill="CCEEFF" w:val="clear"/>
            <w:vAlign w:val="bottom"/>
          </w:tcPr>
          <w:p>
            <w:pPr>
              <w:pStyle w:val="TableContents"/>
              <w:bidi w:val="0"/>
              <w:spacing w:before="0" w:after="283"/>
              <w:jc w:val="right"/>
              <w:rPr/>
            </w:pPr>
            <w:r>
              <w:rPr/>
              <w:t> </w:t>
            </w:r>
          </w:p>
        </w:tc>
        <w:tc>
          <w:tcPr>
            <w:tcW w:w="190" w:type="dxa"/>
            <w:tcBorders/>
            <w:shd w:fill="CCEEFF" w:val="clear"/>
            <w:vAlign w:val="bottom"/>
          </w:tcPr>
          <w:p>
            <w:pPr>
              <w:pStyle w:val="TableContents"/>
              <w:bidi w:val="0"/>
              <w:spacing w:before="0" w:after="283"/>
              <w:jc w:val="left"/>
              <w:rPr/>
            </w:pPr>
            <w:r>
              <w:rPr/>
              <w:t> </w:t>
            </w:r>
          </w:p>
        </w:tc>
        <w:tc>
          <w:tcPr>
            <w:tcW w:w="9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97" w:type="dxa"/>
            <w:tcBorders/>
            <w:shd w:fill="CCEEFF" w:val="clear"/>
            <w:vAlign w:val="bottom"/>
          </w:tcPr>
          <w:p>
            <w:pPr>
              <w:pStyle w:val="TableContents"/>
              <w:bidi w:val="0"/>
              <w:spacing w:before="0" w:after="283"/>
              <w:jc w:val="left"/>
              <w:rPr/>
            </w:pPr>
            <w:r>
              <w:rPr/>
              <w:t> </w:t>
            </w:r>
          </w:p>
        </w:tc>
        <w:tc>
          <w:tcPr>
            <w:tcW w:w="102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(61</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97" w:type="dxa"/>
            <w:tcBorders/>
            <w:shd w:fill="CCEEFF" w:val="clear"/>
            <w:vAlign w:val="bottom"/>
          </w:tcPr>
          <w:p>
            <w:pPr>
              <w:pStyle w:val="TableContents"/>
              <w:bidi w:val="0"/>
              <w:spacing w:before="0" w:after="283"/>
              <w:jc w:val="left"/>
              <w:rPr/>
            </w:pPr>
            <w:r>
              <w:rPr/>
              <w:t> </w:t>
            </w:r>
          </w:p>
        </w:tc>
        <w:tc>
          <w:tcPr>
            <w:tcW w:w="102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99</w:t>
            </w:r>
          </w:p>
        </w:tc>
        <w:tc>
          <w:tcPr>
            <w:tcW w:w="98" w:type="dxa"/>
            <w:tcBorders/>
            <w:shd w:fill="CCEEFF" w:val="clear"/>
            <w:vAlign w:val="bottom"/>
          </w:tcPr>
          <w:p>
            <w:pPr>
              <w:pStyle w:val="TableContents"/>
              <w:bidi w:val="0"/>
              <w:spacing w:before="0" w:after="283"/>
              <w:jc w:val="left"/>
              <w:rPr/>
            </w:pPr>
            <w:r>
              <w:rPr/>
              <w:t> </w:t>
            </w:r>
          </w:p>
        </w:tc>
      </w:tr>
      <w:tr>
        <w:trPr/>
        <w:tc>
          <w:tcPr>
            <w:tcW w:w="4895" w:type="dxa"/>
            <w:tcBorders/>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Dividends on preferred stock</w:t>
            </w:r>
          </w:p>
        </w:tc>
        <w:tc>
          <w:tcPr>
            <w:tcW w:w="60" w:type="dxa"/>
            <w:tcBorders/>
            <w:vAlign w:val="bottom"/>
          </w:tcPr>
          <w:p>
            <w:pPr>
              <w:pStyle w:val="TableContents"/>
              <w:bidi w:val="0"/>
              <w:spacing w:before="0" w:after="283"/>
              <w:jc w:val="right"/>
              <w:rPr/>
            </w:pPr>
            <w:r>
              <w:rPr/>
              <w:t> </w:t>
            </w:r>
          </w:p>
        </w:tc>
        <w:tc>
          <w:tcPr>
            <w:tcW w:w="182" w:type="dxa"/>
            <w:tcBorders>
              <w:bottom w:val="single" w:sz="12" w:space="0" w:color="000000"/>
            </w:tcBorders>
            <w:tcMar>
              <w:bottom w:w="28" w:type="dxa"/>
            </w:tcMar>
            <w:vAlign w:val="bottom"/>
          </w:tcPr>
          <w:p>
            <w:pPr>
              <w:pStyle w:val="TableContents"/>
              <w:bidi w:val="0"/>
              <w:spacing w:before="0" w:after="283"/>
              <w:jc w:val="left"/>
              <w:rPr/>
            </w:pPr>
            <w:r>
              <w:rPr/>
              <w:t> </w:t>
            </w:r>
          </w:p>
        </w:tc>
        <w:tc>
          <w:tcPr>
            <w:tcW w:w="864"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(2,403</w:t>
            </w:r>
          </w:p>
        </w:tc>
        <w:tc>
          <w:tcPr>
            <w:tcW w:w="14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1" w:type="dxa"/>
            <w:tcBorders/>
            <w:vAlign w:val="bottom"/>
          </w:tcPr>
          <w:p>
            <w:pPr>
              <w:pStyle w:val="TableContents"/>
              <w:bidi w:val="0"/>
              <w:spacing w:before="0" w:after="283"/>
              <w:jc w:val="right"/>
              <w:rPr/>
            </w:pPr>
            <w:r>
              <w:rPr/>
              <w:t> </w:t>
            </w:r>
          </w:p>
        </w:tc>
        <w:tc>
          <w:tcPr>
            <w:tcW w:w="190" w:type="dxa"/>
            <w:tcBorders>
              <w:bottom w:val="single" w:sz="12" w:space="0" w:color="000000"/>
            </w:tcBorders>
            <w:tcMar>
              <w:bottom w:w="28" w:type="dxa"/>
            </w:tcMar>
            <w:vAlign w:val="bottom"/>
          </w:tcPr>
          <w:p>
            <w:pPr>
              <w:pStyle w:val="TableContents"/>
              <w:bidi w:val="0"/>
              <w:spacing w:before="0" w:after="283"/>
              <w:jc w:val="left"/>
              <w:rPr/>
            </w:pPr>
            <w:r>
              <w:rPr/>
              <w:t> </w:t>
            </w:r>
          </w:p>
        </w:tc>
        <w:tc>
          <w:tcPr>
            <w:tcW w:w="99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(2,391</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97" w:type="dxa"/>
            <w:tcBorders>
              <w:bottom w:val="single" w:sz="12" w:space="0" w:color="000000"/>
            </w:tcBorders>
            <w:tcMar>
              <w:bottom w:w="28" w:type="dxa"/>
            </w:tcMar>
            <w:vAlign w:val="bottom"/>
          </w:tcPr>
          <w:p>
            <w:pPr>
              <w:pStyle w:val="TableContents"/>
              <w:bidi w:val="0"/>
              <w:spacing w:before="0" w:after="283"/>
              <w:jc w:val="left"/>
              <w:rPr/>
            </w:pPr>
            <w:r>
              <w:rPr/>
              <w:t> </w:t>
            </w:r>
          </w:p>
        </w:tc>
        <w:tc>
          <w:tcPr>
            <w:tcW w:w="102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(4,794</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97" w:type="dxa"/>
            <w:tcBorders>
              <w:bottom w:val="single" w:sz="12" w:space="0" w:color="000000"/>
            </w:tcBorders>
            <w:tcMar>
              <w:bottom w:w="28" w:type="dxa"/>
            </w:tcMar>
            <w:vAlign w:val="bottom"/>
          </w:tcPr>
          <w:p>
            <w:pPr>
              <w:pStyle w:val="TableContents"/>
              <w:bidi w:val="0"/>
              <w:spacing w:before="0" w:after="283"/>
              <w:jc w:val="left"/>
              <w:rPr/>
            </w:pPr>
            <w:r>
              <w:rPr/>
              <w:t> </w:t>
            </w:r>
          </w:p>
        </w:tc>
        <w:tc>
          <w:tcPr>
            <w:tcW w:w="102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(4,916</w:t>
            </w:r>
          </w:p>
        </w:tc>
        <w:tc>
          <w:tcPr>
            <w:tcW w:w="9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489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Net Income (Loss) Applicable to Common Stockholders</w:t>
            </w:r>
          </w:p>
        </w:tc>
        <w:tc>
          <w:tcPr>
            <w:tcW w:w="60" w:type="dxa"/>
            <w:tcBorders/>
            <w:shd w:fill="CCEEFF" w:val="clear"/>
            <w:vAlign w:val="bottom"/>
          </w:tcPr>
          <w:p>
            <w:pPr>
              <w:pStyle w:val="TableContents"/>
              <w:bidi w:val="0"/>
              <w:spacing w:before="0" w:after="283"/>
              <w:jc w:val="right"/>
              <w:rPr/>
            </w:pPr>
            <w:r>
              <w:rPr/>
              <w:t> </w:t>
            </w:r>
          </w:p>
        </w:tc>
        <w:tc>
          <w:tcPr>
            <w:tcW w:w="182"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864"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1,336</w:t>
            </w:r>
          </w:p>
        </w:tc>
        <w:tc>
          <w:tcPr>
            <w:tcW w:w="141"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right"/>
              <w:rPr/>
            </w:pPr>
            <w:r>
              <w:rPr/>
              <w:t> </w:t>
            </w:r>
          </w:p>
        </w:tc>
        <w:tc>
          <w:tcPr>
            <w:tcW w:w="19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990"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(1,968</w:t>
            </w:r>
          </w:p>
        </w:tc>
        <w:tc>
          <w:tcPr>
            <w:tcW w:w="8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shd w:fill="CCEEFF" w:val="clear"/>
            <w:vAlign w:val="bottom"/>
          </w:tcPr>
          <w:p>
            <w:pPr>
              <w:pStyle w:val="TableContents"/>
              <w:bidi w:val="0"/>
              <w:spacing w:before="0" w:after="283"/>
              <w:jc w:val="right"/>
              <w:rPr/>
            </w:pPr>
            <w:r>
              <w:rPr/>
              <w:t> </w:t>
            </w:r>
          </w:p>
        </w:tc>
        <w:tc>
          <w:tcPr>
            <w:tcW w:w="197"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1025"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(632</w:t>
            </w:r>
          </w:p>
        </w:tc>
        <w:tc>
          <w:tcPr>
            <w:tcW w:w="8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shd w:fill="CCEEFF" w:val="clear"/>
            <w:vAlign w:val="bottom"/>
          </w:tcPr>
          <w:p>
            <w:pPr>
              <w:pStyle w:val="TableContents"/>
              <w:bidi w:val="0"/>
              <w:spacing w:before="0" w:after="283"/>
              <w:jc w:val="right"/>
              <w:rPr/>
            </w:pPr>
            <w:r>
              <w:rPr/>
              <w:t> </w:t>
            </w:r>
          </w:p>
        </w:tc>
        <w:tc>
          <w:tcPr>
            <w:tcW w:w="197"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1025"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(10,248</w:t>
            </w:r>
          </w:p>
        </w:tc>
        <w:tc>
          <w:tcPr>
            <w:tcW w:w="98"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56</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Presented below is summary financial data on our segments together with the data for the Company as a whole, for the periods indicated (dollars in thousands):</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Segment Summary Data</w:t>
      </w:r>
    </w:p>
    <w:p>
      <w:pPr>
        <w:pStyle w:val="TextBody"/>
        <w:bidi w:val="0"/>
        <w:spacing w:before="0" w:after="0"/>
        <w:jc w:val="left"/>
        <w:rPr/>
      </w:pPr>
      <w:r>
        <w:rPr/>
      </w:r>
    </w:p>
    <w:tbl>
      <w:tblPr>
        <w:tblW w:w="8049" w:type="dxa"/>
        <w:jc w:val="left"/>
        <w:tblInd w:w="0" w:type="dxa"/>
        <w:tblLayout w:type="fixed"/>
        <w:tblCellMar>
          <w:top w:w="0" w:type="dxa"/>
          <w:left w:w="0" w:type="dxa"/>
          <w:bottom w:w="0" w:type="dxa"/>
          <w:right w:w="0" w:type="dxa"/>
        </w:tblCellMar>
      </w:tblPr>
      <w:tblGrid>
        <w:gridCol w:w="3170"/>
        <w:gridCol w:w="60"/>
        <w:gridCol w:w="385"/>
        <w:gridCol w:w="1690"/>
        <w:gridCol w:w="80"/>
        <w:gridCol w:w="60"/>
        <w:gridCol w:w="125"/>
        <w:gridCol w:w="590"/>
        <w:gridCol w:w="80"/>
        <w:gridCol w:w="60"/>
        <w:gridCol w:w="152"/>
        <w:gridCol w:w="662"/>
        <w:gridCol w:w="80"/>
        <w:gridCol w:w="60"/>
        <w:gridCol w:w="125"/>
        <w:gridCol w:w="590"/>
        <w:gridCol w:w="80"/>
      </w:tblGrid>
      <w:tr>
        <w:trPr/>
        <w:tc>
          <w:tcPr>
            <w:tcW w:w="3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7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Servicing Related Assets</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RMBS</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All Other</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Total</w:t>
            </w:r>
          </w:p>
        </w:tc>
        <w:tc>
          <w:tcPr>
            <w:tcW w:w="80" w:type="dxa"/>
            <w:tcBorders/>
            <w:vAlign w:val="bottom"/>
          </w:tcPr>
          <w:p>
            <w:pPr>
              <w:pStyle w:val="TableContents"/>
              <w:bidi w:val="0"/>
              <w:spacing w:before="0" w:after="283"/>
              <w:jc w:val="left"/>
              <w:rPr/>
            </w:pPr>
            <w:r>
              <w:rPr/>
              <w:t> </w:t>
            </w:r>
          </w:p>
        </w:tc>
      </w:tr>
      <w:tr>
        <w:trPr/>
        <w:tc>
          <w:tcPr>
            <w:tcW w:w="3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75"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4"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r>
      <w:tr>
        <w:trPr/>
        <w:tc>
          <w:tcPr>
            <w:tcW w:w="3170" w:type="dxa"/>
            <w:tcBorders/>
            <w:shd w:fill="CCEEFF" w:val="cle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Income Statement</w:t>
            </w:r>
          </w:p>
        </w:tc>
        <w:tc>
          <w:tcPr>
            <w:tcW w:w="60" w:type="dxa"/>
            <w:tcBorders/>
            <w:shd w:fill="CCEEFF" w:val="clear"/>
            <w:vAlign w:val="bottom"/>
          </w:tcPr>
          <w:p>
            <w:pPr>
              <w:pStyle w:val="TableContents"/>
              <w:bidi w:val="0"/>
              <w:spacing w:before="0" w:after="283"/>
              <w:jc w:val="left"/>
              <w:rPr/>
            </w:pPr>
            <w:r>
              <w:rPr/>
              <w:t> </w:t>
            </w:r>
          </w:p>
        </w:tc>
        <w:tc>
          <w:tcPr>
            <w:tcW w:w="2075" w:type="dxa"/>
            <w:gridSpan w:val="2"/>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5" w:type="dxa"/>
            <w:gridSpan w:val="2"/>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4" w:type="dxa"/>
            <w:gridSpan w:val="2"/>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5" w:type="dxa"/>
            <w:gridSpan w:val="2"/>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r>
      <w:tr>
        <w:trPr/>
        <w:tc>
          <w:tcPr>
            <w:tcW w:w="5305" w:type="dxa"/>
            <w:gridSpan w:val="4"/>
            <w:tcBorders/>
            <w:vAlign w:val="bottom"/>
          </w:tcPr>
          <w:p>
            <w:pPr>
              <w:pStyle w:val="TableContents"/>
              <w:bidi w:val="0"/>
              <w:spacing w:before="0" w:after="0"/>
              <w:ind w:left="180" w:right="0" w:hanging="0"/>
              <w:jc w:val="left"/>
              <w:rPr>
                <w:rFonts w:ascii="Times New Roman" w:hAnsi="Times New Roman"/>
                <w:b/>
                <w:color w:val="000000"/>
                <w:sz w:val="20"/>
              </w:rPr>
            </w:pPr>
            <w:r>
              <w:rPr>
                <w:rFonts w:ascii="Times New Roman" w:hAnsi="Times New Roman"/>
                <w:b/>
                <w:color w:val="000000"/>
                <w:sz w:val="20"/>
              </w:rPr>
              <w:t>Three Months Ended June 30, 2026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4"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r>
      <w:tr>
        <w:trPr/>
        <w:tc>
          <w:tcPr>
            <w:tcW w:w="3170" w:type="dxa"/>
            <w:tcBorders/>
            <w:shd w:fill="CCEEFF" w:val="clear"/>
            <w:vAlign w:val="bottom"/>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Interest income</w:t>
            </w:r>
          </w:p>
        </w:tc>
        <w:tc>
          <w:tcPr>
            <w:tcW w:w="60" w:type="dxa"/>
            <w:tcBorders/>
            <w:shd w:fill="CCEEFF" w:val="clear"/>
            <w:vAlign w:val="bottom"/>
          </w:tcPr>
          <w:p>
            <w:pPr>
              <w:pStyle w:val="TableContents"/>
              <w:bidi w:val="0"/>
              <w:spacing w:before="0" w:after="283"/>
              <w:jc w:val="right"/>
              <w:rPr/>
            </w:pPr>
            <w:r>
              <w:rPr/>
              <w:t> </w:t>
            </w:r>
          </w:p>
        </w:tc>
        <w:tc>
          <w:tcPr>
            <w:tcW w:w="3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6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14,687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2"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62"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14,740</w:t>
            </w:r>
          </w:p>
        </w:tc>
        <w:tc>
          <w:tcPr>
            <w:tcW w:w="80" w:type="dxa"/>
            <w:tcBorders/>
            <w:shd w:fill="CCEEFF" w:val="clear"/>
            <w:vAlign w:val="bottom"/>
          </w:tcPr>
          <w:p>
            <w:pPr>
              <w:pStyle w:val="TableContents"/>
              <w:bidi w:val="0"/>
              <w:spacing w:before="0" w:after="283"/>
              <w:jc w:val="left"/>
              <w:rPr/>
            </w:pPr>
            <w:r>
              <w:rPr/>
              <w:t> </w:t>
            </w:r>
          </w:p>
        </w:tc>
      </w:tr>
      <w:tr>
        <w:trPr/>
        <w:tc>
          <w:tcPr>
            <w:tcW w:w="3170" w:type="dxa"/>
            <w:tcBorders/>
            <w:vAlign w:val="bottom"/>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Interest expense</w:t>
            </w:r>
          </w:p>
        </w:tc>
        <w:tc>
          <w:tcPr>
            <w:tcW w:w="60" w:type="dxa"/>
            <w:tcBorders/>
            <w:vAlign w:val="bottom"/>
          </w:tcPr>
          <w:p>
            <w:pPr>
              <w:pStyle w:val="TableContents"/>
              <w:bidi w:val="0"/>
              <w:spacing w:before="0" w:after="283"/>
              <w:jc w:val="right"/>
              <w:rPr/>
            </w:pPr>
            <w:r>
              <w:rPr/>
              <w:t> </w:t>
            </w:r>
          </w:p>
        </w:tc>
        <w:tc>
          <w:tcPr>
            <w:tcW w:w="385" w:type="dxa"/>
            <w:tcBorders>
              <w:bottom w:val="single" w:sz="12" w:space="0" w:color="000000"/>
            </w:tcBorders>
            <w:tcMar>
              <w:bottom w:w="28" w:type="dxa"/>
            </w:tcMar>
            <w:vAlign w:val="bottom"/>
          </w:tcPr>
          <w:p>
            <w:pPr>
              <w:pStyle w:val="TableContents"/>
              <w:bidi w:val="0"/>
              <w:spacing w:before="0" w:after="283"/>
              <w:jc w:val="left"/>
              <w:rPr/>
            </w:pPr>
            <w:r>
              <w:rPr/>
              <w:t> </w:t>
            </w:r>
          </w:p>
        </w:tc>
        <w:tc>
          <w:tcPr>
            <w:tcW w:w="169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252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9,752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2" w:type="dxa"/>
            <w:tcBorders>
              <w:bottom w:val="single" w:sz="12" w:space="0" w:color="000000"/>
            </w:tcBorders>
            <w:tcMar>
              <w:bottom w:w="28" w:type="dxa"/>
            </w:tcMar>
            <w:vAlign w:val="bottom"/>
          </w:tcPr>
          <w:p>
            <w:pPr>
              <w:pStyle w:val="TableContents"/>
              <w:bidi w:val="0"/>
              <w:spacing w:before="0" w:after="283"/>
              <w:jc w:val="left"/>
              <w:rPr/>
            </w:pPr>
            <w:r>
              <w:rPr/>
              <w:t> </w:t>
            </w:r>
          </w:p>
        </w:tc>
        <w:tc>
          <w:tcPr>
            <w:tcW w:w="662"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10,004</w:t>
            </w:r>
          </w:p>
        </w:tc>
        <w:tc>
          <w:tcPr>
            <w:tcW w:w="80" w:type="dxa"/>
            <w:tcBorders/>
            <w:vAlign w:val="bottom"/>
          </w:tcPr>
          <w:p>
            <w:pPr>
              <w:pStyle w:val="TableContents"/>
              <w:bidi w:val="0"/>
              <w:spacing w:before="0" w:after="283"/>
              <w:jc w:val="left"/>
              <w:rPr/>
            </w:pPr>
            <w:r>
              <w:rPr/>
              <w:t> </w:t>
            </w:r>
          </w:p>
        </w:tc>
      </w:tr>
      <w:tr>
        <w:trPr/>
        <w:tc>
          <w:tcPr>
            <w:tcW w:w="3170" w:type="dxa"/>
            <w:tcBorders/>
            <w:shd w:fill="CCEEFF" w:val="clear"/>
            <w:vAlign w:val="bottom"/>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Net interest income (expense)</w:t>
            </w:r>
          </w:p>
        </w:tc>
        <w:tc>
          <w:tcPr>
            <w:tcW w:w="60" w:type="dxa"/>
            <w:tcBorders/>
            <w:shd w:fill="CCEEFF" w:val="clear"/>
            <w:vAlign w:val="bottom"/>
          </w:tcPr>
          <w:p>
            <w:pPr>
              <w:pStyle w:val="TableContents"/>
              <w:bidi w:val="0"/>
              <w:spacing w:before="0" w:after="283"/>
              <w:jc w:val="right"/>
              <w:rPr/>
            </w:pPr>
            <w:r>
              <w:rPr/>
              <w:t> </w:t>
            </w:r>
          </w:p>
        </w:tc>
        <w:tc>
          <w:tcPr>
            <w:tcW w:w="385" w:type="dxa"/>
            <w:tcBorders/>
            <w:shd w:fill="CCEEFF" w:val="clear"/>
            <w:vAlign w:val="bottom"/>
          </w:tcPr>
          <w:p>
            <w:pPr>
              <w:pStyle w:val="TableContents"/>
              <w:bidi w:val="0"/>
              <w:spacing w:before="0" w:after="283"/>
              <w:jc w:val="left"/>
              <w:rPr/>
            </w:pPr>
            <w:r>
              <w:rPr/>
              <w:t> </w:t>
            </w:r>
          </w:p>
        </w:tc>
        <w:tc>
          <w:tcPr>
            <w:tcW w:w="16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(199</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4,935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2" w:type="dxa"/>
            <w:tcBorders/>
            <w:shd w:fill="CCEEFF" w:val="clear"/>
            <w:vAlign w:val="bottom"/>
          </w:tcPr>
          <w:p>
            <w:pPr>
              <w:pStyle w:val="TableContents"/>
              <w:bidi w:val="0"/>
              <w:spacing w:before="0" w:after="283"/>
              <w:jc w:val="left"/>
              <w:rPr/>
            </w:pPr>
            <w:r>
              <w:rPr/>
              <w:t> </w:t>
            </w:r>
          </w:p>
        </w:tc>
        <w:tc>
          <w:tcPr>
            <w:tcW w:w="662"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4,736</w:t>
            </w:r>
          </w:p>
        </w:tc>
        <w:tc>
          <w:tcPr>
            <w:tcW w:w="80" w:type="dxa"/>
            <w:tcBorders/>
            <w:shd w:fill="CCEEFF" w:val="clear"/>
            <w:vAlign w:val="bottom"/>
          </w:tcPr>
          <w:p>
            <w:pPr>
              <w:pStyle w:val="TableContents"/>
              <w:bidi w:val="0"/>
              <w:spacing w:before="0" w:after="283"/>
              <w:jc w:val="left"/>
              <w:rPr/>
            </w:pPr>
            <w:r>
              <w:rPr/>
              <w:t> </w:t>
            </w:r>
          </w:p>
        </w:tc>
      </w:tr>
      <w:tr>
        <w:trPr/>
        <w:tc>
          <w:tcPr>
            <w:tcW w:w="3170" w:type="dxa"/>
            <w:tcBorders/>
            <w:vAlign w:val="bottom"/>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Servicing fee income</w:t>
            </w:r>
          </w:p>
        </w:tc>
        <w:tc>
          <w:tcPr>
            <w:tcW w:w="60" w:type="dxa"/>
            <w:tcBorders/>
            <w:vAlign w:val="bottom"/>
          </w:tcPr>
          <w:p>
            <w:pPr>
              <w:pStyle w:val="TableContents"/>
              <w:bidi w:val="0"/>
              <w:spacing w:before="0" w:after="283"/>
              <w:jc w:val="right"/>
              <w:rPr/>
            </w:pPr>
            <w:r>
              <w:rPr/>
              <w:t> </w:t>
            </w:r>
          </w:p>
        </w:tc>
        <w:tc>
          <w:tcPr>
            <w:tcW w:w="385" w:type="dxa"/>
            <w:tcBorders/>
            <w:vAlign w:val="bottom"/>
          </w:tcPr>
          <w:p>
            <w:pPr>
              <w:pStyle w:val="TableContents"/>
              <w:bidi w:val="0"/>
              <w:spacing w:before="0" w:after="283"/>
              <w:jc w:val="left"/>
              <w:rPr/>
            </w:pPr>
            <w:r>
              <w:rPr/>
              <w:t> </w:t>
            </w:r>
          </w:p>
        </w:tc>
        <w:tc>
          <w:tcPr>
            <w:tcW w:w="169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9,692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2" w:type="dxa"/>
            <w:tcBorders/>
            <w:vAlign w:val="bottom"/>
          </w:tcPr>
          <w:p>
            <w:pPr>
              <w:pStyle w:val="TableContents"/>
              <w:bidi w:val="0"/>
              <w:spacing w:before="0" w:after="283"/>
              <w:jc w:val="left"/>
              <w:rPr/>
            </w:pPr>
            <w:r>
              <w:rPr/>
              <w:t> </w:t>
            </w:r>
          </w:p>
        </w:tc>
        <w:tc>
          <w:tcPr>
            <w:tcW w:w="662"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9,692</w:t>
            </w:r>
          </w:p>
        </w:tc>
        <w:tc>
          <w:tcPr>
            <w:tcW w:w="80" w:type="dxa"/>
            <w:tcBorders/>
            <w:vAlign w:val="bottom"/>
          </w:tcPr>
          <w:p>
            <w:pPr>
              <w:pStyle w:val="TableContents"/>
              <w:bidi w:val="0"/>
              <w:spacing w:before="0" w:after="283"/>
              <w:jc w:val="left"/>
              <w:rPr/>
            </w:pPr>
            <w:r>
              <w:rPr/>
              <w:t> </w:t>
            </w:r>
          </w:p>
        </w:tc>
      </w:tr>
      <w:tr>
        <w:trPr/>
        <w:tc>
          <w:tcPr>
            <w:tcW w:w="3170" w:type="dxa"/>
            <w:tcBorders/>
            <w:shd w:fill="CCEEFF" w:val="clear"/>
            <w:vAlign w:val="bottom"/>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Servicing costs</w:t>
            </w:r>
          </w:p>
        </w:tc>
        <w:tc>
          <w:tcPr>
            <w:tcW w:w="60" w:type="dxa"/>
            <w:tcBorders/>
            <w:shd w:fill="CCEEFF" w:val="clear"/>
            <w:vAlign w:val="bottom"/>
          </w:tcPr>
          <w:p>
            <w:pPr>
              <w:pStyle w:val="TableContents"/>
              <w:bidi w:val="0"/>
              <w:spacing w:before="0" w:after="283"/>
              <w:jc w:val="right"/>
              <w:rPr/>
            </w:pPr>
            <w:r>
              <w:rPr/>
              <w:t> </w:t>
            </w:r>
          </w:p>
        </w:tc>
        <w:tc>
          <w:tcPr>
            <w:tcW w:w="38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69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2,319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6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2,319</w:t>
            </w:r>
          </w:p>
        </w:tc>
        <w:tc>
          <w:tcPr>
            <w:tcW w:w="80" w:type="dxa"/>
            <w:tcBorders/>
            <w:shd w:fill="CCEEFF" w:val="clear"/>
            <w:vAlign w:val="bottom"/>
          </w:tcPr>
          <w:p>
            <w:pPr>
              <w:pStyle w:val="TableContents"/>
              <w:bidi w:val="0"/>
              <w:spacing w:before="0" w:after="283"/>
              <w:jc w:val="left"/>
              <w:rPr/>
            </w:pPr>
            <w:r>
              <w:rPr/>
              <w:t> </w:t>
            </w:r>
          </w:p>
        </w:tc>
      </w:tr>
      <w:tr>
        <w:trPr/>
        <w:tc>
          <w:tcPr>
            <w:tcW w:w="3170" w:type="dxa"/>
            <w:tcBorders/>
            <w:vAlign w:val="bottom"/>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Net servicing income</w:t>
            </w:r>
          </w:p>
        </w:tc>
        <w:tc>
          <w:tcPr>
            <w:tcW w:w="60" w:type="dxa"/>
            <w:tcBorders/>
            <w:vAlign w:val="bottom"/>
          </w:tcPr>
          <w:p>
            <w:pPr>
              <w:pStyle w:val="TableContents"/>
              <w:bidi w:val="0"/>
              <w:spacing w:before="0" w:after="283"/>
              <w:jc w:val="right"/>
              <w:rPr/>
            </w:pPr>
            <w:r>
              <w:rPr/>
              <w:t> </w:t>
            </w:r>
          </w:p>
        </w:tc>
        <w:tc>
          <w:tcPr>
            <w:tcW w:w="385" w:type="dxa"/>
            <w:tcBorders/>
            <w:vAlign w:val="bottom"/>
          </w:tcPr>
          <w:p>
            <w:pPr>
              <w:pStyle w:val="TableContents"/>
              <w:bidi w:val="0"/>
              <w:spacing w:before="0" w:after="283"/>
              <w:jc w:val="left"/>
              <w:rPr/>
            </w:pPr>
            <w:r>
              <w:rPr/>
              <w:t> </w:t>
            </w:r>
          </w:p>
        </w:tc>
        <w:tc>
          <w:tcPr>
            <w:tcW w:w="169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7,373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2" w:type="dxa"/>
            <w:tcBorders/>
            <w:vAlign w:val="bottom"/>
          </w:tcPr>
          <w:p>
            <w:pPr>
              <w:pStyle w:val="TableContents"/>
              <w:bidi w:val="0"/>
              <w:spacing w:before="0" w:after="283"/>
              <w:jc w:val="left"/>
              <w:rPr/>
            </w:pPr>
            <w:r>
              <w:rPr/>
              <w:t> </w:t>
            </w:r>
          </w:p>
        </w:tc>
        <w:tc>
          <w:tcPr>
            <w:tcW w:w="662"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7,373</w:t>
            </w:r>
          </w:p>
        </w:tc>
        <w:tc>
          <w:tcPr>
            <w:tcW w:w="80" w:type="dxa"/>
            <w:tcBorders/>
            <w:vAlign w:val="bottom"/>
          </w:tcPr>
          <w:p>
            <w:pPr>
              <w:pStyle w:val="TableContents"/>
              <w:bidi w:val="0"/>
              <w:spacing w:before="0" w:after="283"/>
              <w:jc w:val="left"/>
              <w:rPr/>
            </w:pPr>
            <w:r>
              <w:rPr/>
              <w:t> </w:t>
            </w:r>
          </w:p>
        </w:tc>
      </w:tr>
      <w:tr>
        <w:trPr/>
        <w:tc>
          <w:tcPr>
            <w:tcW w:w="3170" w:type="dxa"/>
            <w:tcBorders/>
            <w:shd w:fill="CCEEFF" w:val="clear"/>
            <w:vAlign w:val="bottom"/>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Other income (expense) (A)</w:t>
            </w:r>
          </w:p>
        </w:tc>
        <w:tc>
          <w:tcPr>
            <w:tcW w:w="60" w:type="dxa"/>
            <w:tcBorders/>
            <w:shd w:fill="CCEEFF" w:val="clear"/>
            <w:vAlign w:val="bottom"/>
          </w:tcPr>
          <w:p>
            <w:pPr>
              <w:pStyle w:val="TableContents"/>
              <w:bidi w:val="0"/>
              <w:spacing w:before="0" w:after="283"/>
              <w:jc w:val="right"/>
              <w:rPr/>
            </w:pPr>
            <w:r>
              <w:rPr/>
              <w:t> </w:t>
            </w:r>
          </w:p>
        </w:tc>
        <w:tc>
          <w:tcPr>
            <w:tcW w:w="385" w:type="dxa"/>
            <w:tcBorders/>
            <w:shd w:fill="CCEEFF" w:val="clear"/>
            <w:vAlign w:val="bottom"/>
          </w:tcPr>
          <w:p>
            <w:pPr>
              <w:pStyle w:val="TableContents"/>
              <w:bidi w:val="0"/>
              <w:spacing w:before="0" w:after="283"/>
              <w:jc w:val="left"/>
              <w:rPr/>
            </w:pPr>
            <w:r>
              <w:rPr/>
              <w:t> </w:t>
            </w:r>
          </w:p>
        </w:tc>
        <w:tc>
          <w:tcPr>
            <w:tcW w:w="16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(5,542</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1,311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2" w:type="dxa"/>
            <w:tcBorders/>
            <w:shd w:fill="CCEEFF" w:val="clear"/>
            <w:vAlign w:val="bottom"/>
          </w:tcPr>
          <w:p>
            <w:pPr>
              <w:pStyle w:val="TableContents"/>
              <w:bidi w:val="0"/>
              <w:spacing w:before="0" w:after="283"/>
              <w:jc w:val="left"/>
              <w:rPr/>
            </w:pPr>
            <w:r>
              <w:rPr/>
              <w:t> </w:t>
            </w:r>
          </w:p>
        </w:tc>
        <w:tc>
          <w:tcPr>
            <w:tcW w:w="662"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(4,231</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3170" w:type="dxa"/>
            <w:tcBorders/>
            <w:vAlign w:val="bottom"/>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 xml:space="preserve">Other operating expenses </w:t>
            </w:r>
            <w:r>
              <w:rPr>
                <w:rFonts w:ascii="Times New Roman" w:hAnsi="Times New Roman"/>
                <w:position w:val="7"/>
                <w:sz w:val="16"/>
                <w:sz w:val="20"/>
              </w:rPr>
              <w:t>(B)</w:t>
            </w:r>
          </w:p>
        </w:tc>
        <w:tc>
          <w:tcPr>
            <w:tcW w:w="60" w:type="dxa"/>
            <w:tcBorders/>
            <w:vAlign w:val="bottom"/>
          </w:tcPr>
          <w:p>
            <w:pPr>
              <w:pStyle w:val="TableContents"/>
              <w:bidi w:val="0"/>
              <w:spacing w:before="0" w:after="283"/>
              <w:jc w:val="right"/>
              <w:rPr/>
            </w:pPr>
            <w:r>
              <w:rPr/>
              <w:t> </w:t>
            </w:r>
          </w:p>
        </w:tc>
        <w:tc>
          <w:tcPr>
            <w:tcW w:w="385" w:type="dxa"/>
            <w:tcBorders/>
            <w:vAlign w:val="bottom"/>
          </w:tcPr>
          <w:p>
            <w:pPr>
              <w:pStyle w:val="TableContents"/>
              <w:bidi w:val="0"/>
              <w:spacing w:before="0" w:after="283"/>
              <w:jc w:val="left"/>
              <w:rPr/>
            </w:pPr>
            <w:r>
              <w:rPr/>
              <w:t> </w:t>
            </w:r>
          </w:p>
        </w:tc>
        <w:tc>
          <w:tcPr>
            <w:tcW w:w="169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(1,074</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(720</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52" w:type="dxa"/>
            <w:tcBorders/>
            <w:vAlign w:val="bottom"/>
          </w:tcPr>
          <w:p>
            <w:pPr>
              <w:pStyle w:val="TableContents"/>
              <w:bidi w:val="0"/>
              <w:spacing w:before="0" w:after="283"/>
              <w:jc w:val="left"/>
              <w:rPr/>
            </w:pPr>
            <w:r>
              <w:rPr/>
              <w:t> </w:t>
            </w:r>
          </w:p>
        </w:tc>
        <w:tc>
          <w:tcPr>
            <w:tcW w:w="662"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(2,223</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(4,017</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3170" w:type="dxa"/>
            <w:tcBorders/>
            <w:shd w:fill="CCEEFF" w:val="clear"/>
            <w:vAlign w:val="bottom"/>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Provision for corporate business taxes</w:t>
            </w:r>
          </w:p>
        </w:tc>
        <w:tc>
          <w:tcPr>
            <w:tcW w:w="60" w:type="dxa"/>
            <w:tcBorders/>
            <w:shd w:fill="CCEEFF" w:val="clear"/>
            <w:vAlign w:val="bottom"/>
          </w:tcPr>
          <w:p>
            <w:pPr>
              <w:pStyle w:val="TableContents"/>
              <w:bidi w:val="0"/>
              <w:spacing w:before="0" w:after="283"/>
              <w:jc w:val="right"/>
              <w:rPr/>
            </w:pPr>
            <w:r>
              <w:rPr/>
              <w:t> </w:t>
            </w:r>
          </w:p>
        </w:tc>
        <w:tc>
          <w:tcPr>
            <w:tcW w:w="385" w:type="dxa"/>
            <w:tcBorders/>
            <w:shd w:fill="CCEEFF" w:val="clear"/>
            <w:vAlign w:val="bottom"/>
          </w:tcPr>
          <w:p>
            <w:pPr>
              <w:pStyle w:val="TableContents"/>
              <w:bidi w:val="0"/>
              <w:spacing w:before="0" w:after="283"/>
              <w:jc w:val="left"/>
              <w:rPr/>
            </w:pPr>
            <w:r>
              <w:rPr/>
              <w:t> </w:t>
            </w:r>
          </w:p>
        </w:tc>
        <w:tc>
          <w:tcPr>
            <w:tcW w:w="16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(67</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2" w:type="dxa"/>
            <w:tcBorders/>
            <w:shd w:fill="CCEEFF" w:val="clear"/>
            <w:vAlign w:val="bottom"/>
          </w:tcPr>
          <w:p>
            <w:pPr>
              <w:pStyle w:val="TableContents"/>
              <w:bidi w:val="0"/>
              <w:spacing w:before="0" w:after="283"/>
              <w:jc w:val="left"/>
              <w:rPr/>
            </w:pPr>
            <w:r>
              <w:rPr/>
              <w:t> </w:t>
            </w:r>
          </w:p>
        </w:tc>
        <w:tc>
          <w:tcPr>
            <w:tcW w:w="662"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(67</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3170" w:type="dxa"/>
            <w:tcBorders/>
            <w:vAlign w:val="bottom"/>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Net other comprehensive income (loss)</w:t>
            </w:r>
          </w:p>
        </w:tc>
        <w:tc>
          <w:tcPr>
            <w:tcW w:w="60" w:type="dxa"/>
            <w:tcBorders/>
            <w:vAlign w:val="bottom"/>
          </w:tcPr>
          <w:p>
            <w:pPr>
              <w:pStyle w:val="TableContents"/>
              <w:bidi w:val="0"/>
              <w:spacing w:before="0" w:after="283"/>
              <w:jc w:val="right"/>
              <w:rPr/>
            </w:pPr>
            <w:r>
              <w:rPr/>
              <w:t> </w:t>
            </w:r>
          </w:p>
        </w:tc>
        <w:tc>
          <w:tcPr>
            <w:tcW w:w="385" w:type="dxa"/>
            <w:tcBorders>
              <w:bottom w:val="single" w:sz="12" w:space="0" w:color="000000"/>
            </w:tcBorders>
            <w:tcMar>
              <w:bottom w:w="28" w:type="dxa"/>
            </w:tcMar>
            <w:vAlign w:val="bottom"/>
          </w:tcPr>
          <w:p>
            <w:pPr>
              <w:pStyle w:val="TableContents"/>
              <w:bidi w:val="0"/>
              <w:spacing w:before="0" w:after="283"/>
              <w:jc w:val="left"/>
              <w:rPr/>
            </w:pPr>
            <w:r>
              <w:rPr/>
              <w:t> </w:t>
            </w:r>
          </w:p>
        </w:tc>
        <w:tc>
          <w:tcPr>
            <w:tcW w:w="169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502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2" w:type="dxa"/>
            <w:tcBorders>
              <w:bottom w:val="single" w:sz="12" w:space="0" w:color="000000"/>
            </w:tcBorders>
            <w:tcMar>
              <w:bottom w:w="28" w:type="dxa"/>
            </w:tcMar>
            <w:vAlign w:val="bottom"/>
          </w:tcPr>
          <w:p>
            <w:pPr>
              <w:pStyle w:val="TableContents"/>
              <w:bidi w:val="0"/>
              <w:spacing w:before="0" w:after="283"/>
              <w:jc w:val="left"/>
              <w:rPr/>
            </w:pPr>
            <w:r>
              <w:rPr/>
              <w:t> </w:t>
            </w:r>
          </w:p>
        </w:tc>
        <w:tc>
          <w:tcPr>
            <w:tcW w:w="662"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502</w:t>
            </w:r>
          </w:p>
        </w:tc>
        <w:tc>
          <w:tcPr>
            <w:tcW w:w="80" w:type="dxa"/>
            <w:tcBorders/>
            <w:vAlign w:val="bottom"/>
          </w:tcPr>
          <w:p>
            <w:pPr>
              <w:pStyle w:val="TableContents"/>
              <w:bidi w:val="0"/>
              <w:spacing w:before="0" w:after="283"/>
              <w:jc w:val="left"/>
              <w:rPr/>
            </w:pPr>
            <w:r>
              <w:rPr/>
              <w:t> </w:t>
            </w:r>
          </w:p>
        </w:tc>
      </w:tr>
      <w:tr>
        <w:trPr/>
        <w:tc>
          <w:tcPr>
            <w:tcW w:w="3170" w:type="dxa"/>
            <w:tcBorders/>
            <w:shd w:fill="CCEEFF" w:val="clear"/>
            <w:vAlign w:val="bottom"/>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Comprehensive income (loss)</w:t>
            </w:r>
          </w:p>
        </w:tc>
        <w:tc>
          <w:tcPr>
            <w:tcW w:w="60" w:type="dxa"/>
            <w:tcBorders/>
            <w:shd w:fill="CCEEFF" w:val="clear"/>
            <w:vAlign w:val="bottom"/>
          </w:tcPr>
          <w:p>
            <w:pPr>
              <w:pStyle w:val="TableContents"/>
              <w:bidi w:val="0"/>
              <w:spacing w:before="0" w:after="283"/>
              <w:jc w:val="right"/>
              <w:rPr/>
            </w:pPr>
            <w:r>
              <w:rPr/>
              <w:t> </w:t>
            </w:r>
          </w:p>
        </w:tc>
        <w:tc>
          <w:tcPr>
            <w:tcW w:w="38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6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491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6,028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2"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62"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(2,223</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4,296</w:t>
            </w:r>
          </w:p>
        </w:tc>
        <w:tc>
          <w:tcPr>
            <w:tcW w:w="80" w:type="dxa"/>
            <w:tcBorders/>
            <w:shd w:fill="CCEEFF" w:val="clear"/>
            <w:vAlign w:val="bottom"/>
          </w:tcPr>
          <w:p>
            <w:pPr>
              <w:pStyle w:val="TableContents"/>
              <w:bidi w:val="0"/>
              <w:spacing w:before="0" w:after="283"/>
              <w:jc w:val="left"/>
              <w:rPr/>
            </w:pPr>
            <w:r>
              <w:rPr/>
              <w:t> </w:t>
            </w:r>
          </w:p>
        </w:tc>
      </w:tr>
    </w:tbl>
    <w:tbl>
      <w:tblPr>
        <w:tblW w:w="6575" w:type="dxa"/>
        <w:jc w:val="left"/>
        <w:tblInd w:w="0" w:type="dxa"/>
        <w:tblLayout w:type="fixed"/>
        <w:tblCellMar>
          <w:top w:w="0" w:type="dxa"/>
          <w:left w:w="0" w:type="dxa"/>
          <w:bottom w:w="0" w:type="dxa"/>
          <w:right w:w="0" w:type="dxa"/>
        </w:tblCellMar>
      </w:tblPr>
      <w:tblGrid>
        <w:gridCol w:w="3185"/>
        <w:gridCol w:w="60"/>
        <w:gridCol w:w="125"/>
        <w:gridCol w:w="590"/>
        <w:gridCol w:w="80"/>
        <w:gridCol w:w="60"/>
        <w:gridCol w:w="125"/>
        <w:gridCol w:w="590"/>
        <w:gridCol w:w="80"/>
        <w:gridCol w:w="60"/>
        <w:gridCol w:w="125"/>
        <w:gridCol w:w="545"/>
        <w:gridCol w:w="80"/>
        <w:gridCol w:w="60"/>
        <w:gridCol w:w="125"/>
        <w:gridCol w:w="590"/>
        <w:gridCol w:w="95"/>
      </w:tblGrid>
      <w:tr>
        <w:trPr/>
        <w:tc>
          <w:tcPr>
            <w:tcW w:w="3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7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r>
      <w:tr>
        <w:trPr/>
        <w:tc>
          <w:tcPr>
            <w:tcW w:w="3185" w:type="dxa"/>
            <w:tcBorders/>
            <w:shd w:fill="CCEEFF" w:val="clear"/>
            <w:vAlign w:val="bottom"/>
          </w:tcPr>
          <w:p>
            <w:pPr>
              <w:pStyle w:val="TableContents"/>
              <w:bidi w:val="0"/>
              <w:spacing w:before="0" w:after="0"/>
              <w:ind w:left="324" w:right="0" w:hanging="144"/>
              <w:jc w:val="left"/>
              <w:rPr>
                <w:b/>
                <w:sz w:val="20"/>
              </w:rPr>
            </w:pPr>
            <w:r>
              <w:rPr>
                <w:b/>
                <w:sz w:val="20"/>
              </w:rPr>
              <w:t>Three Months Ended March 31, 2026</w:t>
            </w:r>
          </w:p>
        </w:tc>
        <w:tc>
          <w:tcPr>
            <w:tcW w:w="60" w:type="dxa"/>
            <w:tcBorders/>
            <w:shd w:fill="CCEEFF" w:val="clear"/>
            <w:vAlign w:val="bottom"/>
          </w:tcPr>
          <w:p>
            <w:pPr>
              <w:pStyle w:val="TableContents"/>
              <w:bidi w:val="0"/>
              <w:spacing w:before="0" w:after="283"/>
              <w:jc w:val="left"/>
              <w:rPr/>
            </w:pPr>
            <w:r>
              <w:rPr/>
              <w:t> </w:t>
            </w:r>
          </w:p>
        </w:tc>
        <w:tc>
          <w:tcPr>
            <w:tcW w:w="715" w:type="dxa"/>
            <w:gridSpan w:val="2"/>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5" w:type="dxa"/>
            <w:gridSpan w:val="2"/>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70" w:type="dxa"/>
            <w:gridSpan w:val="2"/>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5" w:type="dxa"/>
            <w:gridSpan w:val="2"/>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3185" w:type="dxa"/>
            <w:tcBorders/>
            <w:vAlign w:val="bottom"/>
          </w:tcPr>
          <w:p>
            <w:pPr>
              <w:pStyle w:val="TableContents"/>
              <w:bidi w:val="0"/>
              <w:spacing w:before="0" w:after="0"/>
              <w:ind w:left="504" w:right="0" w:hanging="144"/>
              <w:jc w:val="left"/>
              <w:rPr>
                <w:sz w:val="20"/>
              </w:rPr>
            </w:pPr>
            <w:r>
              <w:rPr>
                <w:sz w:val="20"/>
              </w:rPr>
              <w:t>Interest income</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sz w:val="20"/>
              </w:rPr>
            </w:pPr>
            <w:r>
              <w:rPr>
                <w:sz w:val="20"/>
              </w:rPr>
              <w:t>$</w:t>
            </w:r>
          </w:p>
        </w:tc>
        <w:tc>
          <w:tcPr>
            <w:tcW w:w="590" w:type="dxa"/>
            <w:tcBorders/>
            <w:vAlign w:val="bottom"/>
          </w:tcPr>
          <w:p>
            <w:pPr>
              <w:pStyle w:val="TableContents"/>
              <w:bidi w:val="0"/>
              <w:spacing w:before="0" w:after="0"/>
              <w:jc w:val="right"/>
              <w:rPr>
                <w:sz w:val="20"/>
              </w:rPr>
            </w:pPr>
            <w:r>
              <w:rPr>
                <w:sz w:val="20"/>
              </w:rPr>
              <w:t>52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sz w:val="20"/>
              </w:rPr>
            </w:pPr>
            <w:r>
              <w:rPr>
                <w:sz w:val="20"/>
              </w:rPr>
              <w:t>$</w:t>
            </w:r>
          </w:p>
        </w:tc>
        <w:tc>
          <w:tcPr>
            <w:tcW w:w="590" w:type="dxa"/>
            <w:tcBorders/>
            <w:vAlign w:val="bottom"/>
          </w:tcPr>
          <w:p>
            <w:pPr>
              <w:pStyle w:val="TableContents"/>
              <w:bidi w:val="0"/>
              <w:spacing w:before="0" w:after="0"/>
              <w:jc w:val="right"/>
              <w:rPr>
                <w:sz w:val="20"/>
              </w:rPr>
            </w:pPr>
            <w:r>
              <w:rPr>
                <w:sz w:val="20"/>
              </w:rPr>
              <w:t>15,798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sz w:val="20"/>
              </w:rPr>
            </w:pPr>
            <w:r>
              <w:rPr>
                <w:sz w:val="20"/>
              </w:rPr>
              <w:t>$</w:t>
            </w:r>
          </w:p>
        </w:tc>
        <w:tc>
          <w:tcPr>
            <w:tcW w:w="545" w:type="dxa"/>
            <w:tcBorders/>
            <w:vAlign w:val="bottom"/>
          </w:tcPr>
          <w:p>
            <w:pPr>
              <w:pStyle w:val="TableContents"/>
              <w:bidi w:val="0"/>
              <w:spacing w:before="0" w:after="0"/>
              <w:jc w:val="right"/>
              <w:rPr>
                <w:sz w:val="20"/>
              </w:rPr>
            </w:pPr>
            <w:r>
              <w:rPr>
                <w:sz w:val="2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sz w:val="20"/>
              </w:rPr>
            </w:pPr>
            <w:r>
              <w:rPr>
                <w:sz w:val="20"/>
              </w:rPr>
              <w:t>$</w:t>
            </w:r>
          </w:p>
        </w:tc>
        <w:tc>
          <w:tcPr>
            <w:tcW w:w="590" w:type="dxa"/>
            <w:tcBorders/>
            <w:vAlign w:val="bottom"/>
          </w:tcPr>
          <w:p>
            <w:pPr>
              <w:pStyle w:val="TableContents"/>
              <w:bidi w:val="0"/>
              <w:spacing w:before="0" w:after="0"/>
              <w:jc w:val="right"/>
              <w:rPr>
                <w:sz w:val="20"/>
              </w:rPr>
            </w:pPr>
            <w:r>
              <w:rPr>
                <w:sz w:val="20"/>
              </w:rPr>
              <w:t>15,850</w:t>
            </w:r>
          </w:p>
        </w:tc>
        <w:tc>
          <w:tcPr>
            <w:tcW w:w="95" w:type="dxa"/>
            <w:tcBorders/>
            <w:vAlign w:val="bottom"/>
          </w:tcPr>
          <w:p>
            <w:pPr>
              <w:pStyle w:val="TableContents"/>
              <w:bidi w:val="0"/>
              <w:spacing w:before="0" w:after="283"/>
              <w:jc w:val="left"/>
              <w:rPr/>
            </w:pPr>
            <w:r>
              <w:rPr/>
              <w:t> </w:t>
            </w:r>
          </w:p>
        </w:tc>
      </w:tr>
      <w:tr>
        <w:trPr/>
        <w:tc>
          <w:tcPr>
            <w:tcW w:w="3185" w:type="dxa"/>
            <w:tcBorders/>
            <w:shd w:fill="CCEEFF" w:val="clear"/>
            <w:vAlign w:val="bottom"/>
          </w:tcPr>
          <w:p>
            <w:pPr>
              <w:pStyle w:val="TableContents"/>
              <w:bidi w:val="0"/>
              <w:spacing w:before="0" w:after="0"/>
              <w:ind w:left="504" w:right="0" w:hanging="144"/>
              <w:jc w:val="left"/>
              <w:rPr>
                <w:sz w:val="20"/>
              </w:rPr>
            </w:pPr>
            <w:r>
              <w:rPr>
                <w:sz w:val="20"/>
              </w:rPr>
              <w:t>Interest expense</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bottom"/>
          </w:tcPr>
          <w:p>
            <w:pPr>
              <w:pStyle w:val="TableContents"/>
              <w:bidi w:val="0"/>
              <w:spacing w:before="0" w:after="0"/>
              <w:jc w:val="right"/>
              <w:rPr>
                <w:sz w:val="20"/>
              </w:rPr>
            </w:pPr>
            <w:r>
              <w:rPr>
                <w:sz w:val="20"/>
              </w:rPr>
              <w:t>597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bottom"/>
          </w:tcPr>
          <w:p>
            <w:pPr>
              <w:pStyle w:val="TableContents"/>
              <w:bidi w:val="0"/>
              <w:spacing w:before="0" w:after="0"/>
              <w:jc w:val="right"/>
              <w:rPr>
                <w:sz w:val="20"/>
              </w:rPr>
            </w:pPr>
            <w:r>
              <w:rPr>
                <w:sz w:val="20"/>
              </w:rPr>
              <w:t>10,797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45" w:type="dxa"/>
            <w:tcBorders>
              <w:bottom w:val="single" w:sz="12" w:space="0" w:color="000000"/>
            </w:tcBorders>
            <w:shd w:fill="CCEEFF" w:val="clear"/>
            <w:tcMar>
              <w:bottom w:w="28" w:type="dxa"/>
            </w:tcMar>
            <w:vAlign w:val="bottom"/>
          </w:tcPr>
          <w:p>
            <w:pPr>
              <w:pStyle w:val="TableContents"/>
              <w:bidi w:val="0"/>
              <w:spacing w:before="0" w:after="0"/>
              <w:jc w:val="right"/>
              <w:rPr>
                <w:sz w:val="20"/>
              </w:rPr>
            </w:pPr>
            <w:r>
              <w:rPr>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bottom"/>
          </w:tcPr>
          <w:p>
            <w:pPr>
              <w:pStyle w:val="TableContents"/>
              <w:bidi w:val="0"/>
              <w:spacing w:before="0" w:after="0"/>
              <w:jc w:val="right"/>
              <w:rPr>
                <w:sz w:val="20"/>
              </w:rPr>
            </w:pPr>
            <w:r>
              <w:rPr>
                <w:sz w:val="20"/>
              </w:rPr>
              <w:t>11,394</w:t>
            </w:r>
          </w:p>
        </w:tc>
        <w:tc>
          <w:tcPr>
            <w:tcW w:w="95" w:type="dxa"/>
            <w:tcBorders/>
            <w:shd w:fill="CCEEFF" w:val="clear"/>
            <w:vAlign w:val="bottom"/>
          </w:tcPr>
          <w:p>
            <w:pPr>
              <w:pStyle w:val="TableContents"/>
              <w:bidi w:val="0"/>
              <w:spacing w:before="0" w:after="283"/>
              <w:jc w:val="left"/>
              <w:rPr/>
            </w:pPr>
            <w:r>
              <w:rPr/>
              <w:t> </w:t>
            </w:r>
          </w:p>
        </w:tc>
      </w:tr>
      <w:tr>
        <w:trPr/>
        <w:tc>
          <w:tcPr>
            <w:tcW w:w="3185" w:type="dxa"/>
            <w:tcBorders/>
            <w:vAlign w:val="bottom"/>
          </w:tcPr>
          <w:p>
            <w:pPr>
              <w:pStyle w:val="TableContents"/>
              <w:bidi w:val="0"/>
              <w:spacing w:before="0" w:after="0"/>
              <w:ind w:left="504" w:right="0" w:hanging="144"/>
              <w:jc w:val="left"/>
              <w:rPr>
                <w:sz w:val="20"/>
              </w:rPr>
            </w:pPr>
            <w:r>
              <w:rPr>
                <w:sz w:val="20"/>
              </w:rPr>
              <w:t>Net interest income (expense)</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sz w:val="20"/>
              </w:rPr>
            </w:pPr>
            <w:r>
              <w:rPr>
                <w:sz w:val="20"/>
              </w:rPr>
              <w:t>(545</w:t>
            </w:r>
          </w:p>
        </w:tc>
        <w:tc>
          <w:tcPr>
            <w:tcW w:w="80" w:type="dxa"/>
            <w:tcBorders/>
            <w:vAlign w:val="bottom"/>
          </w:tcPr>
          <w:p>
            <w:pPr>
              <w:pStyle w:val="TableContents"/>
              <w:bidi w:val="0"/>
              <w:spacing w:before="0" w:after="0"/>
              <w:jc w:val="left"/>
              <w:rPr>
                <w:sz w:val="20"/>
              </w:rPr>
            </w:pPr>
            <w:r>
              <w:rPr>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sz w:val="20"/>
              </w:rPr>
            </w:pPr>
            <w:r>
              <w:rPr>
                <w:sz w:val="20"/>
              </w:rPr>
              <w:t>5,001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45" w:type="dxa"/>
            <w:tcBorders/>
            <w:vAlign w:val="bottom"/>
          </w:tcPr>
          <w:p>
            <w:pPr>
              <w:pStyle w:val="TableContents"/>
              <w:bidi w:val="0"/>
              <w:spacing w:before="0" w:after="0"/>
              <w:jc w:val="right"/>
              <w:rPr>
                <w:sz w:val="20"/>
              </w:rPr>
            </w:pPr>
            <w:r>
              <w:rPr>
                <w:sz w:val="2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sz w:val="20"/>
              </w:rPr>
            </w:pPr>
            <w:r>
              <w:rPr>
                <w:sz w:val="20"/>
              </w:rPr>
              <w:t>4,456</w:t>
            </w:r>
          </w:p>
        </w:tc>
        <w:tc>
          <w:tcPr>
            <w:tcW w:w="95" w:type="dxa"/>
            <w:tcBorders/>
            <w:vAlign w:val="bottom"/>
          </w:tcPr>
          <w:p>
            <w:pPr>
              <w:pStyle w:val="TableContents"/>
              <w:bidi w:val="0"/>
              <w:spacing w:before="0" w:after="283"/>
              <w:jc w:val="left"/>
              <w:rPr/>
            </w:pPr>
            <w:r>
              <w:rPr/>
              <w:t> </w:t>
            </w:r>
          </w:p>
        </w:tc>
      </w:tr>
      <w:tr>
        <w:trPr/>
        <w:tc>
          <w:tcPr>
            <w:tcW w:w="3185" w:type="dxa"/>
            <w:tcBorders/>
            <w:shd w:fill="CCEEFF" w:val="clear"/>
            <w:vAlign w:val="bottom"/>
          </w:tcPr>
          <w:p>
            <w:pPr>
              <w:pStyle w:val="TableContents"/>
              <w:bidi w:val="0"/>
              <w:spacing w:before="0" w:after="0"/>
              <w:ind w:left="504" w:right="0" w:hanging="144"/>
              <w:jc w:val="left"/>
              <w:rPr>
                <w:sz w:val="20"/>
              </w:rPr>
            </w:pPr>
            <w:r>
              <w:rPr>
                <w:sz w:val="20"/>
              </w:rPr>
              <w:t>Servicing fee income</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sz w:val="20"/>
              </w:rPr>
            </w:pPr>
            <w:r>
              <w:rPr>
                <w:sz w:val="20"/>
              </w:rPr>
              <w:t>10,219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sz w:val="20"/>
              </w:rPr>
            </w:pPr>
            <w:r>
              <w:rPr>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bidi w:val="0"/>
              <w:spacing w:before="0" w:after="0"/>
              <w:jc w:val="right"/>
              <w:rPr>
                <w:sz w:val="20"/>
              </w:rPr>
            </w:pPr>
            <w:r>
              <w:rPr>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sz w:val="20"/>
              </w:rPr>
            </w:pPr>
            <w:r>
              <w:rPr>
                <w:sz w:val="20"/>
              </w:rPr>
              <w:t>10,219</w:t>
            </w:r>
          </w:p>
        </w:tc>
        <w:tc>
          <w:tcPr>
            <w:tcW w:w="95" w:type="dxa"/>
            <w:tcBorders/>
            <w:shd w:fill="CCEEFF" w:val="clear"/>
            <w:vAlign w:val="bottom"/>
          </w:tcPr>
          <w:p>
            <w:pPr>
              <w:pStyle w:val="TableContents"/>
              <w:bidi w:val="0"/>
              <w:spacing w:before="0" w:after="283"/>
              <w:jc w:val="left"/>
              <w:rPr/>
            </w:pPr>
            <w:r>
              <w:rPr/>
              <w:t> </w:t>
            </w:r>
          </w:p>
        </w:tc>
      </w:tr>
      <w:tr>
        <w:trPr/>
        <w:tc>
          <w:tcPr>
            <w:tcW w:w="3185" w:type="dxa"/>
            <w:tcBorders/>
            <w:vAlign w:val="bottom"/>
          </w:tcPr>
          <w:p>
            <w:pPr>
              <w:pStyle w:val="TableContents"/>
              <w:bidi w:val="0"/>
              <w:spacing w:before="0" w:after="0"/>
              <w:ind w:left="504" w:right="0" w:hanging="144"/>
              <w:jc w:val="left"/>
              <w:rPr>
                <w:sz w:val="20"/>
              </w:rPr>
            </w:pPr>
            <w:r>
              <w:rPr>
                <w:sz w:val="20"/>
              </w:rPr>
              <w:t>Servicing costs</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sz w:val="20"/>
              </w:rPr>
            </w:pPr>
            <w:r>
              <w:rPr>
                <w:sz w:val="20"/>
              </w:rPr>
              <w:t>2,289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sz w:val="20"/>
              </w:rPr>
            </w:pPr>
            <w:r>
              <w:rPr>
                <w:sz w:val="2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45" w:type="dxa"/>
            <w:tcBorders>
              <w:bottom w:val="single" w:sz="12" w:space="0" w:color="000000"/>
            </w:tcBorders>
            <w:tcMar>
              <w:bottom w:w="28" w:type="dxa"/>
            </w:tcMar>
            <w:vAlign w:val="bottom"/>
          </w:tcPr>
          <w:p>
            <w:pPr>
              <w:pStyle w:val="TableContents"/>
              <w:bidi w:val="0"/>
              <w:spacing w:before="0" w:after="0"/>
              <w:jc w:val="right"/>
              <w:rPr>
                <w:sz w:val="20"/>
              </w:rPr>
            </w:pPr>
            <w:r>
              <w:rPr>
                <w:sz w:val="2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sz w:val="20"/>
              </w:rPr>
            </w:pPr>
            <w:r>
              <w:rPr>
                <w:sz w:val="20"/>
              </w:rPr>
              <w:t>2,289</w:t>
            </w:r>
          </w:p>
        </w:tc>
        <w:tc>
          <w:tcPr>
            <w:tcW w:w="95" w:type="dxa"/>
            <w:tcBorders/>
            <w:vAlign w:val="bottom"/>
          </w:tcPr>
          <w:p>
            <w:pPr>
              <w:pStyle w:val="TableContents"/>
              <w:bidi w:val="0"/>
              <w:spacing w:before="0" w:after="283"/>
              <w:jc w:val="left"/>
              <w:rPr/>
            </w:pPr>
            <w:r>
              <w:rPr/>
              <w:t> </w:t>
            </w:r>
          </w:p>
        </w:tc>
      </w:tr>
      <w:tr>
        <w:trPr/>
        <w:tc>
          <w:tcPr>
            <w:tcW w:w="3185" w:type="dxa"/>
            <w:tcBorders/>
            <w:shd w:fill="CCEEFF" w:val="clear"/>
            <w:vAlign w:val="bottom"/>
          </w:tcPr>
          <w:p>
            <w:pPr>
              <w:pStyle w:val="TableContents"/>
              <w:bidi w:val="0"/>
              <w:spacing w:before="0" w:after="0"/>
              <w:ind w:left="504" w:right="0" w:hanging="144"/>
              <w:jc w:val="left"/>
              <w:rPr>
                <w:sz w:val="20"/>
              </w:rPr>
            </w:pPr>
            <w:r>
              <w:rPr>
                <w:sz w:val="20"/>
              </w:rPr>
              <w:t>Net servicing income</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sz w:val="20"/>
              </w:rPr>
            </w:pPr>
            <w:r>
              <w:rPr>
                <w:sz w:val="20"/>
              </w:rPr>
              <w:t>7,930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sz w:val="20"/>
              </w:rPr>
            </w:pPr>
            <w:r>
              <w:rPr>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bidi w:val="0"/>
              <w:spacing w:before="0" w:after="0"/>
              <w:jc w:val="right"/>
              <w:rPr>
                <w:sz w:val="20"/>
              </w:rPr>
            </w:pPr>
            <w:r>
              <w:rPr>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sz w:val="20"/>
              </w:rPr>
            </w:pPr>
            <w:r>
              <w:rPr>
                <w:sz w:val="20"/>
              </w:rPr>
              <w:t>7,930</w:t>
            </w:r>
          </w:p>
        </w:tc>
        <w:tc>
          <w:tcPr>
            <w:tcW w:w="95" w:type="dxa"/>
            <w:tcBorders/>
            <w:shd w:fill="CCEEFF" w:val="clear"/>
            <w:vAlign w:val="bottom"/>
          </w:tcPr>
          <w:p>
            <w:pPr>
              <w:pStyle w:val="TableContents"/>
              <w:bidi w:val="0"/>
              <w:spacing w:before="0" w:after="283"/>
              <w:jc w:val="left"/>
              <w:rPr/>
            </w:pPr>
            <w:r>
              <w:rPr/>
              <w:t> </w:t>
            </w:r>
          </w:p>
        </w:tc>
      </w:tr>
      <w:tr>
        <w:trPr/>
        <w:tc>
          <w:tcPr>
            <w:tcW w:w="3185" w:type="dxa"/>
            <w:tcBorders/>
            <w:vAlign w:val="bottom"/>
          </w:tcPr>
          <w:p>
            <w:pPr>
              <w:pStyle w:val="TableContents"/>
              <w:bidi w:val="0"/>
              <w:spacing w:before="0" w:after="0"/>
              <w:ind w:left="504" w:right="0" w:hanging="144"/>
              <w:jc w:val="left"/>
              <w:rPr>
                <w:sz w:val="20"/>
              </w:rPr>
            </w:pPr>
            <w:r>
              <w:rPr>
                <w:sz w:val="20"/>
              </w:rPr>
              <w:t xml:space="preserve">Other expense </w:t>
            </w:r>
            <w:r>
              <w:rPr>
                <w:position w:val="7"/>
                <w:sz w:val="16"/>
                <w:sz w:val="20"/>
              </w:rPr>
              <w:t>(A)</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sz w:val="20"/>
              </w:rPr>
            </w:pPr>
            <w:r>
              <w:rPr>
                <w:sz w:val="20"/>
              </w:rPr>
              <w:t>(1,657</w:t>
            </w:r>
          </w:p>
        </w:tc>
        <w:tc>
          <w:tcPr>
            <w:tcW w:w="80" w:type="dxa"/>
            <w:tcBorders/>
            <w:vAlign w:val="bottom"/>
          </w:tcPr>
          <w:p>
            <w:pPr>
              <w:pStyle w:val="TableContents"/>
              <w:bidi w:val="0"/>
              <w:spacing w:before="0" w:after="0"/>
              <w:jc w:val="left"/>
              <w:rPr>
                <w:sz w:val="20"/>
              </w:rPr>
            </w:pPr>
            <w:r>
              <w:rPr>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sz w:val="20"/>
              </w:rPr>
            </w:pPr>
            <w:r>
              <w:rPr>
                <w:sz w:val="20"/>
              </w:rPr>
              <w:t>(6,089</w:t>
            </w:r>
          </w:p>
        </w:tc>
        <w:tc>
          <w:tcPr>
            <w:tcW w:w="80" w:type="dxa"/>
            <w:tcBorders/>
            <w:vAlign w:val="bottom"/>
          </w:tcPr>
          <w:p>
            <w:pPr>
              <w:pStyle w:val="TableContents"/>
              <w:bidi w:val="0"/>
              <w:spacing w:before="0" w:after="0"/>
              <w:jc w:val="left"/>
              <w:rPr>
                <w:sz w:val="20"/>
              </w:rPr>
            </w:pPr>
            <w:r>
              <w:rPr>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45" w:type="dxa"/>
            <w:tcBorders/>
            <w:vAlign w:val="bottom"/>
          </w:tcPr>
          <w:p>
            <w:pPr>
              <w:pStyle w:val="TableContents"/>
              <w:bidi w:val="0"/>
              <w:spacing w:before="0" w:after="0"/>
              <w:jc w:val="right"/>
              <w:rPr>
                <w:sz w:val="20"/>
              </w:rPr>
            </w:pPr>
            <w:r>
              <w:rPr>
                <w:sz w:val="2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sz w:val="20"/>
              </w:rPr>
            </w:pPr>
            <w:r>
              <w:rPr>
                <w:sz w:val="20"/>
              </w:rPr>
              <w:t>(7,746</w:t>
            </w:r>
          </w:p>
        </w:tc>
        <w:tc>
          <w:tcPr>
            <w:tcW w:w="95" w:type="dxa"/>
            <w:tcBorders/>
            <w:vAlign w:val="bottom"/>
          </w:tcPr>
          <w:p>
            <w:pPr>
              <w:pStyle w:val="TableContents"/>
              <w:bidi w:val="0"/>
              <w:spacing w:before="0" w:after="0"/>
              <w:jc w:val="left"/>
              <w:rPr>
                <w:sz w:val="20"/>
              </w:rPr>
            </w:pPr>
            <w:r>
              <w:rPr>
                <w:sz w:val="20"/>
              </w:rPr>
              <w:t>)</w:t>
            </w:r>
          </w:p>
        </w:tc>
      </w:tr>
      <w:tr>
        <w:trPr/>
        <w:tc>
          <w:tcPr>
            <w:tcW w:w="3185" w:type="dxa"/>
            <w:tcBorders/>
            <w:shd w:fill="CCEEFF" w:val="clear"/>
            <w:vAlign w:val="bottom"/>
          </w:tcPr>
          <w:p>
            <w:pPr>
              <w:pStyle w:val="TableContents"/>
              <w:bidi w:val="0"/>
              <w:spacing w:lineRule="auto" w:line="240" w:before="0" w:after="0"/>
              <w:ind w:left="504" w:right="0" w:hanging="144"/>
              <w:jc w:val="left"/>
              <w:rPr>
                <w:sz w:val="20"/>
              </w:rPr>
            </w:pPr>
            <w:r>
              <w:rPr>
                <w:sz w:val="20"/>
              </w:rPr>
              <w:t>Other operating expenses (B)</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sz w:val="20"/>
              </w:rPr>
            </w:pPr>
            <w:r>
              <w:rPr>
                <w:sz w:val="20"/>
              </w:rPr>
              <w:t>(834</w:t>
            </w:r>
          </w:p>
        </w:tc>
        <w:tc>
          <w:tcPr>
            <w:tcW w:w="80" w:type="dxa"/>
            <w:tcBorders/>
            <w:shd w:fill="CCEEFF" w:val="clear"/>
            <w:vAlign w:val="bottom"/>
          </w:tcPr>
          <w:p>
            <w:pPr>
              <w:pStyle w:val="TableContents"/>
              <w:bidi w:val="0"/>
              <w:spacing w:before="0" w:after="0"/>
              <w:jc w:val="left"/>
              <w:rPr>
                <w:sz w:val="20"/>
              </w:rPr>
            </w:pPr>
            <w:r>
              <w:rPr>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sz w:val="20"/>
              </w:rPr>
            </w:pPr>
            <w:r>
              <w:rPr>
                <w:sz w:val="20"/>
              </w:rPr>
              <w:t>(697</w:t>
            </w:r>
          </w:p>
        </w:tc>
        <w:tc>
          <w:tcPr>
            <w:tcW w:w="80" w:type="dxa"/>
            <w:tcBorders/>
            <w:shd w:fill="CCEEFF" w:val="clear"/>
            <w:vAlign w:val="bottom"/>
          </w:tcPr>
          <w:p>
            <w:pPr>
              <w:pStyle w:val="TableContents"/>
              <w:bidi w:val="0"/>
              <w:spacing w:before="0" w:after="0"/>
              <w:jc w:val="left"/>
              <w:rPr>
                <w:sz w:val="20"/>
              </w:rPr>
            </w:pPr>
            <w:r>
              <w:rPr>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bidi w:val="0"/>
              <w:spacing w:before="0" w:after="0"/>
              <w:jc w:val="right"/>
              <w:rPr>
                <w:sz w:val="20"/>
              </w:rPr>
            </w:pPr>
            <w:r>
              <w:rPr>
                <w:sz w:val="20"/>
              </w:rPr>
              <w:t>(1,741</w:t>
            </w:r>
          </w:p>
        </w:tc>
        <w:tc>
          <w:tcPr>
            <w:tcW w:w="80" w:type="dxa"/>
            <w:tcBorders/>
            <w:shd w:fill="CCEEFF" w:val="clear"/>
            <w:vAlign w:val="bottom"/>
          </w:tcPr>
          <w:p>
            <w:pPr>
              <w:pStyle w:val="TableContents"/>
              <w:bidi w:val="0"/>
              <w:spacing w:before="0" w:after="0"/>
              <w:jc w:val="left"/>
              <w:rPr>
                <w:sz w:val="20"/>
              </w:rPr>
            </w:pPr>
            <w:r>
              <w:rPr>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sz w:val="20"/>
              </w:rPr>
            </w:pPr>
            <w:r>
              <w:rPr>
                <w:sz w:val="20"/>
              </w:rPr>
              <w:t>(3,272</w:t>
            </w:r>
          </w:p>
        </w:tc>
        <w:tc>
          <w:tcPr>
            <w:tcW w:w="95" w:type="dxa"/>
            <w:tcBorders/>
            <w:shd w:fill="CCEEFF" w:val="clear"/>
            <w:vAlign w:val="bottom"/>
          </w:tcPr>
          <w:p>
            <w:pPr>
              <w:pStyle w:val="TableContents"/>
              <w:bidi w:val="0"/>
              <w:spacing w:before="0" w:after="0"/>
              <w:jc w:val="left"/>
              <w:rPr>
                <w:sz w:val="20"/>
              </w:rPr>
            </w:pPr>
            <w:r>
              <w:rPr>
                <w:sz w:val="20"/>
              </w:rPr>
              <w:t>)</w:t>
            </w:r>
          </w:p>
        </w:tc>
      </w:tr>
      <w:tr>
        <w:trPr/>
        <w:tc>
          <w:tcPr>
            <w:tcW w:w="3185" w:type="dxa"/>
            <w:tcBorders/>
            <w:vAlign w:val="bottom"/>
          </w:tcPr>
          <w:p>
            <w:pPr>
              <w:pStyle w:val="TableContents"/>
              <w:bidi w:val="0"/>
              <w:spacing w:before="0" w:after="0"/>
              <w:ind w:left="504" w:right="0" w:hanging="144"/>
              <w:jc w:val="left"/>
              <w:rPr>
                <w:sz w:val="20"/>
              </w:rPr>
            </w:pPr>
            <w:r>
              <w:rPr>
                <w:sz w:val="20"/>
              </w:rPr>
              <w:t>Provision for corporate business taxes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sz w:val="20"/>
              </w:rPr>
            </w:pPr>
            <w:r>
              <w:rPr>
                <w:sz w:val="20"/>
              </w:rPr>
              <w:t>(939</w:t>
            </w:r>
          </w:p>
        </w:tc>
        <w:tc>
          <w:tcPr>
            <w:tcW w:w="80" w:type="dxa"/>
            <w:tcBorders/>
            <w:vAlign w:val="bottom"/>
          </w:tcPr>
          <w:p>
            <w:pPr>
              <w:pStyle w:val="TableContents"/>
              <w:bidi w:val="0"/>
              <w:spacing w:before="0" w:after="0"/>
              <w:jc w:val="left"/>
              <w:rPr>
                <w:sz w:val="20"/>
              </w:rPr>
            </w:pPr>
            <w:r>
              <w:rPr>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sz w:val="20"/>
              </w:rPr>
            </w:pPr>
            <w:r>
              <w:rPr>
                <w:sz w:val="2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45" w:type="dxa"/>
            <w:tcBorders/>
            <w:vAlign w:val="bottom"/>
          </w:tcPr>
          <w:p>
            <w:pPr>
              <w:pStyle w:val="TableContents"/>
              <w:bidi w:val="0"/>
              <w:spacing w:before="0" w:after="0"/>
              <w:jc w:val="right"/>
              <w:rPr>
                <w:sz w:val="20"/>
              </w:rPr>
            </w:pPr>
            <w:r>
              <w:rPr>
                <w:sz w:val="2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sz w:val="20"/>
              </w:rPr>
            </w:pPr>
            <w:r>
              <w:rPr>
                <w:sz w:val="20"/>
              </w:rPr>
              <w:t>(939</w:t>
            </w:r>
          </w:p>
        </w:tc>
        <w:tc>
          <w:tcPr>
            <w:tcW w:w="95" w:type="dxa"/>
            <w:tcBorders/>
            <w:vAlign w:val="bottom"/>
          </w:tcPr>
          <w:p>
            <w:pPr>
              <w:pStyle w:val="TableContents"/>
              <w:bidi w:val="0"/>
              <w:spacing w:before="0" w:after="0"/>
              <w:jc w:val="left"/>
              <w:rPr>
                <w:sz w:val="20"/>
              </w:rPr>
            </w:pPr>
            <w:r>
              <w:rPr>
                <w:sz w:val="20"/>
              </w:rPr>
              <w:t>)</w:t>
            </w:r>
          </w:p>
        </w:tc>
      </w:tr>
      <w:tr>
        <w:trPr/>
        <w:tc>
          <w:tcPr>
            <w:tcW w:w="3185" w:type="dxa"/>
            <w:tcBorders/>
            <w:shd w:fill="CCEEFF" w:val="clear"/>
            <w:vAlign w:val="bottom"/>
          </w:tcPr>
          <w:p>
            <w:pPr>
              <w:pStyle w:val="TableContents"/>
              <w:bidi w:val="0"/>
              <w:spacing w:before="0" w:after="0"/>
              <w:ind w:left="504" w:right="0" w:hanging="144"/>
              <w:jc w:val="left"/>
              <w:rPr>
                <w:sz w:val="20"/>
              </w:rPr>
            </w:pPr>
            <w:r>
              <w:rPr>
                <w:sz w:val="20"/>
              </w:rPr>
              <w:t>Net other comprehensive loss</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bottom"/>
          </w:tcPr>
          <w:p>
            <w:pPr>
              <w:pStyle w:val="TableContents"/>
              <w:bidi w:val="0"/>
              <w:spacing w:before="0" w:after="0"/>
              <w:jc w:val="right"/>
              <w:rPr>
                <w:sz w:val="20"/>
              </w:rPr>
            </w:pPr>
            <w:r>
              <w:rPr>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bottom"/>
          </w:tcPr>
          <w:p>
            <w:pPr>
              <w:pStyle w:val="TableContents"/>
              <w:bidi w:val="0"/>
              <w:spacing w:before="0" w:after="0"/>
              <w:jc w:val="right"/>
              <w:rPr>
                <w:sz w:val="20"/>
              </w:rPr>
            </w:pPr>
            <w:r>
              <w:rPr>
                <w:sz w:val="20"/>
              </w:rPr>
              <w:t>(2,442</w:t>
            </w:r>
          </w:p>
        </w:tc>
        <w:tc>
          <w:tcPr>
            <w:tcW w:w="80" w:type="dxa"/>
            <w:tcBorders/>
            <w:shd w:fill="CCEEFF" w:val="clear"/>
            <w:vAlign w:val="bottom"/>
          </w:tcPr>
          <w:p>
            <w:pPr>
              <w:pStyle w:val="TableContents"/>
              <w:bidi w:val="0"/>
              <w:spacing w:before="0" w:after="0"/>
              <w:jc w:val="left"/>
              <w:rPr>
                <w:sz w:val="20"/>
              </w:rPr>
            </w:pPr>
            <w:r>
              <w:rPr>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45" w:type="dxa"/>
            <w:tcBorders>
              <w:bottom w:val="single" w:sz="12" w:space="0" w:color="000000"/>
            </w:tcBorders>
            <w:shd w:fill="CCEEFF" w:val="clear"/>
            <w:tcMar>
              <w:bottom w:w="28" w:type="dxa"/>
            </w:tcMar>
            <w:vAlign w:val="bottom"/>
          </w:tcPr>
          <w:p>
            <w:pPr>
              <w:pStyle w:val="TableContents"/>
              <w:bidi w:val="0"/>
              <w:spacing w:before="0" w:after="0"/>
              <w:jc w:val="right"/>
              <w:rPr>
                <w:sz w:val="20"/>
              </w:rPr>
            </w:pPr>
            <w:r>
              <w:rPr>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bottom"/>
          </w:tcPr>
          <w:p>
            <w:pPr>
              <w:pStyle w:val="TableContents"/>
              <w:bidi w:val="0"/>
              <w:spacing w:before="0" w:after="0"/>
              <w:jc w:val="right"/>
              <w:rPr>
                <w:sz w:val="20"/>
              </w:rPr>
            </w:pPr>
            <w:r>
              <w:rPr>
                <w:sz w:val="20"/>
              </w:rPr>
              <w:t>(2,442</w:t>
            </w:r>
          </w:p>
        </w:tc>
        <w:tc>
          <w:tcPr>
            <w:tcW w:w="95" w:type="dxa"/>
            <w:tcBorders/>
            <w:shd w:fill="CCEEFF" w:val="clear"/>
            <w:vAlign w:val="bottom"/>
          </w:tcPr>
          <w:p>
            <w:pPr>
              <w:pStyle w:val="TableContents"/>
              <w:bidi w:val="0"/>
              <w:spacing w:before="0" w:after="0"/>
              <w:jc w:val="left"/>
              <w:rPr>
                <w:sz w:val="20"/>
              </w:rPr>
            </w:pPr>
            <w:r>
              <w:rPr>
                <w:sz w:val="20"/>
              </w:rPr>
              <w:t>)</w:t>
            </w:r>
          </w:p>
        </w:tc>
      </w:tr>
      <w:tr>
        <w:trPr/>
        <w:tc>
          <w:tcPr>
            <w:tcW w:w="3185" w:type="dxa"/>
            <w:tcBorders/>
            <w:vAlign w:val="bottom"/>
          </w:tcPr>
          <w:p>
            <w:pPr>
              <w:pStyle w:val="TableContents"/>
              <w:bidi w:val="0"/>
              <w:spacing w:before="0" w:after="0"/>
              <w:ind w:left="504" w:right="0" w:hanging="144"/>
              <w:jc w:val="left"/>
              <w:rPr>
                <w:sz w:val="20"/>
              </w:rPr>
            </w:pPr>
            <w:r>
              <w:rPr>
                <w:sz w:val="20"/>
              </w:rPr>
              <w:t>Comprehensive income (loss)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sz w:val="20"/>
              </w:rPr>
            </w:pPr>
            <w:r>
              <w:rPr>
                <w:sz w:val="20"/>
              </w:rPr>
              <w:t>$</w:t>
            </w:r>
          </w:p>
        </w:tc>
        <w:tc>
          <w:tcPr>
            <w:tcW w:w="590" w:type="dxa"/>
            <w:tcBorders/>
            <w:vAlign w:val="bottom"/>
          </w:tcPr>
          <w:p>
            <w:pPr>
              <w:pStyle w:val="TableContents"/>
              <w:bidi w:val="0"/>
              <w:spacing w:before="0" w:after="0"/>
              <w:jc w:val="right"/>
              <w:rPr>
                <w:sz w:val="20"/>
              </w:rPr>
            </w:pPr>
            <w:r>
              <w:rPr>
                <w:sz w:val="20"/>
              </w:rPr>
              <w:t>3,955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sz w:val="20"/>
              </w:rPr>
            </w:pPr>
            <w:r>
              <w:rPr>
                <w:sz w:val="20"/>
              </w:rPr>
              <w:t>$</w:t>
            </w:r>
          </w:p>
        </w:tc>
        <w:tc>
          <w:tcPr>
            <w:tcW w:w="590" w:type="dxa"/>
            <w:tcBorders/>
            <w:vAlign w:val="bottom"/>
          </w:tcPr>
          <w:p>
            <w:pPr>
              <w:pStyle w:val="TableContents"/>
              <w:bidi w:val="0"/>
              <w:spacing w:before="0" w:after="0"/>
              <w:jc w:val="right"/>
              <w:rPr>
                <w:sz w:val="20"/>
              </w:rPr>
            </w:pPr>
            <w:r>
              <w:rPr>
                <w:sz w:val="20"/>
              </w:rPr>
              <w:t>(4,227</w:t>
            </w:r>
          </w:p>
        </w:tc>
        <w:tc>
          <w:tcPr>
            <w:tcW w:w="80" w:type="dxa"/>
            <w:tcBorders/>
            <w:vAlign w:val="bottom"/>
          </w:tcPr>
          <w:p>
            <w:pPr>
              <w:pStyle w:val="TableContents"/>
              <w:bidi w:val="0"/>
              <w:spacing w:before="0" w:after="0"/>
              <w:jc w:val="left"/>
              <w:rPr>
                <w:sz w:val="20"/>
              </w:rPr>
            </w:pPr>
            <w:r>
              <w:rPr>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sz w:val="20"/>
              </w:rPr>
            </w:pPr>
            <w:r>
              <w:rPr>
                <w:sz w:val="20"/>
              </w:rPr>
              <w:t>$</w:t>
            </w:r>
          </w:p>
        </w:tc>
        <w:tc>
          <w:tcPr>
            <w:tcW w:w="545" w:type="dxa"/>
            <w:tcBorders/>
            <w:vAlign w:val="bottom"/>
          </w:tcPr>
          <w:p>
            <w:pPr>
              <w:pStyle w:val="TableContents"/>
              <w:bidi w:val="0"/>
              <w:spacing w:before="0" w:after="0"/>
              <w:jc w:val="right"/>
              <w:rPr>
                <w:sz w:val="20"/>
              </w:rPr>
            </w:pPr>
            <w:r>
              <w:rPr>
                <w:sz w:val="20"/>
              </w:rPr>
              <w:t>(1,741</w:t>
            </w:r>
          </w:p>
        </w:tc>
        <w:tc>
          <w:tcPr>
            <w:tcW w:w="80" w:type="dxa"/>
            <w:tcBorders/>
            <w:vAlign w:val="bottom"/>
          </w:tcPr>
          <w:p>
            <w:pPr>
              <w:pStyle w:val="TableContents"/>
              <w:bidi w:val="0"/>
              <w:spacing w:before="0" w:after="0"/>
              <w:jc w:val="left"/>
              <w:rPr>
                <w:sz w:val="20"/>
              </w:rPr>
            </w:pPr>
            <w:r>
              <w:rPr>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sz w:val="20"/>
              </w:rPr>
            </w:pPr>
            <w:r>
              <w:rPr>
                <w:sz w:val="20"/>
              </w:rPr>
              <w:t>$</w:t>
            </w:r>
          </w:p>
        </w:tc>
        <w:tc>
          <w:tcPr>
            <w:tcW w:w="590" w:type="dxa"/>
            <w:tcBorders/>
            <w:vAlign w:val="bottom"/>
          </w:tcPr>
          <w:p>
            <w:pPr>
              <w:pStyle w:val="TableContents"/>
              <w:bidi w:val="0"/>
              <w:spacing w:before="0" w:after="0"/>
              <w:jc w:val="right"/>
              <w:rPr>
                <w:sz w:val="20"/>
              </w:rPr>
            </w:pPr>
            <w:r>
              <w:rPr>
                <w:sz w:val="20"/>
              </w:rPr>
              <w:t>(2,013</w:t>
            </w:r>
          </w:p>
        </w:tc>
        <w:tc>
          <w:tcPr>
            <w:tcW w:w="95" w:type="dxa"/>
            <w:tcBorders/>
            <w:vAlign w:val="bottom"/>
          </w:tcPr>
          <w:p>
            <w:pPr>
              <w:pStyle w:val="TableContents"/>
              <w:bidi w:val="0"/>
              <w:spacing w:before="0" w:after="0"/>
              <w:jc w:val="left"/>
              <w:rPr>
                <w:sz w:val="20"/>
              </w:rPr>
            </w:pPr>
            <w:r>
              <w:rPr>
                <w:sz w:val="20"/>
              </w:rPr>
              <w:t>)</w:t>
            </w:r>
          </w:p>
        </w:tc>
      </w:tr>
    </w:tbl>
    <w:tbl>
      <w:tblPr>
        <w:tblW w:w="6605" w:type="dxa"/>
        <w:jc w:val="left"/>
        <w:tblInd w:w="0" w:type="dxa"/>
        <w:tblLayout w:type="fixed"/>
        <w:tblCellMar>
          <w:top w:w="0" w:type="dxa"/>
          <w:left w:w="0" w:type="dxa"/>
          <w:bottom w:w="0" w:type="dxa"/>
          <w:right w:w="0" w:type="dxa"/>
        </w:tblCellMar>
      </w:tblPr>
      <w:tblGrid>
        <w:gridCol w:w="3170"/>
        <w:gridCol w:w="60"/>
        <w:gridCol w:w="125"/>
        <w:gridCol w:w="590"/>
        <w:gridCol w:w="80"/>
        <w:gridCol w:w="60"/>
        <w:gridCol w:w="125"/>
        <w:gridCol w:w="590"/>
        <w:gridCol w:w="80"/>
        <w:gridCol w:w="60"/>
        <w:gridCol w:w="125"/>
        <w:gridCol w:w="545"/>
        <w:gridCol w:w="80"/>
        <w:gridCol w:w="60"/>
        <w:gridCol w:w="125"/>
        <w:gridCol w:w="650"/>
        <w:gridCol w:w="80"/>
      </w:tblGrid>
      <w:tr>
        <w:trPr/>
        <w:tc>
          <w:tcPr>
            <w:tcW w:w="317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5" w:type="dxa"/>
            <w:gridSpan w:val="2"/>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5" w:type="dxa"/>
            <w:gridSpan w:val="2"/>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70" w:type="dxa"/>
            <w:gridSpan w:val="2"/>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5" w:type="dxa"/>
            <w:gridSpan w:val="2"/>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r>
      <w:tr>
        <w:trPr/>
        <w:tc>
          <w:tcPr>
            <w:tcW w:w="3170" w:type="dxa"/>
            <w:tcBorders/>
            <w:vAlign w:val="bottom"/>
          </w:tcPr>
          <w:p>
            <w:pPr>
              <w:pStyle w:val="TableContents"/>
              <w:bidi w:val="0"/>
              <w:spacing w:before="0" w:after="0"/>
              <w:ind w:left="180" w:right="0" w:hanging="0"/>
              <w:jc w:val="left"/>
              <w:rPr>
                <w:rFonts w:ascii="Times New Roman" w:hAnsi="Times New Roman"/>
                <w:b/>
                <w:sz w:val="20"/>
              </w:rPr>
            </w:pPr>
            <w:r>
              <w:rPr>
                <w:rFonts w:ascii="Times New Roman" w:hAnsi="Times New Roman"/>
                <w:b/>
                <w:sz w:val="20"/>
              </w:rPr>
              <w:t>Six Months Ended June 30, 2026</w:t>
            </w:r>
          </w:p>
        </w:tc>
        <w:tc>
          <w:tcPr>
            <w:tcW w:w="60" w:type="dxa"/>
            <w:tcBorders/>
            <w:vAlign w:val="bottom"/>
          </w:tcPr>
          <w:p>
            <w:pPr>
              <w:pStyle w:val="TableContents"/>
              <w:bidi w:val="0"/>
              <w:spacing w:before="0" w:after="283"/>
              <w:jc w:val="left"/>
              <w:rPr/>
            </w:pPr>
            <w:r>
              <w:rPr/>
              <w:t> </w:t>
            </w:r>
          </w:p>
        </w:tc>
        <w:tc>
          <w:tcPr>
            <w:tcW w:w="715"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7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5"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r>
      <w:tr>
        <w:trPr/>
        <w:tc>
          <w:tcPr>
            <w:tcW w:w="3170" w:type="dxa"/>
            <w:tcBorders/>
            <w:shd w:fill="CCEEFF" w:val="clear"/>
            <w:vAlign w:val="bottom"/>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Interest income</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105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30,485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30,590</w:t>
            </w:r>
          </w:p>
        </w:tc>
        <w:tc>
          <w:tcPr>
            <w:tcW w:w="80" w:type="dxa"/>
            <w:tcBorders/>
            <w:shd w:fill="CCEEFF" w:val="clear"/>
            <w:vAlign w:val="bottom"/>
          </w:tcPr>
          <w:p>
            <w:pPr>
              <w:pStyle w:val="TableContents"/>
              <w:bidi w:val="0"/>
              <w:spacing w:before="0" w:after="283"/>
              <w:jc w:val="left"/>
              <w:rPr/>
            </w:pPr>
            <w:r>
              <w:rPr/>
              <w:t> </w:t>
            </w:r>
          </w:p>
        </w:tc>
      </w:tr>
      <w:tr>
        <w:trPr/>
        <w:tc>
          <w:tcPr>
            <w:tcW w:w="3170" w:type="dxa"/>
            <w:tcBorders/>
            <w:vAlign w:val="bottom"/>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Interest expense</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849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20,549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4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21,398</w:t>
            </w:r>
          </w:p>
        </w:tc>
        <w:tc>
          <w:tcPr>
            <w:tcW w:w="80" w:type="dxa"/>
            <w:tcBorders/>
            <w:vAlign w:val="bottom"/>
          </w:tcPr>
          <w:p>
            <w:pPr>
              <w:pStyle w:val="TableContents"/>
              <w:bidi w:val="0"/>
              <w:spacing w:before="0" w:after="283"/>
              <w:jc w:val="left"/>
              <w:rPr/>
            </w:pPr>
            <w:r>
              <w:rPr/>
              <w:t> </w:t>
            </w:r>
          </w:p>
        </w:tc>
      </w:tr>
      <w:tr>
        <w:trPr/>
        <w:tc>
          <w:tcPr>
            <w:tcW w:w="3170" w:type="dxa"/>
            <w:tcBorders/>
            <w:shd w:fill="CCEEFF" w:val="clear"/>
            <w:vAlign w:val="bottom"/>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Net interest income (expense)</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(744</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9,936</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9,192</w:t>
            </w:r>
          </w:p>
        </w:tc>
        <w:tc>
          <w:tcPr>
            <w:tcW w:w="80" w:type="dxa"/>
            <w:tcBorders/>
            <w:shd w:fill="CCEEFF" w:val="clear"/>
            <w:vAlign w:val="bottom"/>
          </w:tcPr>
          <w:p>
            <w:pPr>
              <w:pStyle w:val="TableContents"/>
              <w:bidi w:val="0"/>
              <w:spacing w:before="0" w:after="283"/>
              <w:jc w:val="left"/>
              <w:rPr/>
            </w:pPr>
            <w:r>
              <w:rPr/>
              <w:t> </w:t>
            </w:r>
          </w:p>
        </w:tc>
      </w:tr>
      <w:tr>
        <w:trPr/>
        <w:tc>
          <w:tcPr>
            <w:tcW w:w="3170" w:type="dxa"/>
            <w:tcBorders/>
            <w:vAlign w:val="bottom"/>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Servicing fee income</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19,911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19,911</w:t>
            </w:r>
          </w:p>
        </w:tc>
        <w:tc>
          <w:tcPr>
            <w:tcW w:w="80" w:type="dxa"/>
            <w:tcBorders/>
            <w:vAlign w:val="bottom"/>
          </w:tcPr>
          <w:p>
            <w:pPr>
              <w:pStyle w:val="TableContents"/>
              <w:bidi w:val="0"/>
              <w:spacing w:before="0" w:after="283"/>
              <w:jc w:val="left"/>
              <w:rPr/>
            </w:pPr>
            <w:r>
              <w:rPr/>
              <w:t> </w:t>
            </w:r>
          </w:p>
        </w:tc>
      </w:tr>
      <w:tr>
        <w:trPr/>
        <w:tc>
          <w:tcPr>
            <w:tcW w:w="3170" w:type="dxa"/>
            <w:tcBorders/>
            <w:shd w:fill="CCEEFF" w:val="clear"/>
            <w:vAlign w:val="bottom"/>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Servicing costs</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4,608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4,608</w:t>
            </w:r>
          </w:p>
        </w:tc>
        <w:tc>
          <w:tcPr>
            <w:tcW w:w="80" w:type="dxa"/>
            <w:tcBorders/>
            <w:shd w:fill="CCEEFF" w:val="clear"/>
            <w:vAlign w:val="bottom"/>
          </w:tcPr>
          <w:p>
            <w:pPr>
              <w:pStyle w:val="TableContents"/>
              <w:bidi w:val="0"/>
              <w:spacing w:before="0" w:after="283"/>
              <w:jc w:val="left"/>
              <w:rPr/>
            </w:pPr>
            <w:r>
              <w:rPr/>
              <w:t> </w:t>
            </w:r>
          </w:p>
        </w:tc>
      </w:tr>
      <w:tr>
        <w:trPr/>
        <w:tc>
          <w:tcPr>
            <w:tcW w:w="3170" w:type="dxa"/>
            <w:tcBorders/>
            <w:vAlign w:val="bottom"/>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Net servicing income</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15,303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15,303</w:t>
            </w:r>
          </w:p>
        </w:tc>
        <w:tc>
          <w:tcPr>
            <w:tcW w:w="80" w:type="dxa"/>
            <w:tcBorders/>
            <w:vAlign w:val="bottom"/>
          </w:tcPr>
          <w:p>
            <w:pPr>
              <w:pStyle w:val="TableContents"/>
              <w:bidi w:val="0"/>
              <w:spacing w:before="0" w:after="283"/>
              <w:jc w:val="left"/>
              <w:rPr/>
            </w:pPr>
            <w:r>
              <w:rPr/>
              <w:t> </w:t>
            </w:r>
          </w:p>
        </w:tc>
      </w:tr>
      <w:tr>
        <w:trPr/>
        <w:tc>
          <w:tcPr>
            <w:tcW w:w="3170" w:type="dxa"/>
            <w:tcBorders/>
            <w:shd w:fill="CCEEFF" w:val="clear"/>
            <w:vAlign w:val="bottom"/>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Other expense (A)</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(7,199</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(4,778</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(11,977</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3170" w:type="dxa"/>
            <w:tcBorders/>
            <w:vAlign w:val="bottom"/>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 xml:space="preserve">Other operating expenses </w:t>
            </w:r>
            <w:r>
              <w:rPr>
                <w:rFonts w:ascii="Times New Roman" w:hAnsi="Times New Roman"/>
                <w:position w:val="7"/>
                <w:sz w:val="16"/>
                <w:sz w:val="20"/>
              </w:rPr>
              <w:t>(B)</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(1,908</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(1,417</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(3,964</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(7,289</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3170" w:type="dxa"/>
            <w:tcBorders/>
            <w:shd w:fill="CCEEFF" w:val="clear"/>
            <w:vAlign w:val="bottom"/>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Provision for corporate business taxes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(1,006</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(1,006</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3170" w:type="dxa"/>
            <w:tcBorders/>
            <w:vAlign w:val="bottom"/>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Net other comprehensive income (loss)</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(1,940</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4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(1,940</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3170" w:type="dxa"/>
            <w:tcBorders/>
            <w:shd w:fill="CCEEFF" w:val="clear"/>
            <w:vAlign w:val="bottom"/>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Comprehensive income (loss)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4,446</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1,801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(3,964</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2,283</w:t>
            </w:r>
          </w:p>
        </w:tc>
        <w:tc>
          <w:tcPr>
            <w:tcW w:w="80" w:type="dxa"/>
            <w:tcBorders/>
            <w:shd w:fill="CCEEFF" w:val="clear"/>
            <w:vAlign w:val="bottom"/>
          </w:tcPr>
          <w:p>
            <w:pPr>
              <w:pStyle w:val="TableContents"/>
              <w:bidi w:val="0"/>
              <w:spacing w:before="0" w:after="283"/>
              <w:jc w:val="left"/>
              <w:rPr/>
            </w:pPr>
            <w:r>
              <w:rPr/>
              <w:t> </w:t>
            </w:r>
          </w:p>
        </w:tc>
      </w:tr>
    </w:tbl>
    <w:tbl>
      <w:tblPr>
        <w:tblW w:w="6605" w:type="dxa"/>
        <w:jc w:val="left"/>
        <w:tblInd w:w="0" w:type="dxa"/>
        <w:tblLayout w:type="fixed"/>
        <w:tblCellMar>
          <w:top w:w="0" w:type="dxa"/>
          <w:left w:w="0" w:type="dxa"/>
          <w:bottom w:w="0" w:type="dxa"/>
          <w:right w:w="0" w:type="dxa"/>
        </w:tblCellMar>
      </w:tblPr>
      <w:tblGrid>
        <w:gridCol w:w="3095"/>
        <w:gridCol w:w="60"/>
        <w:gridCol w:w="125"/>
        <w:gridCol w:w="590"/>
        <w:gridCol w:w="80"/>
        <w:gridCol w:w="60"/>
        <w:gridCol w:w="125"/>
        <w:gridCol w:w="650"/>
        <w:gridCol w:w="80"/>
        <w:gridCol w:w="60"/>
        <w:gridCol w:w="125"/>
        <w:gridCol w:w="545"/>
        <w:gridCol w:w="80"/>
        <w:gridCol w:w="60"/>
        <w:gridCol w:w="125"/>
        <w:gridCol w:w="650"/>
        <w:gridCol w:w="95"/>
      </w:tblGrid>
      <w:tr>
        <w:trPr/>
        <w:tc>
          <w:tcPr>
            <w:tcW w:w="30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4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3095" w:type="dxa"/>
            <w:tcBorders/>
            <w:shd w:fill="CCEEFF" w:val="clear"/>
            <w:vAlign w:val="bottom"/>
          </w:tcPr>
          <w:p>
            <w:pPr>
              <w:pStyle w:val="TableContents"/>
              <w:bidi w:val="0"/>
              <w:spacing w:before="0" w:after="0"/>
              <w:ind w:left="324" w:right="0" w:hanging="144"/>
              <w:jc w:val="left"/>
              <w:rPr>
                <w:b/>
                <w:sz w:val="20"/>
              </w:rPr>
            </w:pPr>
            <w:r>
              <w:rPr>
                <w:b/>
                <w:sz w:val="20"/>
              </w:rPr>
              <w:t>Six Months Ended June 30, 2025</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3095" w:type="dxa"/>
            <w:tcBorders/>
            <w:vAlign w:val="bottom"/>
          </w:tcPr>
          <w:p>
            <w:pPr>
              <w:pStyle w:val="TableContents"/>
              <w:bidi w:val="0"/>
              <w:spacing w:before="0" w:after="0"/>
              <w:ind w:left="504" w:right="0" w:hanging="144"/>
              <w:jc w:val="left"/>
              <w:rPr>
                <w:sz w:val="20"/>
              </w:rPr>
            </w:pPr>
            <w:r>
              <w:rPr>
                <w:sz w:val="20"/>
              </w:rPr>
              <w:t>Interest income</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sz w:val="20"/>
              </w:rPr>
            </w:pPr>
            <w:r>
              <w:rPr>
                <w:sz w:val="20"/>
              </w:rPr>
              <w:t>$</w:t>
            </w:r>
          </w:p>
        </w:tc>
        <w:tc>
          <w:tcPr>
            <w:tcW w:w="590" w:type="dxa"/>
            <w:tcBorders/>
            <w:vAlign w:val="bottom"/>
          </w:tcPr>
          <w:p>
            <w:pPr>
              <w:pStyle w:val="TableContents"/>
              <w:bidi w:val="0"/>
              <w:spacing w:before="0" w:after="0"/>
              <w:jc w:val="right"/>
              <w:rPr>
                <w:sz w:val="20"/>
              </w:rPr>
            </w:pPr>
            <w:r>
              <w:rPr>
                <w:sz w:val="20"/>
              </w:rPr>
              <w:t>26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sz w:val="20"/>
              </w:rPr>
            </w:pPr>
            <w:r>
              <w:rPr>
                <w:sz w:val="20"/>
              </w:rPr>
              <w:t>$</w:t>
            </w:r>
          </w:p>
        </w:tc>
        <w:tc>
          <w:tcPr>
            <w:tcW w:w="650" w:type="dxa"/>
            <w:tcBorders/>
            <w:vAlign w:val="bottom"/>
          </w:tcPr>
          <w:p>
            <w:pPr>
              <w:pStyle w:val="TableContents"/>
              <w:bidi w:val="0"/>
              <w:spacing w:before="0" w:after="0"/>
              <w:jc w:val="right"/>
              <w:rPr>
                <w:sz w:val="20"/>
              </w:rPr>
            </w:pPr>
            <w:r>
              <w:rPr>
                <w:sz w:val="20"/>
              </w:rPr>
              <w:t>29,588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sz w:val="20"/>
              </w:rPr>
            </w:pPr>
            <w:r>
              <w:rPr>
                <w:sz w:val="20"/>
              </w:rPr>
              <w:t>$</w:t>
            </w:r>
          </w:p>
        </w:tc>
        <w:tc>
          <w:tcPr>
            <w:tcW w:w="545" w:type="dxa"/>
            <w:tcBorders/>
            <w:vAlign w:val="bottom"/>
          </w:tcPr>
          <w:p>
            <w:pPr>
              <w:pStyle w:val="TableContents"/>
              <w:bidi w:val="0"/>
              <w:spacing w:before="0" w:after="0"/>
              <w:jc w:val="right"/>
              <w:rPr>
                <w:sz w:val="20"/>
              </w:rPr>
            </w:pPr>
            <w:r>
              <w:rPr>
                <w:sz w:val="2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sz w:val="20"/>
              </w:rPr>
            </w:pPr>
            <w:r>
              <w:rPr>
                <w:sz w:val="20"/>
              </w:rPr>
              <w:t>$</w:t>
            </w:r>
          </w:p>
        </w:tc>
        <w:tc>
          <w:tcPr>
            <w:tcW w:w="650" w:type="dxa"/>
            <w:tcBorders/>
            <w:vAlign w:val="bottom"/>
          </w:tcPr>
          <w:p>
            <w:pPr>
              <w:pStyle w:val="TableContents"/>
              <w:bidi w:val="0"/>
              <w:spacing w:before="0" w:after="0"/>
              <w:jc w:val="right"/>
              <w:rPr>
                <w:sz w:val="20"/>
              </w:rPr>
            </w:pPr>
            <w:r>
              <w:rPr>
                <w:sz w:val="20"/>
              </w:rPr>
              <w:t>29,614</w:t>
            </w:r>
          </w:p>
        </w:tc>
        <w:tc>
          <w:tcPr>
            <w:tcW w:w="95" w:type="dxa"/>
            <w:tcBorders/>
            <w:vAlign w:val="bottom"/>
          </w:tcPr>
          <w:p>
            <w:pPr>
              <w:pStyle w:val="TableContents"/>
              <w:bidi w:val="0"/>
              <w:spacing w:before="0" w:after="283"/>
              <w:jc w:val="left"/>
              <w:rPr/>
            </w:pPr>
            <w:r>
              <w:rPr/>
              <w:t> </w:t>
            </w:r>
          </w:p>
        </w:tc>
      </w:tr>
      <w:tr>
        <w:trPr/>
        <w:tc>
          <w:tcPr>
            <w:tcW w:w="3095" w:type="dxa"/>
            <w:tcBorders/>
            <w:shd w:fill="CCEEFF" w:val="clear"/>
            <w:vAlign w:val="bottom"/>
          </w:tcPr>
          <w:p>
            <w:pPr>
              <w:pStyle w:val="TableContents"/>
              <w:bidi w:val="0"/>
              <w:spacing w:before="0" w:after="0"/>
              <w:ind w:left="504" w:right="0" w:hanging="144"/>
              <w:jc w:val="left"/>
              <w:rPr>
                <w:sz w:val="20"/>
              </w:rPr>
            </w:pPr>
            <w:r>
              <w:rPr>
                <w:sz w:val="20"/>
              </w:rPr>
              <w:t>Interest expense</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bottom"/>
          </w:tcPr>
          <w:p>
            <w:pPr>
              <w:pStyle w:val="TableContents"/>
              <w:bidi w:val="0"/>
              <w:spacing w:before="0" w:after="0"/>
              <w:jc w:val="right"/>
              <w:rPr>
                <w:sz w:val="20"/>
              </w:rPr>
            </w:pPr>
            <w:r>
              <w:rPr>
                <w:sz w:val="20"/>
              </w:rPr>
              <w:t>1,086</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50" w:type="dxa"/>
            <w:tcBorders>
              <w:bottom w:val="single" w:sz="12" w:space="0" w:color="000000"/>
            </w:tcBorders>
            <w:shd w:fill="CCEEFF" w:val="clear"/>
            <w:tcMar>
              <w:bottom w:w="28" w:type="dxa"/>
            </w:tcMar>
            <w:vAlign w:val="bottom"/>
          </w:tcPr>
          <w:p>
            <w:pPr>
              <w:pStyle w:val="TableContents"/>
              <w:bidi w:val="0"/>
              <w:spacing w:before="0" w:after="0"/>
              <w:jc w:val="right"/>
              <w:rPr>
                <w:sz w:val="20"/>
              </w:rPr>
            </w:pPr>
            <w:r>
              <w:rPr>
                <w:sz w:val="20"/>
              </w:rPr>
              <w:t>23,721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45" w:type="dxa"/>
            <w:tcBorders>
              <w:bottom w:val="single" w:sz="12" w:space="0" w:color="000000"/>
            </w:tcBorders>
            <w:shd w:fill="CCEEFF" w:val="clear"/>
            <w:tcMar>
              <w:bottom w:w="28" w:type="dxa"/>
            </w:tcMar>
            <w:vAlign w:val="bottom"/>
          </w:tcPr>
          <w:p>
            <w:pPr>
              <w:pStyle w:val="TableContents"/>
              <w:bidi w:val="0"/>
              <w:spacing w:before="0" w:after="0"/>
              <w:jc w:val="right"/>
              <w:rPr>
                <w:sz w:val="20"/>
              </w:rPr>
            </w:pPr>
            <w:r>
              <w:rPr>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50" w:type="dxa"/>
            <w:tcBorders>
              <w:bottom w:val="single" w:sz="12" w:space="0" w:color="000000"/>
            </w:tcBorders>
            <w:shd w:fill="CCEEFF" w:val="clear"/>
            <w:tcMar>
              <w:bottom w:w="28" w:type="dxa"/>
            </w:tcMar>
            <w:vAlign w:val="bottom"/>
          </w:tcPr>
          <w:p>
            <w:pPr>
              <w:pStyle w:val="TableContents"/>
              <w:bidi w:val="0"/>
              <w:spacing w:before="0" w:after="0"/>
              <w:jc w:val="right"/>
              <w:rPr>
                <w:sz w:val="20"/>
              </w:rPr>
            </w:pPr>
            <w:r>
              <w:rPr>
                <w:sz w:val="20"/>
              </w:rPr>
              <w:t>24,807</w:t>
            </w:r>
          </w:p>
        </w:tc>
        <w:tc>
          <w:tcPr>
            <w:tcW w:w="95" w:type="dxa"/>
            <w:tcBorders/>
            <w:shd w:fill="CCEEFF" w:val="clear"/>
            <w:vAlign w:val="bottom"/>
          </w:tcPr>
          <w:p>
            <w:pPr>
              <w:pStyle w:val="TableContents"/>
              <w:bidi w:val="0"/>
              <w:spacing w:before="0" w:after="283"/>
              <w:jc w:val="left"/>
              <w:rPr/>
            </w:pPr>
            <w:r>
              <w:rPr/>
              <w:t> </w:t>
            </w:r>
          </w:p>
        </w:tc>
      </w:tr>
      <w:tr>
        <w:trPr/>
        <w:tc>
          <w:tcPr>
            <w:tcW w:w="3095" w:type="dxa"/>
            <w:tcBorders/>
            <w:vAlign w:val="bottom"/>
          </w:tcPr>
          <w:p>
            <w:pPr>
              <w:pStyle w:val="TableContents"/>
              <w:bidi w:val="0"/>
              <w:spacing w:before="0" w:after="0"/>
              <w:ind w:left="504" w:right="0" w:hanging="144"/>
              <w:jc w:val="left"/>
              <w:rPr>
                <w:sz w:val="20"/>
              </w:rPr>
            </w:pPr>
            <w:r>
              <w:rPr>
                <w:sz w:val="20"/>
              </w:rPr>
              <w:t>Net interest income (expense)</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sz w:val="20"/>
              </w:rPr>
            </w:pPr>
            <w:r>
              <w:rPr>
                <w:sz w:val="20"/>
              </w:rPr>
              <w:t>(1,060</w:t>
            </w:r>
          </w:p>
        </w:tc>
        <w:tc>
          <w:tcPr>
            <w:tcW w:w="80" w:type="dxa"/>
            <w:tcBorders/>
            <w:vAlign w:val="bottom"/>
          </w:tcPr>
          <w:p>
            <w:pPr>
              <w:pStyle w:val="TableContents"/>
              <w:bidi w:val="0"/>
              <w:spacing w:before="0" w:after="0"/>
              <w:jc w:val="left"/>
              <w:rPr>
                <w:sz w:val="20"/>
              </w:rPr>
            </w:pPr>
            <w:r>
              <w:rPr>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0"/>
              <w:jc w:val="right"/>
              <w:rPr>
                <w:sz w:val="20"/>
              </w:rPr>
            </w:pPr>
            <w:r>
              <w:rPr>
                <w:sz w:val="20"/>
              </w:rPr>
              <w:t>5,867</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45" w:type="dxa"/>
            <w:tcBorders/>
            <w:vAlign w:val="bottom"/>
          </w:tcPr>
          <w:p>
            <w:pPr>
              <w:pStyle w:val="TableContents"/>
              <w:bidi w:val="0"/>
              <w:spacing w:before="0" w:after="0"/>
              <w:jc w:val="right"/>
              <w:rPr>
                <w:sz w:val="20"/>
              </w:rPr>
            </w:pPr>
            <w:r>
              <w:rPr>
                <w:sz w:val="2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0"/>
              <w:jc w:val="right"/>
              <w:rPr>
                <w:sz w:val="20"/>
              </w:rPr>
            </w:pPr>
            <w:r>
              <w:rPr>
                <w:sz w:val="20"/>
              </w:rPr>
              <w:t>4,807</w:t>
            </w:r>
          </w:p>
        </w:tc>
        <w:tc>
          <w:tcPr>
            <w:tcW w:w="95" w:type="dxa"/>
            <w:tcBorders/>
            <w:vAlign w:val="bottom"/>
          </w:tcPr>
          <w:p>
            <w:pPr>
              <w:pStyle w:val="TableContents"/>
              <w:bidi w:val="0"/>
              <w:spacing w:before="0" w:after="283"/>
              <w:jc w:val="left"/>
              <w:rPr/>
            </w:pPr>
            <w:r>
              <w:rPr/>
              <w:t> </w:t>
            </w:r>
          </w:p>
        </w:tc>
      </w:tr>
      <w:tr>
        <w:trPr/>
        <w:tc>
          <w:tcPr>
            <w:tcW w:w="3095" w:type="dxa"/>
            <w:tcBorders/>
            <w:shd w:fill="CCEEFF" w:val="clear"/>
            <w:vAlign w:val="bottom"/>
          </w:tcPr>
          <w:p>
            <w:pPr>
              <w:pStyle w:val="TableContents"/>
              <w:bidi w:val="0"/>
              <w:spacing w:before="0" w:after="0"/>
              <w:ind w:left="504" w:right="0" w:hanging="144"/>
              <w:jc w:val="left"/>
              <w:rPr>
                <w:sz w:val="20"/>
              </w:rPr>
            </w:pPr>
            <w:r>
              <w:rPr>
                <w:sz w:val="20"/>
              </w:rPr>
              <w:t>Servicing fee income</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sz w:val="20"/>
              </w:rPr>
            </w:pPr>
            <w:r>
              <w:rPr>
                <w:sz w:val="20"/>
              </w:rPr>
              <w:t>21,906</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0"/>
              <w:jc w:val="right"/>
              <w:rPr>
                <w:sz w:val="20"/>
              </w:rPr>
            </w:pPr>
            <w:r>
              <w:rPr>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bidi w:val="0"/>
              <w:spacing w:before="0" w:after="0"/>
              <w:jc w:val="right"/>
              <w:rPr>
                <w:sz w:val="20"/>
              </w:rPr>
            </w:pPr>
            <w:r>
              <w:rPr>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0"/>
              <w:jc w:val="right"/>
              <w:rPr>
                <w:sz w:val="20"/>
              </w:rPr>
            </w:pPr>
            <w:r>
              <w:rPr>
                <w:sz w:val="20"/>
              </w:rPr>
              <w:t>21,906</w:t>
            </w:r>
          </w:p>
        </w:tc>
        <w:tc>
          <w:tcPr>
            <w:tcW w:w="95" w:type="dxa"/>
            <w:tcBorders/>
            <w:shd w:fill="CCEEFF" w:val="clear"/>
            <w:vAlign w:val="bottom"/>
          </w:tcPr>
          <w:p>
            <w:pPr>
              <w:pStyle w:val="TableContents"/>
              <w:bidi w:val="0"/>
              <w:spacing w:before="0" w:after="283"/>
              <w:jc w:val="left"/>
              <w:rPr/>
            </w:pPr>
            <w:r>
              <w:rPr/>
              <w:t> </w:t>
            </w:r>
          </w:p>
        </w:tc>
      </w:tr>
      <w:tr>
        <w:trPr/>
        <w:tc>
          <w:tcPr>
            <w:tcW w:w="3095" w:type="dxa"/>
            <w:tcBorders/>
            <w:vAlign w:val="bottom"/>
          </w:tcPr>
          <w:p>
            <w:pPr>
              <w:pStyle w:val="TableContents"/>
              <w:bidi w:val="0"/>
              <w:spacing w:before="0" w:after="0"/>
              <w:ind w:left="504" w:right="0" w:hanging="144"/>
              <w:jc w:val="left"/>
              <w:rPr>
                <w:sz w:val="20"/>
              </w:rPr>
            </w:pPr>
            <w:r>
              <w:rPr>
                <w:sz w:val="20"/>
              </w:rPr>
              <w:t>Servicing costs</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sz w:val="20"/>
              </w:rPr>
            </w:pPr>
            <w:r>
              <w:rPr>
                <w:sz w:val="20"/>
              </w:rPr>
              <w:t>4,497</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50" w:type="dxa"/>
            <w:tcBorders>
              <w:bottom w:val="single" w:sz="12" w:space="0" w:color="000000"/>
            </w:tcBorders>
            <w:tcMar>
              <w:bottom w:w="28" w:type="dxa"/>
            </w:tcMar>
            <w:vAlign w:val="bottom"/>
          </w:tcPr>
          <w:p>
            <w:pPr>
              <w:pStyle w:val="TableContents"/>
              <w:bidi w:val="0"/>
              <w:spacing w:before="0" w:after="0"/>
              <w:jc w:val="right"/>
              <w:rPr>
                <w:sz w:val="20"/>
              </w:rPr>
            </w:pPr>
            <w:r>
              <w:rPr>
                <w:sz w:val="2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45" w:type="dxa"/>
            <w:tcBorders>
              <w:bottom w:val="single" w:sz="12" w:space="0" w:color="000000"/>
            </w:tcBorders>
            <w:tcMar>
              <w:bottom w:w="28" w:type="dxa"/>
            </w:tcMar>
            <w:vAlign w:val="bottom"/>
          </w:tcPr>
          <w:p>
            <w:pPr>
              <w:pStyle w:val="TableContents"/>
              <w:bidi w:val="0"/>
              <w:spacing w:before="0" w:after="0"/>
              <w:jc w:val="right"/>
              <w:rPr>
                <w:sz w:val="20"/>
              </w:rPr>
            </w:pPr>
            <w:r>
              <w:rPr>
                <w:sz w:val="2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50" w:type="dxa"/>
            <w:tcBorders>
              <w:bottom w:val="single" w:sz="12" w:space="0" w:color="000000"/>
            </w:tcBorders>
            <w:tcMar>
              <w:bottom w:w="28" w:type="dxa"/>
            </w:tcMar>
            <w:vAlign w:val="bottom"/>
          </w:tcPr>
          <w:p>
            <w:pPr>
              <w:pStyle w:val="TableContents"/>
              <w:bidi w:val="0"/>
              <w:spacing w:before="0" w:after="0"/>
              <w:jc w:val="right"/>
              <w:rPr>
                <w:sz w:val="20"/>
              </w:rPr>
            </w:pPr>
            <w:r>
              <w:rPr>
                <w:sz w:val="20"/>
              </w:rPr>
              <w:t>4,497</w:t>
            </w:r>
          </w:p>
        </w:tc>
        <w:tc>
          <w:tcPr>
            <w:tcW w:w="95" w:type="dxa"/>
            <w:tcBorders/>
            <w:vAlign w:val="bottom"/>
          </w:tcPr>
          <w:p>
            <w:pPr>
              <w:pStyle w:val="TableContents"/>
              <w:bidi w:val="0"/>
              <w:spacing w:before="0" w:after="283"/>
              <w:jc w:val="left"/>
              <w:rPr/>
            </w:pPr>
            <w:r>
              <w:rPr/>
              <w:t> </w:t>
            </w:r>
          </w:p>
        </w:tc>
      </w:tr>
      <w:tr>
        <w:trPr/>
        <w:tc>
          <w:tcPr>
            <w:tcW w:w="3095" w:type="dxa"/>
            <w:tcBorders/>
            <w:shd w:fill="CCEEFF" w:val="clear"/>
            <w:vAlign w:val="bottom"/>
          </w:tcPr>
          <w:p>
            <w:pPr>
              <w:pStyle w:val="TableContents"/>
              <w:bidi w:val="0"/>
              <w:spacing w:before="0" w:after="0"/>
              <w:ind w:left="504" w:right="0" w:hanging="144"/>
              <w:jc w:val="left"/>
              <w:rPr>
                <w:sz w:val="20"/>
              </w:rPr>
            </w:pPr>
            <w:r>
              <w:rPr>
                <w:sz w:val="20"/>
              </w:rPr>
              <w:t>Net servicing income</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sz w:val="20"/>
              </w:rPr>
            </w:pPr>
            <w:r>
              <w:rPr>
                <w:sz w:val="20"/>
              </w:rPr>
              <w:t>17,409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0"/>
              <w:jc w:val="right"/>
              <w:rPr>
                <w:sz w:val="20"/>
              </w:rPr>
            </w:pPr>
            <w:r>
              <w:rPr>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bidi w:val="0"/>
              <w:spacing w:before="0" w:after="0"/>
              <w:jc w:val="right"/>
              <w:rPr>
                <w:sz w:val="20"/>
              </w:rPr>
            </w:pPr>
            <w:r>
              <w:rPr>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0"/>
              <w:jc w:val="right"/>
              <w:rPr>
                <w:sz w:val="20"/>
              </w:rPr>
            </w:pPr>
            <w:r>
              <w:rPr>
                <w:sz w:val="20"/>
              </w:rPr>
              <w:t>17,409</w:t>
            </w:r>
          </w:p>
        </w:tc>
        <w:tc>
          <w:tcPr>
            <w:tcW w:w="95" w:type="dxa"/>
            <w:tcBorders/>
            <w:shd w:fill="CCEEFF" w:val="clear"/>
            <w:vAlign w:val="bottom"/>
          </w:tcPr>
          <w:p>
            <w:pPr>
              <w:pStyle w:val="TableContents"/>
              <w:bidi w:val="0"/>
              <w:spacing w:before="0" w:after="283"/>
              <w:jc w:val="left"/>
              <w:rPr/>
            </w:pPr>
            <w:r>
              <w:rPr/>
              <w:t> </w:t>
            </w:r>
          </w:p>
        </w:tc>
      </w:tr>
      <w:tr>
        <w:trPr/>
        <w:tc>
          <w:tcPr>
            <w:tcW w:w="3095" w:type="dxa"/>
            <w:tcBorders/>
            <w:vAlign w:val="bottom"/>
          </w:tcPr>
          <w:p>
            <w:pPr>
              <w:pStyle w:val="TableContents"/>
              <w:bidi w:val="0"/>
              <w:spacing w:before="0" w:after="0"/>
              <w:ind w:left="504" w:right="0" w:hanging="144"/>
              <w:jc w:val="left"/>
              <w:rPr>
                <w:sz w:val="20"/>
              </w:rPr>
            </w:pPr>
            <w:r>
              <w:rPr>
                <w:sz w:val="20"/>
              </w:rPr>
              <w:t xml:space="preserve">Other expense </w:t>
            </w:r>
            <w:r>
              <w:rPr>
                <w:position w:val="7"/>
                <w:sz w:val="16"/>
                <w:sz w:val="20"/>
              </w:rPr>
              <w:t>(A)</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sz w:val="20"/>
              </w:rPr>
            </w:pPr>
            <w:r>
              <w:rPr>
                <w:sz w:val="20"/>
              </w:rPr>
              <w:t>(8,720</w:t>
            </w:r>
          </w:p>
        </w:tc>
        <w:tc>
          <w:tcPr>
            <w:tcW w:w="80" w:type="dxa"/>
            <w:tcBorders/>
            <w:vAlign w:val="bottom"/>
          </w:tcPr>
          <w:p>
            <w:pPr>
              <w:pStyle w:val="TableContents"/>
              <w:bidi w:val="0"/>
              <w:spacing w:before="0" w:after="0"/>
              <w:jc w:val="left"/>
              <w:rPr>
                <w:sz w:val="20"/>
              </w:rPr>
            </w:pPr>
            <w:r>
              <w:rPr>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0"/>
              <w:jc w:val="right"/>
              <w:rPr>
                <w:sz w:val="20"/>
              </w:rPr>
            </w:pPr>
            <w:r>
              <w:rPr>
                <w:sz w:val="20"/>
              </w:rPr>
              <w:t>(10,509</w:t>
            </w:r>
          </w:p>
        </w:tc>
        <w:tc>
          <w:tcPr>
            <w:tcW w:w="80" w:type="dxa"/>
            <w:tcBorders/>
            <w:vAlign w:val="bottom"/>
          </w:tcPr>
          <w:p>
            <w:pPr>
              <w:pStyle w:val="TableContents"/>
              <w:bidi w:val="0"/>
              <w:spacing w:before="0" w:after="0"/>
              <w:jc w:val="left"/>
              <w:rPr>
                <w:sz w:val="20"/>
              </w:rPr>
            </w:pPr>
            <w:r>
              <w:rPr>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45" w:type="dxa"/>
            <w:tcBorders/>
            <w:vAlign w:val="bottom"/>
          </w:tcPr>
          <w:p>
            <w:pPr>
              <w:pStyle w:val="TableContents"/>
              <w:bidi w:val="0"/>
              <w:spacing w:before="0" w:after="0"/>
              <w:jc w:val="right"/>
              <w:rPr>
                <w:sz w:val="20"/>
              </w:rPr>
            </w:pPr>
            <w:r>
              <w:rPr>
                <w:sz w:val="2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0"/>
              <w:jc w:val="right"/>
              <w:rPr>
                <w:sz w:val="20"/>
              </w:rPr>
            </w:pPr>
            <w:r>
              <w:rPr>
                <w:sz w:val="20"/>
              </w:rPr>
              <w:t>(19,229</w:t>
            </w:r>
          </w:p>
        </w:tc>
        <w:tc>
          <w:tcPr>
            <w:tcW w:w="95" w:type="dxa"/>
            <w:tcBorders/>
            <w:vAlign w:val="bottom"/>
          </w:tcPr>
          <w:p>
            <w:pPr>
              <w:pStyle w:val="TableContents"/>
              <w:bidi w:val="0"/>
              <w:spacing w:before="0" w:after="0"/>
              <w:jc w:val="left"/>
              <w:rPr>
                <w:sz w:val="20"/>
              </w:rPr>
            </w:pPr>
            <w:r>
              <w:rPr>
                <w:sz w:val="20"/>
              </w:rPr>
              <w:t>)</w:t>
            </w:r>
          </w:p>
        </w:tc>
      </w:tr>
      <w:tr>
        <w:trPr/>
        <w:tc>
          <w:tcPr>
            <w:tcW w:w="3095" w:type="dxa"/>
            <w:tcBorders/>
            <w:shd w:fill="CCEEFF" w:val="clear"/>
            <w:vAlign w:val="bottom"/>
          </w:tcPr>
          <w:p>
            <w:pPr>
              <w:pStyle w:val="TableContents"/>
              <w:bidi w:val="0"/>
              <w:spacing w:lineRule="auto" w:line="240" w:before="0" w:after="0"/>
              <w:ind w:left="504" w:right="0" w:hanging="144"/>
              <w:jc w:val="left"/>
              <w:rPr>
                <w:sz w:val="20"/>
              </w:rPr>
            </w:pPr>
            <w:r>
              <w:rPr>
                <w:sz w:val="20"/>
              </w:rPr>
              <w:t>Other operating expenses (B)</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sz w:val="20"/>
              </w:rPr>
            </w:pPr>
            <w:r>
              <w:rPr>
                <w:sz w:val="20"/>
              </w:rPr>
              <w:t>(1,757</w:t>
            </w:r>
          </w:p>
        </w:tc>
        <w:tc>
          <w:tcPr>
            <w:tcW w:w="80" w:type="dxa"/>
            <w:tcBorders/>
            <w:shd w:fill="CCEEFF" w:val="clear"/>
            <w:vAlign w:val="bottom"/>
          </w:tcPr>
          <w:p>
            <w:pPr>
              <w:pStyle w:val="TableContents"/>
              <w:bidi w:val="0"/>
              <w:spacing w:before="0" w:after="0"/>
              <w:jc w:val="left"/>
              <w:rPr>
                <w:sz w:val="20"/>
              </w:rPr>
            </w:pPr>
            <w:r>
              <w:rPr>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0"/>
              <w:jc w:val="right"/>
              <w:rPr>
                <w:sz w:val="20"/>
              </w:rPr>
            </w:pPr>
            <w:r>
              <w:rPr>
                <w:sz w:val="20"/>
              </w:rPr>
              <w:t>(1,431</w:t>
            </w:r>
          </w:p>
        </w:tc>
        <w:tc>
          <w:tcPr>
            <w:tcW w:w="80" w:type="dxa"/>
            <w:tcBorders/>
            <w:shd w:fill="CCEEFF" w:val="clear"/>
            <w:vAlign w:val="bottom"/>
          </w:tcPr>
          <w:p>
            <w:pPr>
              <w:pStyle w:val="TableContents"/>
              <w:bidi w:val="0"/>
              <w:spacing w:before="0" w:after="0"/>
              <w:jc w:val="left"/>
              <w:rPr>
                <w:sz w:val="20"/>
              </w:rPr>
            </w:pPr>
            <w:r>
              <w:rPr>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bidi w:val="0"/>
              <w:spacing w:before="0" w:after="0"/>
              <w:jc w:val="right"/>
              <w:rPr>
                <w:sz w:val="20"/>
              </w:rPr>
            </w:pPr>
            <w:r>
              <w:rPr>
                <w:sz w:val="20"/>
              </w:rPr>
              <w:t>(3,936</w:t>
            </w:r>
          </w:p>
        </w:tc>
        <w:tc>
          <w:tcPr>
            <w:tcW w:w="80" w:type="dxa"/>
            <w:tcBorders/>
            <w:shd w:fill="CCEEFF" w:val="clear"/>
            <w:vAlign w:val="bottom"/>
          </w:tcPr>
          <w:p>
            <w:pPr>
              <w:pStyle w:val="TableContents"/>
              <w:bidi w:val="0"/>
              <w:spacing w:before="0" w:after="0"/>
              <w:jc w:val="left"/>
              <w:rPr>
                <w:sz w:val="20"/>
              </w:rPr>
            </w:pPr>
            <w:r>
              <w:rPr>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0"/>
              <w:jc w:val="right"/>
              <w:rPr>
                <w:sz w:val="20"/>
              </w:rPr>
            </w:pPr>
            <w:r>
              <w:rPr>
                <w:sz w:val="20"/>
              </w:rPr>
              <w:t>(7,124</w:t>
            </w:r>
          </w:p>
        </w:tc>
        <w:tc>
          <w:tcPr>
            <w:tcW w:w="95" w:type="dxa"/>
            <w:tcBorders/>
            <w:shd w:fill="CCEEFF" w:val="clear"/>
            <w:vAlign w:val="bottom"/>
          </w:tcPr>
          <w:p>
            <w:pPr>
              <w:pStyle w:val="TableContents"/>
              <w:bidi w:val="0"/>
              <w:spacing w:before="0" w:after="0"/>
              <w:jc w:val="left"/>
              <w:rPr>
                <w:sz w:val="20"/>
              </w:rPr>
            </w:pPr>
            <w:r>
              <w:rPr>
                <w:sz w:val="20"/>
              </w:rPr>
              <w:t>)</w:t>
            </w:r>
          </w:p>
        </w:tc>
      </w:tr>
      <w:tr>
        <w:trPr/>
        <w:tc>
          <w:tcPr>
            <w:tcW w:w="3095" w:type="dxa"/>
            <w:tcBorders/>
            <w:vAlign w:val="bottom"/>
          </w:tcPr>
          <w:p>
            <w:pPr>
              <w:pStyle w:val="TableContents"/>
              <w:bidi w:val="0"/>
              <w:spacing w:before="0" w:after="0"/>
              <w:ind w:left="504" w:right="0" w:hanging="144"/>
              <w:jc w:val="left"/>
              <w:rPr>
                <w:sz w:val="20"/>
              </w:rPr>
            </w:pPr>
            <w:r>
              <w:rPr>
                <w:sz w:val="20"/>
              </w:rPr>
              <w:t>Provision for corporate business taxes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sz w:val="20"/>
              </w:rPr>
            </w:pPr>
            <w:r>
              <w:rPr>
                <w:sz w:val="20"/>
              </w:rPr>
              <w:t>(1,294</w:t>
            </w:r>
          </w:p>
        </w:tc>
        <w:tc>
          <w:tcPr>
            <w:tcW w:w="80" w:type="dxa"/>
            <w:tcBorders/>
            <w:vAlign w:val="bottom"/>
          </w:tcPr>
          <w:p>
            <w:pPr>
              <w:pStyle w:val="TableContents"/>
              <w:bidi w:val="0"/>
              <w:spacing w:before="0" w:after="0"/>
              <w:jc w:val="left"/>
              <w:rPr>
                <w:sz w:val="20"/>
              </w:rPr>
            </w:pPr>
            <w:r>
              <w:rPr>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0"/>
              <w:jc w:val="right"/>
              <w:rPr>
                <w:sz w:val="20"/>
              </w:rPr>
            </w:pPr>
            <w:r>
              <w:rPr>
                <w:sz w:val="2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45" w:type="dxa"/>
            <w:tcBorders/>
            <w:vAlign w:val="bottom"/>
          </w:tcPr>
          <w:p>
            <w:pPr>
              <w:pStyle w:val="TableContents"/>
              <w:bidi w:val="0"/>
              <w:spacing w:before="0" w:after="0"/>
              <w:jc w:val="right"/>
              <w:rPr>
                <w:sz w:val="20"/>
              </w:rPr>
            </w:pPr>
            <w:r>
              <w:rPr>
                <w:sz w:val="2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0"/>
              <w:jc w:val="right"/>
              <w:rPr>
                <w:sz w:val="20"/>
              </w:rPr>
            </w:pPr>
            <w:r>
              <w:rPr>
                <w:sz w:val="20"/>
              </w:rPr>
              <w:t>(1,294</w:t>
            </w:r>
          </w:p>
        </w:tc>
        <w:tc>
          <w:tcPr>
            <w:tcW w:w="95" w:type="dxa"/>
            <w:tcBorders/>
            <w:vAlign w:val="bottom"/>
          </w:tcPr>
          <w:p>
            <w:pPr>
              <w:pStyle w:val="TableContents"/>
              <w:bidi w:val="0"/>
              <w:spacing w:before="0" w:after="0"/>
              <w:jc w:val="left"/>
              <w:rPr>
                <w:sz w:val="20"/>
              </w:rPr>
            </w:pPr>
            <w:r>
              <w:rPr>
                <w:sz w:val="20"/>
              </w:rPr>
              <w:t>)</w:t>
            </w:r>
          </w:p>
        </w:tc>
      </w:tr>
      <w:tr>
        <w:trPr/>
        <w:tc>
          <w:tcPr>
            <w:tcW w:w="3095" w:type="dxa"/>
            <w:tcBorders/>
            <w:shd w:fill="CCEEFF" w:val="clear"/>
            <w:vAlign w:val="bottom"/>
          </w:tcPr>
          <w:p>
            <w:pPr>
              <w:pStyle w:val="TableContents"/>
              <w:bidi w:val="0"/>
              <w:spacing w:before="0" w:after="0"/>
              <w:ind w:left="504" w:right="0" w:hanging="144"/>
              <w:jc w:val="left"/>
              <w:rPr>
                <w:sz w:val="20"/>
              </w:rPr>
            </w:pPr>
            <w:r>
              <w:rPr>
                <w:sz w:val="20"/>
              </w:rPr>
              <w:t>Net other comprehensive income</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bottom"/>
          </w:tcPr>
          <w:p>
            <w:pPr>
              <w:pStyle w:val="TableContents"/>
              <w:bidi w:val="0"/>
              <w:spacing w:before="0" w:after="0"/>
              <w:jc w:val="right"/>
              <w:rPr>
                <w:sz w:val="20"/>
              </w:rPr>
            </w:pPr>
            <w:r>
              <w:rPr>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50" w:type="dxa"/>
            <w:tcBorders>
              <w:bottom w:val="single" w:sz="12" w:space="0" w:color="000000"/>
            </w:tcBorders>
            <w:shd w:fill="CCEEFF" w:val="clear"/>
            <w:tcMar>
              <w:bottom w:w="28" w:type="dxa"/>
            </w:tcMar>
            <w:vAlign w:val="bottom"/>
          </w:tcPr>
          <w:p>
            <w:pPr>
              <w:pStyle w:val="TableContents"/>
              <w:bidi w:val="0"/>
              <w:spacing w:before="0" w:after="0"/>
              <w:jc w:val="right"/>
              <w:rPr>
                <w:sz w:val="20"/>
              </w:rPr>
            </w:pPr>
            <w:r>
              <w:rPr>
                <w:sz w:val="20"/>
              </w:rPr>
              <w:t>7,170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45" w:type="dxa"/>
            <w:tcBorders>
              <w:bottom w:val="single" w:sz="12" w:space="0" w:color="000000"/>
            </w:tcBorders>
            <w:shd w:fill="CCEEFF" w:val="clear"/>
            <w:tcMar>
              <w:bottom w:w="28" w:type="dxa"/>
            </w:tcMar>
            <w:vAlign w:val="bottom"/>
          </w:tcPr>
          <w:p>
            <w:pPr>
              <w:pStyle w:val="TableContents"/>
              <w:bidi w:val="0"/>
              <w:spacing w:before="0" w:after="0"/>
              <w:jc w:val="right"/>
              <w:rPr>
                <w:sz w:val="20"/>
              </w:rPr>
            </w:pPr>
            <w:r>
              <w:rPr>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50" w:type="dxa"/>
            <w:tcBorders>
              <w:bottom w:val="single" w:sz="12" w:space="0" w:color="000000"/>
            </w:tcBorders>
            <w:shd w:fill="CCEEFF" w:val="clear"/>
            <w:tcMar>
              <w:bottom w:w="28" w:type="dxa"/>
            </w:tcMar>
            <w:vAlign w:val="bottom"/>
          </w:tcPr>
          <w:p>
            <w:pPr>
              <w:pStyle w:val="TableContents"/>
              <w:bidi w:val="0"/>
              <w:spacing w:before="0" w:after="0"/>
              <w:jc w:val="right"/>
              <w:rPr>
                <w:sz w:val="20"/>
              </w:rPr>
            </w:pPr>
            <w:r>
              <w:rPr>
                <w:sz w:val="20"/>
              </w:rPr>
              <w:t>7,170</w:t>
            </w:r>
          </w:p>
        </w:tc>
        <w:tc>
          <w:tcPr>
            <w:tcW w:w="95" w:type="dxa"/>
            <w:tcBorders/>
            <w:shd w:fill="CCEEFF" w:val="clear"/>
            <w:vAlign w:val="bottom"/>
          </w:tcPr>
          <w:p>
            <w:pPr>
              <w:pStyle w:val="TableContents"/>
              <w:bidi w:val="0"/>
              <w:spacing w:before="0" w:after="283"/>
              <w:jc w:val="left"/>
              <w:rPr/>
            </w:pPr>
            <w:r>
              <w:rPr/>
              <w:t> </w:t>
            </w:r>
          </w:p>
        </w:tc>
      </w:tr>
      <w:tr>
        <w:trPr/>
        <w:tc>
          <w:tcPr>
            <w:tcW w:w="3095" w:type="dxa"/>
            <w:tcBorders/>
            <w:vAlign w:val="bottom"/>
          </w:tcPr>
          <w:p>
            <w:pPr>
              <w:pStyle w:val="TableContents"/>
              <w:bidi w:val="0"/>
              <w:spacing w:before="0" w:after="0"/>
              <w:ind w:left="504" w:right="0" w:hanging="144"/>
              <w:jc w:val="left"/>
              <w:rPr>
                <w:sz w:val="20"/>
              </w:rPr>
            </w:pPr>
            <w:r>
              <w:rPr>
                <w:sz w:val="20"/>
              </w:rPr>
              <w:t>Comprehensive income (loss)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sz w:val="20"/>
              </w:rPr>
            </w:pPr>
            <w:r>
              <w:rPr>
                <w:sz w:val="20"/>
              </w:rPr>
              <w:t>$</w:t>
            </w:r>
          </w:p>
        </w:tc>
        <w:tc>
          <w:tcPr>
            <w:tcW w:w="590" w:type="dxa"/>
            <w:tcBorders/>
            <w:vAlign w:val="bottom"/>
          </w:tcPr>
          <w:p>
            <w:pPr>
              <w:pStyle w:val="TableContents"/>
              <w:bidi w:val="0"/>
              <w:spacing w:before="0" w:after="0"/>
              <w:jc w:val="right"/>
              <w:rPr>
                <w:sz w:val="20"/>
              </w:rPr>
            </w:pPr>
            <w:r>
              <w:rPr>
                <w:sz w:val="20"/>
              </w:rPr>
              <w:t>4,578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sz w:val="20"/>
              </w:rPr>
            </w:pPr>
            <w:r>
              <w:rPr>
                <w:sz w:val="20"/>
              </w:rPr>
              <w:t>$</w:t>
            </w:r>
          </w:p>
        </w:tc>
        <w:tc>
          <w:tcPr>
            <w:tcW w:w="650" w:type="dxa"/>
            <w:tcBorders/>
            <w:vAlign w:val="bottom"/>
          </w:tcPr>
          <w:p>
            <w:pPr>
              <w:pStyle w:val="TableContents"/>
              <w:bidi w:val="0"/>
              <w:spacing w:before="0" w:after="0"/>
              <w:jc w:val="right"/>
              <w:rPr>
                <w:sz w:val="20"/>
              </w:rPr>
            </w:pPr>
            <w:r>
              <w:rPr>
                <w:sz w:val="20"/>
              </w:rPr>
              <w:t>1,097</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sz w:val="20"/>
              </w:rPr>
            </w:pPr>
            <w:r>
              <w:rPr>
                <w:sz w:val="20"/>
              </w:rPr>
              <w:t>$</w:t>
            </w:r>
          </w:p>
        </w:tc>
        <w:tc>
          <w:tcPr>
            <w:tcW w:w="545" w:type="dxa"/>
            <w:tcBorders/>
            <w:vAlign w:val="bottom"/>
          </w:tcPr>
          <w:p>
            <w:pPr>
              <w:pStyle w:val="TableContents"/>
              <w:bidi w:val="0"/>
              <w:spacing w:before="0" w:after="0"/>
              <w:jc w:val="right"/>
              <w:rPr>
                <w:sz w:val="20"/>
              </w:rPr>
            </w:pPr>
            <w:r>
              <w:rPr>
                <w:sz w:val="20"/>
              </w:rPr>
              <w:t>(3,936</w:t>
            </w:r>
          </w:p>
        </w:tc>
        <w:tc>
          <w:tcPr>
            <w:tcW w:w="80" w:type="dxa"/>
            <w:tcBorders/>
            <w:vAlign w:val="bottom"/>
          </w:tcPr>
          <w:p>
            <w:pPr>
              <w:pStyle w:val="TableContents"/>
              <w:bidi w:val="0"/>
              <w:spacing w:before="0" w:after="0"/>
              <w:jc w:val="left"/>
              <w:rPr>
                <w:sz w:val="20"/>
              </w:rPr>
            </w:pPr>
            <w:r>
              <w:rPr>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sz w:val="20"/>
              </w:rPr>
            </w:pPr>
            <w:r>
              <w:rPr>
                <w:sz w:val="20"/>
              </w:rPr>
              <w:t>$</w:t>
            </w:r>
          </w:p>
        </w:tc>
        <w:tc>
          <w:tcPr>
            <w:tcW w:w="650" w:type="dxa"/>
            <w:tcBorders/>
            <w:vAlign w:val="bottom"/>
          </w:tcPr>
          <w:p>
            <w:pPr>
              <w:pStyle w:val="TableContents"/>
              <w:bidi w:val="0"/>
              <w:spacing w:before="0" w:after="0"/>
              <w:jc w:val="right"/>
              <w:rPr>
                <w:sz w:val="20"/>
              </w:rPr>
            </w:pPr>
            <w:r>
              <w:rPr>
                <w:sz w:val="20"/>
              </w:rPr>
              <w:t>1,739</w:t>
            </w:r>
          </w:p>
        </w:tc>
        <w:tc>
          <w:tcPr>
            <w:tcW w:w="95" w:type="dxa"/>
            <w:tcBorders/>
            <w:vAlign w:val="bottom"/>
          </w:tcPr>
          <w:p>
            <w:pPr>
              <w:pStyle w:val="TableContents"/>
              <w:bidi w:val="0"/>
              <w:spacing w:before="0" w:after="283"/>
              <w:jc w:val="left"/>
              <w:rPr/>
            </w:pPr>
            <w:r>
              <w:rPr/>
              <w:t> </w:t>
            </w:r>
          </w:p>
        </w:tc>
      </w:tr>
    </w:tbl>
    <w:p>
      <w:pPr>
        <w:pStyle w:val="TextBody"/>
        <w:bidi w:val="0"/>
        <w:spacing w:before="0" w:after="0"/>
        <w:jc w:val="left"/>
        <w:rPr>
          <w:sz w:val="20"/>
        </w:rPr>
      </w:pPr>
      <w:r>
        <w:rPr>
          <w:sz w:val="20"/>
        </w:rPr>
      </w:r>
    </w:p>
    <w:tbl>
      <w:tblPr>
        <w:tblW w:w="10205" w:type="dxa"/>
        <w:jc w:val="left"/>
        <w:tblInd w:w="0" w:type="dxa"/>
        <w:tblLayout w:type="fixed"/>
        <w:tblCellMar>
          <w:top w:w="0" w:type="dxa"/>
          <w:left w:w="0" w:type="dxa"/>
          <w:bottom w:w="0" w:type="dxa"/>
          <w:right w:w="0" w:type="dxa"/>
        </w:tblCellMar>
      </w:tblPr>
      <w:tblGrid>
        <w:gridCol w:w="340"/>
        <w:gridCol w:w="9865"/>
      </w:tblGrid>
      <w:tr>
        <w:trPr/>
        <w:tc>
          <w:tcPr>
            <w:tcW w:w="340" w:type="dxa"/>
            <w:tcBorders/>
            <w:vAlign w:val="center"/>
          </w:tcPr>
          <w:p>
            <w:pPr>
              <w:pStyle w:val="TableContents"/>
              <w:bidi w:val="0"/>
              <w:spacing w:before="0" w:after="283"/>
              <w:jc w:val="left"/>
              <w:rPr>
                <w:color w:val="000000"/>
              </w:rPr>
            </w:pPr>
            <w:r>
              <w:rPr>
                <w:color w:val="000000"/>
              </w:rPr>
              <w:t>(A)</w:t>
            </w:r>
          </w:p>
        </w:tc>
        <w:tc>
          <w:tcPr>
            <w:tcW w:w="9865" w:type="dxa"/>
            <w:tcBorders/>
            <w:vAlign w:val="center"/>
          </w:tcPr>
          <w:p>
            <w:pPr>
              <w:pStyle w:val="TableContents"/>
              <w:bidi w:val="0"/>
              <w:spacing w:before="0" w:after="0"/>
              <w:jc w:val="both"/>
              <w:rPr>
                <w:color w:val="000000"/>
                <w:sz w:val="20"/>
              </w:rPr>
            </w:pPr>
            <w:r>
              <w:rPr>
                <w:color w:val="000000"/>
                <w:sz w:val="20"/>
              </w:rPr>
              <w:t>Included in other income (expense) are realized and unrealized gains (losses) on Servicing Related Assets, RMBS and derivatives and credit loss and impairment on other asset.</w:t>
            </w:r>
          </w:p>
        </w:tc>
      </w:tr>
    </w:tbl>
    <w:tbl>
      <w:tblPr>
        <w:tblW w:w="9265" w:type="dxa"/>
        <w:jc w:val="left"/>
        <w:tblInd w:w="0" w:type="dxa"/>
        <w:tblLayout w:type="fixed"/>
        <w:tblCellMar>
          <w:top w:w="0" w:type="dxa"/>
          <w:left w:w="0" w:type="dxa"/>
          <w:bottom w:w="0" w:type="dxa"/>
          <w:right w:w="0" w:type="dxa"/>
        </w:tblCellMar>
      </w:tblPr>
      <w:tblGrid>
        <w:gridCol w:w="350"/>
        <w:gridCol w:w="8915"/>
      </w:tblGrid>
      <w:tr>
        <w:trPr/>
        <w:tc>
          <w:tcPr>
            <w:tcW w:w="350" w:type="dxa"/>
            <w:tcBorders/>
            <w:vAlign w:val="center"/>
          </w:tcPr>
          <w:p>
            <w:pPr>
              <w:pStyle w:val="TableContents"/>
              <w:bidi w:val="0"/>
              <w:spacing w:before="0" w:after="283"/>
              <w:jc w:val="left"/>
              <w:rPr>
                <w:color w:val="000000"/>
              </w:rPr>
            </w:pPr>
            <w:r>
              <w:rPr>
                <w:color w:val="000000"/>
              </w:rPr>
              <w:t>(B)</w:t>
            </w:r>
          </w:p>
        </w:tc>
        <w:tc>
          <w:tcPr>
            <w:tcW w:w="8915" w:type="dxa"/>
            <w:tcBorders/>
            <w:vAlign w:val="center"/>
          </w:tcPr>
          <w:p>
            <w:pPr>
              <w:pStyle w:val="TableContents"/>
              <w:bidi w:val="0"/>
              <w:spacing w:before="0" w:after="0"/>
              <w:jc w:val="both"/>
              <w:rPr>
                <w:color w:val="000000"/>
                <w:sz w:val="20"/>
              </w:rPr>
            </w:pPr>
            <w:r>
              <w:rPr>
                <w:color w:val="000000"/>
                <w:sz w:val="20"/>
              </w:rPr>
              <w:t>Included in other operating expenses are general and administrative expenses and compensation and benefits.</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57</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tbl>
      <w:tblPr>
        <w:tblW w:w="5778" w:type="dxa"/>
        <w:jc w:val="left"/>
        <w:tblInd w:w="0" w:type="dxa"/>
        <w:tblLayout w:type="fixed"/>
        <w:tblCellMar>
          <w:top w:w="0" w:type="dxa"/>
          <w:left w:w="0" w:type="dxa"/>
          <w:bottom w:w="0" w:type="dxa"/>
          <w:right w:w="0" w:type="dxa"/>
        </w:tblCellMar>
      </w:tblPr>
      <w:tblGrid>
        <w:gridCol w:w="1310"/>
        <w:gridCol w:w="60"/>
        <w:gridCol w:w="185"/>
        <w:gridCol w:w="1034"/>
        <w:gridCol w:w="60"/>
        <w:gridCol w:w="60"/>
        <w:gridCol w:w="125"/>
        <w:gridCol w:w="845"/>
        <w:gridCol w:w="60"/>
        <w:gridCol w:w="60"/>
        <w:gridCol w:w="142"/>
        <w:gridCol w:w="672"/>
        <w:gridCol w:w="60"/>
        <w:gridCol w:w="60"/>
        <w:gridCol w:w="125"/>
        <w:gridCol w:w="845"/>
        <w:gridCol w:w="75"/>
      </w:tblGrid>
      <w:tr>
        <w:trPr/>
        <w:tc>
          <w:tcPr>
            <w:tcW w:w="13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1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Servicing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Related Assets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bottom w:val="single" w:sz="12" w:space="0" w:color="000000"/>
            </w:tcBorders>
            <w:tcMar>
              <w:bottom w:w="28"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RMBS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14" w:type="dxa"/>
            <w:gridSpan w:val="2"/>
            <w:tcBorders>
              <w:bottom w:val="single" w:sz="12" w:space="0" w:color="000000"/>
            </w:tcBorders>
            <w:tcMar>
              <w:bottom w:w="28"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All Other</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70" w:type="dxa"/>
            <w:gridSpan w:val="2"/>
            <w:tcBorders>
              <w:bottom w:val="single" w:sz="12" w:space="0" w:color="000000"/>
            </w:tcBorders>
            <w:tcMar>
              <w:bottom w:w="28"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Total</w:t>
            </w:r>
          </w:p>
        </w:tc>
        <w:tc>
          <w:tcPr>
            <w:tcW w:w="75" w:type="dxa"/>
            <w:tcBorders/>
            <w:vAlign w:val="bottom"/>
          </w:tcPr>
          <w:p>
            <w:pPr>
              <w:pStyle w:val="TableContents"/>
              <w:bidi w:val="0"/>
              <w:spacing w:before="0" w:after="283"/>
              <w:jc w:val="left"/>
              <w:rPr/>
            </w:pPr>
            <w:r>
              <w:rPr/>
              <w:t> </w:t>
            </w:r>
          </w:p>
        </w:tc>
      </w:tr>
      <w:tr>
        <w:trPr/>
        <w:tc>
          <w:tcPr>
            <w:tcW w:w="1310" w:type="dxa"/>
            <w:tcBorders/>
            <w:shd w:fill="CCEEFF" w:val="cle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Balance Sheet</w:t>
            </w:r>
          </w:p>
        </w:tc>
        <w:tc>
          <w:tcPr>
            <w:tcW w:w="60" w:type="dxa"/>
            <w:tcBorders/>
            <w:shd w:fill="CCEEFF" w:val="clear"/>
            <w:vAlign w:val="bottom"/>
          </w:tcPr>
          <w:p>
            <w:pPr>
              <w:pStyle w:val="TableContents"/>
              <w:bidi w:val="0"/>
              <w:spacing w:before="0" w:after="283"/>
              <w:jc w:val="left"/>
              <w:rPr/>
            </w:pPr>
            <w:r>
              <w:rPr/>
              <w:t> </w:t>
            </w:r>
          </w:p>
        </w:tc>
        <w:tc>
          <w:tcPr>
            <w:tcW w:w="1219" w:type="dxa"/>
            <w:gridSpan w:val="2"/>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70" w:type="dxa"/>
            <w:gridSpan w:val="2"/>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4" w:type="dxa"/>
            <w:gridSpan w:val="2"/>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70" w:type="dxa"/>
            <w:gridSpan w:val="2"/>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r>
      <w:tr>
        <w:trPr/>
        <w:tc>
          <w:tcPr>
            <w:tcW w:w="1310" w:type="dxa"/>
            <w:tcBorders/>
            <w:vAlign w:val="bottom"/>
          </w:tcPr>
          <w:p>
            <w:pPr>
              <w:pStyle w:val="TableContents"/>
              <w:bidi w:val="0"/>
              <w:spacing w:before="0" w:after="0"/>
              <w:ind w:left="180" w:right="0" w:hanging="0"/>
              <w:jc w:val="left"/>
              <w:rPr>
                <w:rFonts w:ascii="Times New Roman" w:hAnsi="Times New Roman"/>
                <w:b/>
                <w:color w:val="000000"/>
                <w:sz w:val="20"/>
              </w:rPr>
            </w:pPr>
            <w:r>
              <w:rPr>
                <w:rFonts w:ascii="Times New Roman" w:hAnsi="Times New Roman"/>
                <w:b/>
                <w:color w:val="000000"/>
                <w:sz w:val="20"/>
              </w:rPr>
              <w:t>June 30, 2026</w:t>
            </w:r>
          </w:p>
        </w:tc>
        <w:tc>
          <w:tcPr>
            <w:tcW w:w="60" w:type="dxa"/>
            <w:tcBorders/>
            <w:vAlign w:val="bottom"/>
          </w:tcPr>
          <w:p>
            <w:pPr>
              <w:pStyle w:val="TableContents"/>
              <w:bidi w:val="0"/>
              <w:spacing w:before="0" w:after="283"/>
              <w:jc w:val="left"/>
              <w:rPr/>
            </w:pPr>
            <w:r>
              <w:rPr/>
              <w:t> </w:t>
            </w:r>
          </w:p>
        </w:tc>
        <w:tc>
          <w:tcPr>
            <w:tcW w:w="1219"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4"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1310" w:type="dxa"/>
            <w:tcBorders/>
            <w:shd w:fill="CCEEFF" w:val="clear"/>
            <w:vAlign w:val="bottom"/>
          </w:tcPr>
          <w:p>
            <w:pPr>
              <w:pStyle w:val="TableContents"/>
              <w:bidi w:val="0"/>
              <w:spacing w:before="0" w:after="0"/>
              <w:ind w:left="360" w:right="0" w:hanging="0"/>
              <w:jc w:val="left"/>
              <w:rPr>
                <w:rFonts w:ascii="Times New Roman" w:hAnsi="Times New Roman"/>
                <w:color w:val="000000"/>
                <w:sz w:val="20"/>
              </w:rPr>
            </w:pPr>
            <w:r>
              <w:rPr>
                <w:rFonts w:ascii="Times New Roman" w:hAnsi="Times New Roman"/>
                <w:color w:val="000000"/>
                <w:sz w:val="20"/>
              </w:rPr>
              <w:t>Investments</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34"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211,105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1,079,802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7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1,290,907</w:t>
            </w:r>
          </w:p>
        </w:tc>
        <w:tc>
          <w:tcPr>
            <w:tcW w:w="75" w:type="dxa"/>
            <w:tcBorders/>
            <w:shd w:fill="CCEEFF" w:val="clear"/>
            <w:vAlign w:val="bottom"/>
          </w:tcPr>
          <w:p>
            <w:pPr>
              <w:pStyle w:val="TableContents"/>
              <w:bidi w:val="0"/>
              <w:spacing w:before="0" w:after="283"/>
              <w:jc w:val="left"/>
              <w:rPr/>
            </w:pPr>
            <w:r>
              <w:rPr/>
              <w:t> </w:t>
            </w:r>
          </w:p>
        </w:tc>
      </w:tr>
      <w:tr>
        <w:trPr/>
        <w:tc>
          <w:tcPr>
            <w:tcW w:w="1310" w:type="dxa"/>
            <w:tcBorders/>
            <w:vAlign w:val="bottom"/>
          </w:tcPr>
          <w:p>
            <w:pPr>
              <w:pStyle w:val="TableContents"/>
              <w:bidi w:val="0"/>
              <w:spacing w:before="0" w:after="0"/>
              <w:ind w:left="360" w:right="0" w:hanging="0"/>
              <w:jc w:val="left"/>
              <w:rPr>
                <w:rFonts w:ascii="Times New Roman" w:hAnsi="Times New Roman"/>
                <w:color w:val="000000"/>
                <w:sz w:val="20"/>
              </w:rPr>
            </w:pPr>
            <w:r>
              <w:rPr>
                <w:rFonts w:ascii="Times New Roman" w:hAnsi="Times New Roman"/>
                <w:color w:val="000000"/>
                <w:sz w:val="20"/>
              </w:rPr>
              <w:t>Other assets</w:t>
            </w:r>
          </w:p>
        </w:tc>
        <w:tc>
          <w:tcPr>
            <w:tcW w:w="60" w:type="dxa"/>
            <w:tcBorders/>
            <w:vAlign w:val="bottom"/>
          </w:tcPr>
          <w:p>
            <w:pPr>
              <w:pStyle w:val="TableContents"/>
              <w:bidi w:val="0"/>
              <w:spacing w:before="0" w:after="283"/>
              <w:jc w:val="left"/>
              <w:rPr/>
            </w:pPr>
            <w:r>
              <w:rPr/>
              <w:t> </w:t>
            </w:r>
          </w:p>
        </w:tc>
        <w:tc>
          <w:tcPr>
            <w:tcW w:w="185" w:type="dxa"/>
            <w:tcBorders>
              <w:bottom w:val="single" w:sz="12" w:space="0" w:color="000000"/>
            </w:tcBorders>
            <w:tcMar>
              <w:bottom w:w="28" w:type="dxa"/>
            </w:tcMar>
            <w:vAlign w:val="bottom"/>
          </w:tcPr>
          <w:p>
            <w:pPr>
              <w:pStyle w:val="TableContents"/>
              <w:bidi w:val="0"/>
              <w:spacing w:before="0" w:after="283"/>
              <w:jc w:val="left"/>
              <w:rPr/>
            </w:pPr>
            <w:r>
              <w:rPr/>
              <w:t> </w:t>
            </w:r>
          </w:p>
        </w:tc>
        <w:tc>
          <w:tcPr>
            <w:tcW w:w="1034"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21,075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33,131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2" w:type="dxa"/>
            <w:tcBorders>
              <w:bottom w:val="single" w:sz="12" w:space="0" w:color="000000"/>
            </w:tcBorders>
            <w:tcMar>
              <w:bottom w:w="28" w:type="dxa"/>
            </w:tcMar>
            <w:vAlign w:val="bottom"/>
          </w:tcPr>
          <w:p>
            <w:pPr>
              <w:pStyle w:val="TableContents"/>
              <w:bidi w:val="0"/>
              <w:spacing w:before="0" w:after="283"/>
              <w:jc w:val="left"/>
              <w:rPr/>
            </w:pPr>
            <w:r>
              <w:rPr/>
              <w:t> </w:t>
            </w:r>
          </w:p>
        </w:tc>
        <w:tc>
          <w:tcPr>
            <w:tcW w:w="672"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52,431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106,637</w:t>
            </w:r>
          </w:p>
        </w:tc>
        <w:tc>
          <w:tcPr>
            <w:tcW w:w="75" w:type="dxa"/>
            <w:tcBorders/>
            <w:vAlign w:val="bottom"/>
          </w:tcPr>
          <w:p>
            <w:pPr>
              <w:pStyle w:val="TableContents"/>
              <w:bidi w:val="0"/>
              <w:spacing w:before="0" w:after="283"/>
              <w:jc w:val="left"/>
              <w:rPr/>
            </w:pPr>
            <w:r>
              <w:rPr/>
              <w:t> </w:t>
            </w:r>
          </w:p>
        </w:tc>
      </w:tr>
      <w:tr>
        <w:trPr/>
        <w:tc>
          <w:tcPr>
            <w:tcW w:w="1310" w:type="dxa"/>
            <w:tcBorders/>
            <w:shd w:fill="CCEEFF" w:val="clear"/>
            <w:vAlign w:val="bottom"/>
          </w:tcPr>
          <w:p>
            <w:pPr>
              <w:pStyle w:val="TableContents"/>
              <w:bidi w:val="0"/>
              <w:spacing w:before="0" w:after="0"/>
              <w:ind w:left="360" w:right="0" w:hanging="0"/>
              <w:jc w:val="left"/>
              <w:rPr>
                <w:rFonts w:ascii="Times New Roman" w:hAnsi="Times New Roman"/>
                <w:color w:val="000000"/>
                <w:sz w:val="20"/>
              </w:rPr>
            </w:pPr>
            <w:r>
              <w:rPr>
                <w:rFonts w:ascii="Times New Roman" w:hAnsi="Times New Roman"/>
                <w:color w:val="000000"/>
                <w:sz w:val="20"/>
              </w:rPr>
              <w:t>Total assets</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034"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232,180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1,112,933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67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52,431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1,397,544</w:t>
            </w:r>
          </w:p>
        </w:tc>
        <w:tc>
          <w:tcPr>
            <w:tcW w:w="75" w:type="dxa"/>
            <w:tcBorders/>
            <w:shd w:fill="CCEEFF" w:val="clear"/>
            <w:vAlign w:val="bottom"/>
          </w:tcPr>
          <w:p>
            <w:pPr>
              <w:pStyle w:val="TableContents"/>
              <w:bidi w:val="0"/>
              <w:spacing w:before="0" w:after="283"/>
              <w:jc w:val="left"/>
              <w:rPr/>
            </w:pPr>
            <w:r>
              <w:rPr/>
              <w:t> </w:t>
            </w:r>
          </w:p>
        </w:tc>
      </w:tr>
      <w:tr>
        <w:trPr/>
        <w:tc>
          <w:tcPr>
            <w:tcW w:w="1310" w:type="dxa"/>
            <w:tcBorders/>
            <w:vAlign w:val="bottom"/>
          </w:tcPr>
          <w:p>
            <w:pPr>
              <w:pStyle w:val="TableContents"/>
              <w:bidi w:val="0"/>
              <w:spacing w:before="0" w:after="0"/>
              <w:ind w:left="360" w:right="0" w:hanging="0"/>
              <w:jc w:val="left"/>
              <w:rPr>
                <w:rFonts w:ascii="Times New Roman" w:hAnsi="Times New Roman"/>
                <w:color w:val="000000"/>
                <w:sz w:val="20"/>
              </w:rPr>
            </w:pPr>
            <w:r>
              <w:rPr>
                <w:rFonts w:ascii="Times New Roman" w:hAnsi="Times New Roman"/>
                <w:color w:val="000000"/>
                <w:sz w:val="20"/>
              </w:rPr>
              <w:t>Debt</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034"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140,648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1,008,738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67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1,149,386</w:t>
            </w:r>
          </w:p>
        </w:tc>
        <w:tc>
          <w:tcPr>
            <w:tcW w:w="75" w:type="dxa"/>
            <w:tcBorders/>
            <w:vAlign w:val="bottom"/>
          </w:tcPr>
          <w:p>
            <w:pPr>
              <w:pStyle w:val="TableContents"/>
              <w:bidi w:val="0"/>
              <w:spacing w:before="0" w:after="283"/>
              <w:jc w:val="left"/>
              <w:rPr/>
            </w:pPr>
            <w:r>
              <w:rPr/>
              <w:t> </w:t>
            </w:r>
          </w:p>
        </w:tc>
      </w:tr>
      <w:tr>
        <w:trPr/>
        <w:tc>
          <w:tcPr>
            <w:tcW w:w="1310" w:type="dxa"/>
            <w:tcBorders/>
            <w:shd w:fill="CCEEFF" w:val="clear"/>
            <w:vAlign w:val="bottom"/>
          </w:tcPr>
          <w:p>
            <w:pPr>
              <w:pStyle w:val="TableContents"/>
              <w:bidi w:val="0"/>
              <w:spacing w:before="0" w:after="0"/>
              <w:ind w:left="360" w:right="0" w:hanging="0"/>
              <w:jc w:val="left"/>
              <w:rPr>
                <w:rFonts w:ascii="Times New Roman" w:hAnsi="Times New Roman"/>
                <w:color w:val="000000"/>
                <w:sz w:val="20"/>
              </w:rPr>
            </w:pPr>
            <w:r>
              <w:rPr>
                <w:rFonts w:ascii="Times New Roman" w:hAnsi="Times New Roman"/>
                <w:color w:val="000000"/>
                <w:sz w:val="20"/>
              </w:rPr>
              <w:t>Other liabilities</w:t>
            </w:r>
          </w:p>
        </w:tc>
        <w:tc>
          <w:tcPr>
            <w:tcW w:w="60" w:type="dxa"/>
            <w:tcBorders/>
            <w:shd w:fill="CCEEFF" w:val="clear"/>
            <w:vAlign w:val="bottom"/>
          </w:tcPr>
          <w:p>
            <w:pPr>
              <w:pStyle w:val="TableContents"/>
              <w:bidi w:val="0"/>
              <w:spacing w:before="0" w:after="283"/>
              <w:jc w:val="left"/>
              <w:rPr/>
            </w:pPr>
            <w:r>
              <w:rPr/>
              <w:t> </w:t>
            </w:r>
          </w:p>
        </w:tc>
        <w:tc>
          <w:tcPr>
            <w:tcW w:w="18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34"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1,507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10,150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7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7,577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19,234</w:t>
            </w:r>
          </w:p>
        </w:tc>
        <w:tc>
          <w:tcPr>
            <w:tcW w:w="75" w:type="dxa"/>
            <w:tcBorders/>
            <w:shd w:fill="CCEEFF" w:val="clear"/>
            <w:vAlign w:val="bottom"/>
          </w:tcPr>
          <w:p>
            <w:pPr>
              <w:pStyle w:val="TableContents"/>
              <w:bidi w:val="0"/>
              <w:spacing w:before="0" w:after="283"/>
              <w:jc w:val="left"/>
              <w:rPr/>
            </w:pPr>
            <w:r>
              <w:rPr/>
              <w:t> </w:t>
            </w:r>
          </w:p>
        </w:tc>
      </w:tr>
      <w:tr>
        <w:trPr/>
        <w:tc>
          <w:tcPr>
            <w:tcW w:w="1310" w:type="dxa"/>
            <w:tcBorders/>
            <w:vAlign w:val="bottom"/>
          </w:tcPr>
          <w:p>
            <w:pPr>
              <w:pStyle w:val="TableContents"/>
              <w:bidi w:val="0"/>
              <w:spacing w:before="0" w:after="0"/>
              <w:ind w:left="360" w:right="0" w:hanging="0"/>
              <w:jc w:val="left"/>
              <w:rPr>
                <w:rFonts w:ascii="Times New Roman" w:hAnsi="Times New Roman"/>
                <w:color w:val="000000"/>
                <w:sz w:val="20"/>
              </w:rPr>
            </w:pPr>
            <w:r>
              <w:rPr>
                <w:rFonts w:ascii="Times New Roman" w:hAnsi="Times New Roman"/>
                <w:color w:val="000000"/>
                <w:sz w:val="20"/>
              </w:rPr>
              <w:t>Total liabilities</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034"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142,155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1,018,888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67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7,577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1,168,620</w:t>
            </w:r>
          </w:p>
        </w:tc>
        <w:tc>
          <w:tcPr>
            <w:tcW w:w="75" w:type="dxa"/>
            <w:tcBorders/>
            <w:vAlign w:val="bottom"/>
          </w:tcPr>
          <w:p>
            <w:pPr>
              <w:pStyle w:val="TableContents"/>
              <w:bidi w:val="0"/>
              <w:spacing w:before="0" w:after="283"/>
              <w:jc w:val="left"/>
              <w:rPr/>
            </w:pPr>
            <w:r>
              <w:rPr/>
              <w:t> </w:t>
            </w:r>
          </w:p>
        </w:tc>
      </w:tr>
      <w:tr>
        <w:trPr/>
        <w:tc>
          <w:tcPr>
            <w:tcW w:w="1310" w:type="dxa"/>
            <w:tcBorders/>
            <w:shd w:fill="CCEEFF" w:val="clear"/>
            <w:vAlign w:val="bottom"/>
          </w:tcPr>
          <w:p>
            <w:pPr>
              <w:pStyle w:val="TableContents"/>
              <w:bidi w:val="0"/>
              <w:spacing w:before="0" w:after="0"/>
              <w:ind w:left="360" w:right="0" w:hanging="0"/>
              <w:jc w:val="left"/>
              <w:rPr>
                <w:rFonts w:ascii="Times New Roman" w:hAnsi="Times New Roman"/>
                <w:color w:val="000000"/>
                <w:sz w:val="20"/>
              </w:rPr>
            </w:pPr>
            <w:r>
              <w:rPr>
                <w:rFonts w:ascii="Times New Roman" w:hAnsi="Times New Roman"/>
                <w:color w:val="000000"/>
                <w:sz w:val="20"/>
              </w:rPr>
              <w:t>Net Assets</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34"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90,025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94,045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7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44,854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228,924</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sz w:val="20"/>
        </w:rPr>
      </w:pPr>
      <w:r>
        <w:rPr>
          <w:sz w:val="20"/>
        </w:rPr>
      </w:r>
    </w:p>
    <w:tbl>
      <w:tblPr>
        <w:tblW w:w="5625" w:type="dxa"/>
        <w:jc w:val="left"/>
        <w:tblInd w:w="0" w:type="dxa"/>
        <w:tblLayout w:type="fixed"/>
        <w:tblCellMar>
          <w:top w:w="0" w:type="dxa"/>
          <w:left w:w="0" w:type="dxa"/>
          <w:bottom w:w="0" w:type="dxa"/>
          <w:right w:w="0" w:type="dxa"/>
        </w:tblCellMar>
      </w:tblPr>
      <w:tblGrid>
        <w:gridCol w:w="1655"/>
        <w:gridCol w:w="60"/>
        <w:gridCol w:w="125"/>
        <w:gridCol w:w="695"/>
        <w:gridCol w:w="60"/>
        <w:gridCol w:w="60"/>
        <w:gridCol w:w="125"/>
        <w:gridCol w:w="845"/>
        <w:gridCol w:w="60"/>
        <w:gridCol w:w="60"/>
        <w:gridCol w:w="125"/>
        <w:gridCol w:w="590"/>
        <w:gridCol w:w="60"/>
        <w:gridCol w:w="60"/>
        <w:gridCol w:w="125"/>
        <w:gridCol w:w="845"/>
        <w:gridCol w:w="75"/>
      </w:tblGrid>
      <w:tr>
        <w:trPr/>
        <w:tc>
          <w:tcPr>
            <w:tcW w:w="1655" w:type="dxa"/>
            <w:tcBorders/>
            <w:shd w:fill="CCEEFF" w:val="clear"/>
            <w:vAlign w:val="bottom"/>
          </w:tcPr>
          <w:p>
            <w:pPr>
              <w:pStyle w:val="TableContents"/>
              <w:bidi w:val="0"/>
              <w:spacing w:before="0" w:after="0"/>
              <w:ind w:left="324" w:right="0" w:hanging="144"/>
              <w:jc w:val="left"/>
              <w:rPr>
                <w:b/>
                <w:sz w:val="20"/>
              </w:rPr>
            </w:pPr>
            <w:r>
              <w:rPr>
                <w:b/>
                <w:sz w:val="20"/>
              </w:rPr>
              <w:t>December 31, 2025</w:t>
            </w:r>
          </w:p>
        </w:tc>
        <w:tc>
          <w:tcPr>
            <w:tcW w:w="60" w:type="dxa"/>
            <w:tcBorders/>
            <w:shd w:fill="CCEEFF" w:val="clear"/>
            <w:vAlign w:val="bottom"/>
          </w:tcPr>
          <w:p>
            <w:pPr>
              <w:pStyle w:val="TableContents"/>
              <w:bidi w:val="0"/>
              <w:spacing w:before="0" w:after="283"/>
              <w:jc w:val="left"/>
              <w:rPr/>
            </w:pPr>
            <w:r>
              <w:rPr/>
              <w:t> </w:t>
            </w:r>
          </w:p>
        </w:tc>
        <w:tc>
          <w:tcPr>
            <w:tcW w:w="820" w:type="dxa"/>
            <w:gridSpan w:val="2"/>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70" w:type="dxa"/>
            <w:gridSpan w:val="2"/>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5" w:type="dxa"/>
            <w:gridSpan w:val="2"/>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70" w:type="dxa"/>
            <w:gridSpan w:val="2"/>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r>
      <w:tr>
        <w:trPr/>
        <w:tc>
          <w:tcPr>
            <w:tcW w:w="1655" w:type="dxa"/>
            <w:tcBorders/>
            <w:vAlign w:val="bottom"/>
          </w:tcPr>
          <w:p>
            <w:pPr>
              <w:pStyle w:val="TableContents"/>
              <w:bidi w:val="0"/>
              <w:spacing w:before="0" w:after="0"/>
              <w:ind w:left="504" w:right="0" w:hanging="144"/>
              <w:jc w:val="left"/>
              <w:rPr>
                <w:sz w:val="20"/>
              </w:rPr>
            </w:pPr>
            <w:r>
              <w:rPr>
                <w:sz w:val="20"/>
              </w:rPr>
              <w:t>Investments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sz w:val="20"/>
              </w:rPr>
            </w:pPr>
            <w:r>
              <w:rPr>
                <w:sz w:val="20"/>
              </w:rPr>
              <w:t>$</w:t>
            </w:r>
          </w:p>
        </w:tc>
        <w:tc>
          <w:tcPr>
            <w:tcW w:w="695" w:type="dxa"/>
            <w:tcBorders/>
            <w:vAlign w:val="bottom"/>
          </w:tcPr>
          <w:p>
            <w:pPr>
              <w:pStyle w:val="TableContents"/>
              <w:bidi w:val="0"/>
              <w:spacing w:before="0" w:after="0"/>
              <w:jc w:val="right"/>
              <w:rPr>
                <w:sz w:val="20"/>
              </w:rPr>
            </w:pPr>
            <w:r>
              <w:rPr>
                <w:sz w:val="20"/>
              </w:rPr>
              <w:t>214,831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sz w:val="20"/>
              </w:rPr>
            </w:pPr>
            <w:r>
              <w:rPr>
                <w:sz w:val="20"/>
              </w:rPr>
              <w:t>$</w:t>
            </w:r>
          </w:p>
        </w:tc>
        <w:tc>
          <w:tcPr>
            <w:tcW w:w="845" w:type="dxa"/>
            <w:tcBorders/>
            <w:vAlign w:val="bottom"/>
          </w:tcPr>
          <w:p>
            <w:pPr>
              <w:pStyle w:val="TableContents"/>
              <w:bidi w:val="0"/>
              <w:spacing w:before="0" w:after="0"/>
              <w:jc w:val="right"/>
              <w:rPr>
                <w:sz w:val="20"/>
              </w:rPr>
            </w:pPr>
            <w:r>
              <w:rPr>
                <w:sz w:val="20"/>
              </w:rPr>
              <w:t>1,213,851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sz w:val="20"/>
              </w:rPr>
            </w:pPr>
            <w:r>
              <w:rPr>
                <w:sz w:val="20"/>
              </w:rPr>
              <w:t>$</w:t>
            </w:r>
          </w:p>
        </w:tc>
        <w:tc>
          <w:tcPr>
            <w:tcW w:w="590" w:type="dxa"/>
            <w:tcBorders/>
            <w:vAlign w:val="bottom"/>
          </w:tcPr>
          <w:p>
            <w:pPr>
              <w:pStyle w:val="TableContents"/>
              <w:bidi w:val="0"/>
              <w:spacing w:before="0" w:after="0"/>
              <w:jc w:val="right"/>
              <w:rPr>
                <w:sz w:val="20"/>
              </w:rPr>
            </w:pPr>
            <w:r>
              <w:rPr>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sz w:val="20"/>
              </w:rPr>
            </w:pPr>
            <w:r>
              <w:rPr>
                <w:sz w:val="20"/>
              </w:rPr>
              <w:t>$</w:t>
            </w:r>
          </w:p>
        </w:tc>
        <w:tc>
          <w:tcPr>
            <w:tcW w:w="845" w:type="dxa"/>
            <w:tcBorders/>
            <w:vAlign w:val="bottom"/>
          </w:tcPr>
          <w:p>
            <w:pPr>
              <w:pStyle w:val="TableContents"/>
              <w:bidi w:val="0"/>
              <w:spacing w:before="0" w:after="0"/>
              <w:jc w:val="right"/>
              <w:rPr>
                <w:sz w:val="20"/>
              </w:rPr>
            </w:pPr>
            <w:r>
              <w:rPr>
                <w:sz w:val="20"/>
              </w:rPr>
              <w:t>1,428,682</w:t>
            </w:r>
          </w:p>
        </w:tc>
        <w:tc>
          <w:tcPr>
            <w:tcW w:w="75" w:type="dxa"/>
            <w:tcBorders/>
            <w:vAlign w:val="bottom"/>
          </w:tcPr>
          <w:p>
            <w:pPr>
              <w:pStyle w:val="TableContents"/>
              <w:bidi w:val="0"/>
              <w:spacing w:before="0" w:after="283"/>
              <w:jc w:val="left"/>
              <w:rPr/>
            </w:pPr>
            <w:r>
              <w:rPr/>
              <w:t> </w:t>
            </w:r>
          </w:p>
        </w:tc>
      </w:tr>
      <w:tr>
        <w:trPr/>
        <w:tc>
          <w:tcPr>
            <w:tcW w:w="1655" w:type="dxa"/>
            <w:tcBorders/>
            <w:shd w:fill="CCEEFF" w:val="clear"/>
            <w:vAlign w:val="bottom"/>
          </w:tcPr>
          <w:p>
            <w:pPr>
              <w:pStyle w:val="TableContents"/>
              <w:bidi w:val="0"/>
              <w:spacing w:before="0" w:after="0"/>
              <w:ind w:left="504" w:right="0" w:hanging="144"/>
              <w:jc w:val="left"/>
              <w:rPr>
                <w:sz w:val="20"/>
              </w:rPr>
            </w:pPr>
            <w:r>
              <w:rPr>
                <w:sz w:val="20"/>
              </w:rPr>
              <w:t>Other assets</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sz w:val="20"/>
              </w:rPr>
            </w:pPr>
            <w:r>
              <w:rPr>
                <w:sz w:val="20"/>
              </w:rPr>
              <w:t>28,904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sz w:val="20"/>
              </w:rPr>
            </w:pPr>
            <w:r>
              <w:rPr>
                <w:sz w:val="20"/>
              </w:rPr>
              <w:t>27,293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bottom"/>
          </w:tcPr>
          <w:p>
            <w:pPr>
              <w:pStyle w:val="TableContents"/>
              <w:bidi w:val="0"/>
              <w:spacing w:before="0" w:after="0"/>
              <w:jc w:val="right"/>
              <w:rPr>
                <w:sz w:val="20"/>
              </w:rPr>
            </w:pPr>
            <w:r>
              <w:rPr>
                <w:sz w:val="20"/>
              </w:rPr>
              <w:t>55,677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sz w:val="20"/>
              </w:rPr>
            </w:pPr>
            <w:r>
              <w:rPr>
                <w:sz w:val="20"/>
              </w:rPr>
              <w:t>111,874</w:t>
            </w:r>
          </w:p>
        </w:tc>
        <w:tc>
          <w:tcPr>
            <w:tcW w:w="75" w:type="dxa"/>
            <w:tcBorders/>
            <w:shd w:fill="CCEEFF" w:val="clear"/>
            <w:vAlign w:val="bottom"/>
          </w:tcPr>
          <w:p>
            <w:pPr>
              <w:pStyle w:val="TableContents"/>
              <w:bidi w:val="0"/>
              <w:spacing w:before="0" w:after="283"/>
              <w:jc w:val="left"/>
              <w:rPr/>
            </w:pPr>
            <w:r>
              <w:rPr/>
              <w:t> </w:t>
            </w:r>
          </w:p>
        </w:tc>
      </w:tr>
      <w:tr>
        <w:trPr/>
        <w:tc>
          <w:tcPr>
            <w:tcW w:w="1655" w:type="dxa"/>
            <w:tcBorders/>
            <w:vAlign w:val="bottom"/>
          </w:tcPr>
          <w:p>
            <w:pPr>
              <w:pStyle w:val="TableContents"/>
              <w:bidi w:val="0"/>
              <w:spacing w:before="0" w:after="0"/>
              <w:ind w:left="504" w:right="0" w:hanging="144"/>
              <w:jc w:val="left"/>
              <w:rPr>
                <w:sz w:val="20"/>
              </w:rPr>
            </w:pPr>
            <w:r>
              <w:rPr>
                <w:sz w:val="20"/>
              </w:rPr>
              <w:t>Total assets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sz w:val="20"/>
              </w:rPr>
            </w:pPr>
            <w:r>
              <w:rPr>
                <w:sz w:val="20"/>
              </w:rPr>
              <w:t>243,735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sz w:val="20"/>
              </w:rPr>
            </w:pPr>
            <w:r>
              <w:rPr>
                <w:sz w:val="20"/>
              </w:rPr>
              <w:t>1,241,144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sz w:val="20"/>
              </w:rPr>
            </w:pPr>
            <w:r>
              <w:rPr>
                <w:sz w:val="20"/>
              </w:rPr>
              <w:t>55,677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sz w:val="20"/>
              </w:rPr>
            </w:pPr>
            <w:r>
              <w:rPr>
                <w:sz w:val="20"/>
              </w:rPr>
              <w:t>1,540,556</w:t>
            </w:r>
          </w:p>
        </w:tc>
        <w:tc>
          <w:tcPr>
            <w:tcW w:w="75" w:type="dxa"/>
            <w:tcBorders/>
            <w:vAlign w:val="bottom"/>
          </w:tcPr>
          <w:p>
            <w:pPr>
              <w:pStyle w:val="TableContents"/>
              <w:bidi w:val="0"/>
              <w:spacing w:before="0" w:after="283"/>
              <w:jc w:val="left"/>
              <w:rPr/>
            </w:pPr>
            <w:r>
              <w:rPr/>
              <w:t> </w:t>
            </w:r>
          </w:p>
        </w:tc>
      </w:tr>
      <w:tr>
        <w:trPr/>
        <w:tc>
          <w:tcPr>
            <w:tcW w:w="1655" w:type="dxa"/>
            <w:tcBorders/>
            <w:shd w:fill="CCEEFF" w:val="clear"/>
            <w:vAlign w:val="bottom"/>
          </w:tcPr>
          <w:p>
            <w:pPr>
              <w:pStyle w:val="TableContents"/>
              <w:bidi w:val="0"/>
              <w:spacing w:before="0" w:after="0"/>
              <w:ind w:left="504" w:right="0" w:hanging="144"/>
              <w:jc w:val="left"/>
              <w:rPr>
                <w:sz w:val="20"/>
              </w:rPr>
            </w:pPr>
            <w:r>
              <w:rPr>
                <w:sz w:val="20"/>
              </w:rPr>
              <w:t>Debt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sz w:val="20"/>
              </w:rPr>
            </w:pPr>
            <w:r>
              <w:rPr>
                <w:sz w:val="20"/>
              </w:rPr>
              <w:t>145,191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sz w:val="20"/>
              </w:rPr>
            </w:pPr>
            <w:r>
              <w:rPr>
                <w:sz w:val="20"/>
              </w:rPr>
              <w:t>1,137,200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sz w:val="20"/>
              </w:rPr>
            </w:pPr>
            <w:r>
              <w:rPr>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sz w:val="20"/>
              </w:rPr>
            </w:pPr>
            <w:r>
              <w:rPr>
                <w:sz w:val="20"/>
              </w:rPr>
              <w:t>1,282,391</w:t>
            </w:r>
          </w:p>
        </w:tc>
        <w:tc>
          <w:tcPr>
            <w:tcW w:w="75" w:type="dxa"/>
            <w:tcBorders/>
            <w:shd w:fill="CCEEFF" w:val="clear"/>
            <w:vAlign w:val="bottom"/>
          </w:tcPr>
          <w:p>
            <w:pPr>
              <w:pStyle w:val="TableContents"/>
              <w:bidi w:val="0"/>
              <w:spacing w:before="0" w:after="283"/>
              <w:jc w:val="left"/>
              <w:rPr/>
            </w:pPr>
            <w:r>
              <w:rPr/>
              <w:t> </w:t>
            </w:r>
          </w:p>
        </w:tc>
      </w:tr>
      <w:tr>
        <w:trPr/>
        <w:tc>
          <w:tcPr>
            <w:tcW w:w="1655" w:type="dxa"/>
            <w:tcBorders/>
            <w:vAlign w:val="bottom"/>
          </w:tcPr>
          <w:p>
            <w:pPr>
              <w:pStyle w:val="TableContents"/>
              <w:bidi w:val="0"/>
              <w:spacing w:before="0" w:after="0"/>
              <w:ind w:left="504" w:right="0" w:hanging="144"/>
              <w:jc w:val="left"/>
              <w:rPr>
                <w:sz w:val="20"/>
              </w:rPr>
            </w:pPr>
            <w:r>
              <w:rPr>
                <w:sz w:val="20"/>
              </w:rPr>
              <w:t>Other liabilities</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sz w:val="20"/>
              </w:rPr>
            </w:pPr>
            <w:r>
              <w:rPr>
                <w:sz w:val="20"/>
              </w:rPr>
              <w:t>2,575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0"/>
              <w:jc w:val="right"/>
              <w:rPr>
                <w:sz w:val="20"/>
              </w:rPr>
            </w:pPr>
            <w:r>
              <w:rPr>
                <w:sz w:val="20"/>
              </w:rPr>
              <w:t>9,504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sz w:val="20"/>
              </w:rPr>
            </w:pPr>
            <w:r>
              <w:rPr>
                <w:sz w:val="20"/>
              </w:rPr>
              <w:t>7,554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0"/>
              <w:jc w:val="right"/>
              <w:rPr>
                <w:sz w:val="20"/>
              </w:rPr>
            </w:pPr>
            <w:r>
              <w:rPr>
                <w:sz w:val="20"/>
              </w:rPr>
              <w:t>19,633</w:t>
            </w:r>
          </w:p>
        </w:tc>
        <w:tc>
          <w:tcPr>
            <w:tcW w:w="75" w:type="dxa"/>
            <w:tcBorders/>
            <w:vAlign w:val="bottom"/>
          </w:tcPr>
          <w:p>
            <w:pPr>
              <w:pStyle w:val="TableContents"/>
              <w:bidi w:val="0"/>
              <w:spacing w:before="0" w:after="283"/>
              <w:jc w:val="left"/>
              <w:rPr/>
            </w:pPr>
            <w:r>
              <w:rPr/>
              <w:t> </w:t>
            </w:r>
          </w:p>
        </w:tc>
      </w:tr>
      <w:tr>
        <w:trPr/>
        <w:tc>
          <w:tcPr>
            <w:tcW w:w="1655" w:type="dxa"/>
            <w:tcBorders/>
            <w:shd w:fill="CCEEFF" w:val="clear"/>
            <w:vAlign w:val="bottom"/>
          </w:tcPr>
          <w:p>
            <w:pPr>
              <w:pStyle w:val="TableContents"/>
              <w:bidi w:val="0"/>
              <w:spacing w:before="0" w:after="0"/>
              <w:ind w:left="504" w:right="0" w:hanging="144"/>
              <w:jc w:val="left"/>
              <w:rPr>
                <w:sz w:val="20"/>
              </w:rPr>
            </w:pPr>
            <w:r>
              <w:rPr>
                <w:sz w:val="20"/>
              </w:rPr>
              <w:t>Total liabilities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sz w:val="20"/>
              </w:rPr>
            </w:pPr>
            <w:r>
              <w:rPr>
                <w:sz w:val="20"/>
              </w:rPr>
              <w:t>147,766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sz w:val="20"/>
              </w:rPr>
            </w:pPr>
            <w:r>
              <w:rPr>
                <w:sz w:val="20"/>
              </w:rPr>
              <w:t>1,146,704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sz w:val="20"/>
              </w:rPr>
            </w:pPr>
            <w:r>
              <w:rPr>
                <w:sz w:val="20"/>
              </w:rPr>
              <w:t>7,554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sz w:val="20"/>
              </w:rPr>
            </w:pPr>
            <w:r>
              <w:rPr>
                <w:sz w:val="20"/>
              </w:rPr>
              <w:t>1,302,024</w:t>
            </w:r>
          </w:p>
        </w:tc>
        <w:tc>
          <w:tcPr>
            <w:tcW w:w="75" w:type="dxa"/>
            <w:tcBorders/>
            <w:shd w:fill="CCEEFF" w:val="clear"/>
            <w:vAlign w:val="bottom"/>
          </w:tcPr>
          <w:p>
            <w:pPr>
              <w:pStyle w:val="TableContents"/>
              <w:bidi w:val="0"/>
              <w:spacing w:before="0" w:after="283"/>
              <w:jc w:val="left"/>
              <w:rPr/>
            </w:pPr>
            <w:r>
              <w:rPr/>
              <w:t> </w:t>
            </w:r>
          </w:p>
        </w:tc>
      </w:tr>
      <w:tr>
        <w:trPr/>
        <w:tc>
          <w:tcPr>
            <w:tcW w:w="1655" w:type="dxa"/>
            <w:tcBorders/>
            <w:vAlign w:val="bottom"/>
          </w:tcPr>
          <w:p>
            <w:pPr>
              <w:pStyle w:val="TableContents"/>
              <w:bidi w:val="0"/>
              <w:spacing w:before="0" w:after="0"/>
              <w:ind w:left="504" w:right="0" w:hanging="144"/>
              <w:jc w:val="left"/>
              <w:rPr>
                <w:sz w:val="20"/>
              </w:rPr>
            </w:pPr>
            <w:r>
              <w:rPr>
                <w:sz w:val="20"/>
              </w:rPr>
              <w:t>Net Assets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sz w:val="20"/>
              </w:rPr>
            </w:pPr>
            <w:r>
              <w:rPr>
                <w:sz w:val="20"/>
              </w:rPr>
              <w:t>$</w:t>
            </w:r>
          </w:p>
        </w:tc>
        <w:tc>
          <w:tcPr>
            <w:tcW w:w="695" w:type="dxa"/>
            <w:tcBorders/>
            <w:vAlign w:val="bottom"/>
          </w:tcPr>
          <w:p>
            <w:pPr>
              <w:pStyle w:val="TableContents"/>
              <w:bidi w:val="0"/>
              <w:spacing w:before="0" w:after="0"/>
              <w:jc w:val="right"/>
              <w:rPr>
                <w:sz w:val="20"/>
              </w:rPr>
            </w:pPr>
            <w:r>
              <w:rPr>
                <w:sz w:val="20"/>
              </w:rPr>
              <w:t>95,969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sz w:val="20"/>
              </w:rPr>
            </w:pPr>
            <w:r>
              <w:rPr>
                <w:sz w:val="20"/>
              </w:rPr>
              <w:t>$</w:t>
            </w:r>
          </w:p>
        </w:tc>
        <w:tc>
          <w:tcPr>
            <w:tcW w:w="845" w:type="dxa"/>
            <w:tcBorders/>
            <w:vAlign w:val="bottom"/>
          </w:tcPr>
          <w:p>
            <w:pPr>
              <w:pStyle w:val="TableContents"/>
              <w:bidi w:val="0"/>
              <w:spacing w:before="0" w:after="0"/>
              <w:jc w:val="right"/>
              <w:rPr>
                <w:sz w:val="20"/>
              </w:rPr>
            </w:pPr>
            <w:r>
              <w:rPr>
                <w:sz w:val="20"/>
              </w:rPr>
              <w:t>94,440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sz w:val="20"/>
              </w:rPr>
            </w:pPr>
            <w:r>
              <w:rPr>
                <w:sz w:val="20"/>
              </w:rPr>
              <w:t>$</w:t>
            </w:r>
          </w:p>
        </w:tc>
        <w:tc>
          <w:tcPr>
            <w:tcW w:w="590" w:type="dxa"/>
            <w:tcBorders/>
            <w:vAlign w:val="bottom"/>
          </w:tcPr>
          <w:p>
            <w:pPr>
              <w:pStyle w:val="TableContents"/>
              <w:bidi w:val="0"/>
              <w:spacing w:before="0" w:after="0"/>
              <w:jc w:val="right"/>
              <w:rPr>
                <w:sz w:val="20"/>
              </w:rPr>
            </w:pPr>
            <w:r>
              <w:rPr>
                <w:sz w:val="20"/>
              </w:rPr>
              <w:t>48,123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sz w:val="20"/>
              </w:rPr>
            </w:pPr>
            <w:r>
              <w:rPr>
                <w:sz w:val="20"/>
              </w:rPr>
              <w:t>$</w:t>
            </w:r>
          </w:p>
        </w:tc>
        <w:tc>
          <w:tcPr>
            <w:tcW w:w="845" w:type="dxa"/>
            <w:tcBorders/>
            <w:vAlign w:val="bottom"/>
          </w:tcPr>
          <w:p>
            <w:pPr>
              <w:pStyle w:val="TableContents"/>
              <w:bidi w:val="0"/>
              <w:spacing w:before="0" w:after="0"/>
              <w:jc w:val="right"/>
              <w:rPr>
                <w:sz w:val="20"/>
              </w:rPr>
            </w:pPr>
            <w:r>
              <w:rPr>
                <w:sz w:val="20"/>
              </w:rPr>
              <w:t>238,532</w:t>
            </w:r>
          </w:p>
        </w:tc>
        <w:tc>
          <w:tcPr>
            <w:tcW w:w="75" w:type="dxa"/>
            <w:tcBorders/>
            <w:vAlign w:val="bottom"/>
          </w:tcPr>
          <w:p>
            <w:pPr>
              <w:pStyle w:val="TableContents"/>
              <w:bidi w:val="0"/>
              <w:spacing w:before="0" w:after="283"/>
              <w:jc w:val="left"/>
              <w:rPr/>
            </w:pPr>
            <w:r>
              <w:rPr/>
              <w:t> </w:t>
            </w:r>
          </w:p>
        </w:tc>
      </w:tr>
    </w:tbl>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58</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Interest Income</w:t>
      </w:r>
    </w:p>
    <w:p>
      <w:pPr>
        <w:pStyle w:val="TextBody"/>
        <w:bidi w:val="0"/>
        <w:spacing w:before="0" w:after="0"/>
        <w:ind w:left="0" w:right="0" w:firstLine="720"/>
        <w:jc w:val="both"/>
        <w:rPr>
          <w:b/>
          <w:i/>
          <w:color w:val="000000"/>
        </w:rPr>
      </w:pPr>
      <w:r>
        <w:rPr>
          <w:b/>
          <w:i/>
          <w:color w:val="000000"/>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Interest income for the three-month period ended June 30, 2026 was $14.7 million as compared to $15.9 million for the three-month period ended March 31, 2026. The decrease of $1.2 million was due to the sale of securities and an increase in price premium amortization.</w:t>
      </w:r>
    </w:p>
    <w:p>
      <w:pPr>
        <w:pStyle w:val="TextBody"/>
        <w:bidi w:val="0"/>
        <w:spacing w:before="0" w:after="0"/>
        <w:jc w:val="both"/>
        <w:rPr>
          <w:sz w:val="20"/>
        </w:rPr>
      </w:pPr>
      <w:r>
        <w:rPr>
          <w:sz w:val="20"/>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Interest income for the six-month period ended June 30, 2026 was $30.6 million as compared to $29.6 million for the six-month period ended June 30, 2025. The increase of $1.0 million in interest income was primarily attributable to higher yields earned on the portfolio, resulting from the reinvestment of principal proceeds into higher-coupon securities and the replacement of lower-yielding investments with securities generating higher interest income.</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Interest Expense</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Interest expense for the three-month period ended June 30, 2026 was $10.0 million as compared to $11.4 million for the three-month period ended March 31, 2026. The decrease of $1.4 million in interest expense was due to changes in the Company’s leverage.</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Interest expense for the six-month period ended June 30, 2026 was $21.4 million as compared to $24.8 million for the six-month period ended June 30, 2025. The decrease of $3.4 million in interest expense was due to a decrease in financing rates combined with a decrease in notes payable.</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Servicing Fee Income</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Servicing fee income for the three-month period ended June 30, 2026 was $9.7 million as compared to $10.2 million for the three-month period ended March 31, 2026. The decrease of $0.5 million in servicing fee income was due to changes in the size of the portfolio.</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Servicing fee income for the six-month period ended June 30, 2026 was $19.9 million as compared to $21.9 million for the six-month period ended June 30, 2025. The decrease of $2.0 million in servicing fee income was due to changes in the size of the portfolio.</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Servicing Costs</w:t>
      </w:r>
    </w:p>
    <w:p>
      <w:pPr>
        <w:pStyle w:val="TextBody"/>
        <w:bidi w:val="0"/>
        <w:spacing w:before="0" w:after="0"/>
        <w:jc w:val="left"/>
        <w:rPr>
          <w:sz w:val="20"/>
        </w:rPr>
      </w:pPr>
      <w:r>
        <w:rPr>
          <w:sz w:val="20"/>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Servicing costs for each of the three-month periods ended June 30, 2026 and March 31, 2026 was $2.3 million. The change was nominal.</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Servicing costs for the six-month period ended June 30, 2026 were $4.6 million as compared to $4.5 million for the six-month period ended June 30, 2025. The change was nominal.</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Realized Loss on RMBS, Net</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Realized loss on RMBS for the three-month period ended June 30, 2026 was approximately $1.0 million as compared to $0 for the three-month period ended March 31, 2026. The increase of $1.0 million in realized loss on RMBS was due to the timing and volume of RMBS sales.</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Realized loss on RMBS for the six-month period ended June 30, 2026 was approximately $1.0 million as compared to $6.0 million for the six-month period ended June 30, 2025. The decrease of $5.0 million in realized loss on RMBS was due to the timing and volume of RMBS sales.</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Realized Gain on Investments in MSRs, Net</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Realized gain on investments in MSRs for each of the three-month periods ended June 30, 2026 and March 31, 2026 was $0 because no MSRs were sold during these periods.</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Realized gain on investments in MSRs for each of the six-month periods ended June 30, 2026 and June 30, 2025 was $0 because no MSRs were sold during these periods.</w:t>
      </w:r>
    </w:p>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59</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Realized Gain (Loss) on Derivatives, Net</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Realized gain on derivatives for the three-month period ended June 30, 2026 was approximately $12.1 million as compared to a $70 thousand realized loss on derivatives for the three-month period ended March 31, 2026. The increase of $12.2 million in realized gain on derivatives was substantially comprised of an increase of $8.1 million in gains on TBAs, an increase of $2.6 million in gain on U.S. Treasury futures, and an increase of $1.6 million in gain on Eris SOFR swap futures offset by a decrease of $69 thousand in interest rate swaps periodic interest income due to changes in interest rates as well as composition of derivatives.</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Realized gain on derivatives for the six-month period ended June 30, 2026 was approximately $12.1 million as compared to $19.5 million for the six-month period ended June 30, 2025. The decrease of $7.4 million in realized gain on derivatives was substantially comprised of a decrease of $5.3 million in gains on TBAs, a decrease of $1.2 million in gains on U.S. Treasury futures, and a decrease of $3.5 million in interest rate swaps periodic interest income due to changes in interest rates as well as composition of derivatives offset by an increase of $1.2 million in gains on interest rate swaps and an increase of $1.4 million in gains on Eris SOFR swap futures.</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Unrealized Gain (Loss) on RMBS, Measured at Fair Value through Earnings, Net</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Unrealized loss on RMBS measured at fair value through earnings for the three-month period ended June 30, 2026 was $0.9 million as compared to $12.4 million for the three-month period ended March 31, 2026. The decrease of $11.5 million in unrealized loss on RMBS measured at fair value through earnings was a result of changes in interest rates combined with spread tightening.</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Unrealized loss on RMBS measured at fair value through earnings for the six-month period ended June 30, 2026 was $13.3 million, compared to an unrealized gain of $18.3 million for the six-month period ended June 30, 2025. The $31.6 million unfavorable change was primarily due to an increase in interest rates and nominal spread widening during the period.</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Unrealized Gain (Loss) on Derivatives</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Unrealized loss on derivatives for the three-month period ended June 30, 2026 was approximately $9.3 million as compared to an unrealized gain of $6.1 million for the three-month period ended March 31, 2026. The $15.4 unfavorable change was primarily due to changes in interest rates and the composition of our derivatives relative to the prior period.</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Unrealized loss on derivatives for the six-month period ended June 30, 2026 was approximately $3.2 million as compared to $41.9 million for the six-month period ended June 30, 2025. The decrease of $38.7 million in unrealized loss on derivatives was primarily due to changes in interest rates and the composition of our derivatives relative to the prior period.</w:t>
      </w:r>
    </w:p>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60</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Unrealized Loss on Investments in Servicing Related Assets</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Unrealized loss on our investments in Servicing Related Assets for the three-month period ended June 30, 2026 was approximately $2.4 million as compared to $1.4 million for the three-month period ended March 31, 2026. The decrease of $1.0 million in unrealized loss on our investments in Servicing Related Assets was primarily due to changes in valuation inputs or assumptions and paydown of underlying loans.</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Unrealized loss on our investments in Servicing Related Assets for the six-month period ended June 30, 2026 was approximately $3.7 million as compared to $9.1 million for the six-month period ended June 30, 2025. The decrease of $5.4 million in unrealized loss on our investments in Servicing Related Assets was primarily due to changes in valuation inputs or assumptions and paydown of underlying loans.</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Credit Loss and Impairment on Other Assets</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Credit loss and impairment on other assets was approximately $2.8 million for the three-month and six-month periods ended June 30, 2026. The increase of $2.8 million was due to the recognition of credit loss and impairment charges taken in the second quarter of 2026 on certain strategic investments and related receivables following management’s assessment of their estimated recoverable values.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General and Administrative Expense</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General and administrative expense was $2.1 million for the three-month period ended June 30, 2026 as compared to $1.7 million for the three-month period ended March 31, 2026. The increase of $0.4 million in general and administrative expense was due to an increase in professional fees. Merger related costs were $0.2 million for the three months ended June 30, 2026. These costs were incurred in connection with the proposed merger with MITT and primarily consisted of legal fees.</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General and administrative expense was $3.8 million for six-month period ended June 30, 2026 as compared to $4.0 million for the six-month period ended June 30, 2025. The decrease of $0.2 million in general and administrative expense was due to a decrease in professional fees. Merger related costs were $0.2 million for the six months ended June 30, 2026. These costs were incurred in connection with the proposed merger with MITT and primarily consisted of legal fees.</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Compensation and Benefits</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Compensation and benefits expense for the three-month period ended June 30, 2026 was $1.9 million as compared to $1.6 million for the three-month period ended March 31, 2026. The increase of $0.3 million in compensation and benefits was due to the implementation of the 2026 Executive Plan.</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Compensation and benefits expense for the six-month period ended June 30, 2026 was $3.5 million as compared to $3.1 million for the six-month period ended June 30, 2025. The increase of $0.4 million in compensation and benefits was due to the implementation of the 2026 Executive Plan.</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Net Income (Loss) Allocated to Noncontrolling Interests in Operating Partnership</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Net income (loss) allocated to noncontrolling interests in the Operating Partnership, which are LTIP-OP Units owned by directors, officers and employees of the Company and by certain individuals who provided services to us through the Manager prior to the Internalization, represented approximately 1.5% and  1.4% of net income for the three-month periods ended June 30, 2026 and March 31, 2026, respectively and 1.4% and 1.8% of net income (loss) for the six month periods ended June 30, 2026 and June 30, 2025 respectively.</w:t>
      </w:r>
    </w:p>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61</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For the periods indicated below, our accumulated other comprehensive income (loss) changed as a result of the indicated gains and losses (dollars in thousands):</w:t>
      </w:r>
    </w:p>
    <w:p>
      <w:pPr>
        <w:pStyle w:val="TextBody"/>
        <w:bidi w:val="0"/>
        <w:spacing w:before="0" w:after="0"/>
        <w:jc w:val="left"/>
        <w:rPr>
          <w:sz w:val="20"/>
        </w:rPr>
      </w:pPr>
      <w:r>
        <w:rPr>
          <w:sz w:val="20"/>
        </w:rPr>
      </w:r>
    </w:p>
    <w:p>
      <w:pPr>
        <w:pStyle w:val="TextBody"/>
        <w:bidi w:val="0"/>
        <w:spacing w:before="0" w:after="0"/>
        <w:jc w:val="center"/>
        <w:rPr>
          <w:color w:val="000000"/>
          <w:shd w:fill="FFFFFF" w:val="clear"/>
        </w:rPr>
      </w:pPr>
      <w:r>
        <w:rPr>
          <w:color w:val="000000"/>
          <w:shd w:fill="FFFFFF" w:val="clear"/>
        </w:rPr>
        <w:t> </w:t>
      </w:r>
      <w:r>
        <w:rPr>
          <w:rFonts w:ascii="Times New Roman" w:hAnsi="Times New Roman"/>
          <w:b/>
          <w:color w:val="000000"/>
          <w:sz w:val="20"/>
          <w:shd w:fill="FFFFFF" w:val="clear"/>
        </w:rPr>
        <w:t>Accumulated Other Comprehensive Income (Loss)</w:t>
      </w:r>
    </w:p>
    <w:p>
      <w:pPr>
        <w:pStyle w:val="TextBody"/>
        <w:bidi w:val="0"/>
        <w:spacing w:before="0" w:after="0"/>
        <w:jc w:val="left"/>
        <w:rPr>
          <w:sz w:val="20"/>
        </w:rPr>
      </w:pPr>
      <w:r>
        <w:rPr>
          <w:sz w:val="20"/>
        </w:rPr>
      </w:r>
    </w:p>
    <w:tbl>
      <w:tblPr>
        <w:tblW w:w="7224" w:type="dxa"/>
        <w:jc w:val="left"/>
        <w:tblInd w:w="0" w:type="dxa"/>
        <w:tblLayout w:type="fixed"/>
        <w:tblCellMar>
          <w:top w:w="0" w:type="dxa"/>
          <w:left w:w="0" w:type="dxa"/>
          <w:bottom w:w="0" w:type="dxa"/>
          <w:right w:w="0" w:type="dxa"/>
        </w:tblCellMar>
      </w:tblPr>
      <w:tblGrid>
        <w:gridCol w:w="4880"/>
        <w:gridCol w:w="60"/>
        <w:gridCol w:w="450"/>
        <w:gridCol w:w="1759"/>
        <w:gridCol w:w="75"/>
      </w:tblGrid>
      <w:tr>
        <w:trPr/>
        <w:tc>
          <w:tcPr>
            <w:tcW w:w="48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09" w:type="dxa"/>
            <w:gridSpan w:val="2"/>
            <w:tcBorders>
              <w:bottom w:val="single" w:sz="12" w:space="0" w:color="000000"/>
            </w:tcBorders>
            <w:tcMar>
              <w:bottom w:w="28" w:type="dxa"/>
            </w:tcMar>
            <w:vAlign w:val="bottom"/>
          </w:tcPr>
          <w:p>
            <w:pPr>
              <w:pStyle w:val="TableContents"/>
              <w:bidi w:val="0"/>
              <w:spacing w:before="0" w:after="0"/>
              <w:jc w:val="center"/>
              <w:rPr>
                <w:b/>
              </w:rPr>
            </w:pPr>
            <w:r>
              <w:rPr>
                <w:b/>
              </w:rPr>
              <w:t>Three Months Ended</w:t>
            </w:r>
          </w:p>
          <w:p>
            <w:pPr>
              <w:pStyle w:val="TableContents"/>
              <w:bidi w:val="0"/>
              <w:spacing w:before="0" w:after="0"/>
              <w:jc w:val="center"/>
              <w:rPr>
                <w:b/>
              </w:rPr>
            </w:pPr>
            <w:r>
              <w:rPr>
                <w:b/>
              </w:rPr>
              <w:t>June 30, 2026</w:t>
            </w:r>
          </w:p>
        </w:tc>
        <w:tc>
          <w:tcPr>
            <w:tcW w:w="75" w:type="dxa"/>
            <w:tcBorders/>
            <w:vAlign w:val="bottom"/>
          </w:tcPr>
          <w:p>
            <w:pPr>
              <w:pStyle w:val="TableContents"/>
              <w:bidi w:val="0"/>
              <w:spacing w:before="0" w:after="283"/>
              <w:jc w:val="left"/>
              <w:rPr/>
            </w:pPr>
            <w:r>
              <w:rPr/>
              <w:t> </w:t>
            </w:r>
          </w:p>
        </w:tc>
      </w:tr>
      <w:tr>
        <w:trPr/>
        <w:tc>
          <w:tcPr>
            <w:tcW w:w="4880" w:type="dxa"/>
            <w:tcBorders/>
            <w:shd w:fill="CCEEFF" w:val="clear"/>
            <w:vAlign w:val="bottom"/>
          </w:tcPr>
          <w:p>
            <w:pPr>
              <w:pStyle w:val="TableContents"/>
              <w:bidi w:val="0"/>
              <w:spacing w:before="0" w:after="0"/>
              <w:ind w:left="144" w:right="0" w:hanging="144"/>
              <w:jc w:val="left"/>
              <w:rPr>
                <w:sz w:val="20"/>
              </w:rPr>
            </w:pPr>
            <w:r>
              <w:rPr>
                <w:sz w:val="20"/>
              </w:rPr>
              <w:t>Accumulated other comprehensive income, March 31, 2026</w:t>
            </w:r>
          </w:p>
        </w:tc>
        <w:tc>
          <w:tcPr>
            <w:tcW w:w="60" w:type="dxa"/>
            <w:tcBorders/>
            <w:shd w:fill="CCEEFF" w:val="clear"/>
            <w:vAlign w:val="bottom"/>
          </w:tcPr>
          <w:p>
            <w:pPr>
              <w:pStyle w:val="TableContents"/>
              <w:bidi w:val="0"/>
              <w:spacing w:before="0" w:after="283"/>
              <w:jc w:val="right"/>
              <w:rPr/>
            </w:pPr>
            <w:r>
              <w:rPr/>
              <w:t> </w:t>
            </w:r>
          </w:p>
        </w:tc>
        <w:tc>
          <w:tcPr>
            <w:tcW w:w="450" w:type="dxa"/>
            <w:tcBorders/>
            <w:shd w:fill="CCEEFF" w:val="clear"/>
            <w:vAlign w:val="bottom"/>
          </w:tcPr>
          <w:p>
            <w:pPr>
              <w:pStyle w:val="TableContents"/>
              <w:bidi w:val="0"/>
              <w:spacing w:before="0" w:after="0"/>
              <w:jc w:val="left"/>
              <w:rPr>
                <w:sz w:val="20"/>
              </w:rPr>
            </w:pPr>
            <w:r>
              <w:rPr>
                <w:sz w:val="20"/>
              </w:rPr>
              <w:t>$</w:t>
            </w:r>
          </w:p>
        </w:tc>
        <w:tc>
          <w:tcPr>
            <w:tcW w:w="1759" w:type="dxa"/>
            <w:tcBorders/>
            <w:shd w:fill="CCEEFF" w:val="clear"/>
            <w:vAlign w:val="bottom"/>
          </w:tcPr>
          <w:p>
            <w:pPr>
              <w:pStyle w:val="TableContents"/>
              <w:bidi w:val="0"/>
              <w:spacing w:before="0" w:after="0"/>
              <w:jc w:val="right"/>
              <w:rPr>
                <w:sz w:val="20"/>
              </w:rPr>
            </w:pPr>
            <w:r>
              <w:rPr>
                <w:sz w:val="20"/>
              </w:rPr>
              <w:t>1,262</w:t>
            </w:r>
          </w:p>
        </w:tc>
        <w:tc>
          <w:tcPr>
            <w:tcW w:w="75" w:type="dxa"/>
            <w:tcBorders/>
            <w:shd w:fill="CCEEFF" w:val="clear"/>
            <w:vAlign w:val="bottom"/>
          </w:tcPr>
          <w:p>
            <w:pPr>
              <w:pStyle w:val="TableContents"/>
              <w:bidi w:val="0"/>
              <w:spacing w:before="0" w:after="283"/>
              <w:jc w:val="left"/>
              <w:rPr/>
            </w:pPr>
            <w:r>
              <w:rPr/>
              <w:t> </w:t>
            </w:r>
          </w:p>
        </w:tc>
      </w:tr>
      <w:tr>
        <w:trPr/>
        <w:tc>
          <w:tcPr>
            <w:tcW w:w="4880" w:type="dxa"/>
            <w:tcBorders/>
            <w:vAlign w:val="bottom"/>
          </w:tcPr>
          <w:p>
            <w:pPr>
              <w:pStyle w:val="TableContents"/>
              <w:bidi w:val="0"/>
              <w:spacing w:before="0" w:after="0"/>
              <w:ind w:left="144" w:right="0" w:hanging="144"/>
              <w:jc w:val="left"/>
              <w:rPr>
                <w:sz w:val="20"/>
              </w:rPr>
            </w:pPr>
            <w:r>
              <w:rPr>
                <w:sz w:val="20"/>
              </w:rPr>
              <w:t>Other comprehensive income</w:t>
            </w:r>
          </w:p>
        </w:tc>
        <w:tc>
          <w:tcPr>
            <w:tcW w:w="60" w:type="dxa"/>
            <w:tcBorders/>
            <w:vAlign w:val="bottom"/>
          </w:tcPr>
          <w:p>
            <w:pPr>
              <w:pStyle w:val="TableContents"/>
              <w:bidi w:val="0"/>
              <w:spacing w:before="0" w:after="283"/>
              <w:jc w:val="right"/>
              <w:rPr/>
            </w:pPr>
            <w:r>
              <w:rPr/>
              <w:t> </w:t>
            </w:r>
          </w:p>
        </w:tc>
        <w:tc>
          <w:tcPr>
            <w:tcW w:w="450" w:type="dxa"/>
            <w:tcBorders>
              <w:bottom w:val="single" w:sz="12" w:space="0" w:color="000000"/>
            </w:tcBorders>
            <w:tcMar>
              <w:bottom w:w="28" w:type="dxa"/>
            </w:tcMar>
            <w:vAlign w:val="bottom"/>
          </w:tcPr>
          <w:p>
            <w:pPr>
              <w:pStyle w:val="TableContents"/>
              <w:bidi w:val="0"/>
              <w:spacing w:before="0" w:after="283"/>
              <w:jc w:val="left"/>
              <w:rPr/>
            </w:pPr>
            <w:r>
              <w:rPr/>
              <w:t> </w:t>
            </w:r>
          </w:p>
        </w:tc>
        <w:tc>
          <w:tcPr>
            <w:tcW w:w="1759" w:type="dxa"/>
            <w:tcBorders>
              <w:bottom w:val="single" w:sz="12" w:space="0" w:color="000000"/>
            </w:tcBorders>
            <w:tcMar>
              <w:bottom w:w="28" w:type="dxa"/>
            </w:tcMar>
            <w:vAlign w:val="bottom"/>
          </w:tcPr>
          <w:p>
            <w:pPr>
              <w:pStyle w:val="TableContents"/>
              <w:bidi w:val="0"/>
              <w:spacing w:before="0" w:after="0"/>
              <w:jc w:val="right"/>
              <w:rPr>
                <w:sz w:val="20"/>
              </w:rPr>
            </w:pPr>
            <w:r>
              <w:rPr>
                <w:sz w:val="20"/>
              </w:rPr>
              <w:t>495</w:t>
            </w:r>
          </w:p>
        </w:tc>
        <w:tc>
          <w:tcPr>
            <w:tcW w:w="75" w:type="dxa"/>
            <w:tcBorders/>
            <w:vAlign w:val="bottom"/>
          </w:tcPr>
          <w:p>
            <w:pPr>
              <w:pStyle w:val="TableContents"/>
              <w:bidi w:val="0"/>
              <w:spacing w:before="0" w:after="283"/>
              <w:jc w:val="left"/>
              <w:rPr/>
            </w:pPr>
            <w:r>
              <w:rPr/>
              <w:t> </w:t>
            </w:r>
          </w:p>
        </w:tc>
      </w:tr>
      <w:tr>
        <w:trPr/>
        <w:tc>
          <w:tcPr>
            <w:tcW w:w="4880" w:type="dxa"/>
            <w:tcBorders/>
            <w:shd w:fill="CCEEFF" w:val="clear"/>
            <w:vAlign w:val="bottom"/>
          </w:tcPr>
          <w:p>
            <w:pPr>
              <w:pStyle w:val="TableContents"/>
              <w:bidi w:val="0"/>
              <w:spacing w:before="0" w:after="0"/>
              <w:ind w:left="144" w:right="0" w:hanging="144"/>
              <w:jc w:val="left"/>
              <w:rPr>
                <w:sz w:val="20"/>
              </w:rPr>
            </w:pPr>
            <w:r>
              <w:rPr>
                <w:sz w:val="20"/>
              </w:rPr>
              <w:t>Accumulated other comprehensive income, June 30, 2026</w:t>
            </w:r>
          </w:p>
        </w:tc>
        <w:tc>
          <w:tcPr>
            <w:tcW w:w="60" w:type="dxa"/>
            <w:tcBorders/>
            <w:shd w:fill="CCEEFF" w:val="clear"/>
            <w:vAlign w:val="bottom"/>
          </w:tcPr>
          <w:p>
            <w:pPr>
              <w:pStyle w:val="TableContents"/>
              <w:bidi w:val="0"/>
              <w:spacing w:before="0" w:after="283"/>
              <w:jc w:val="right"/>
              <w:rPr/>
            </w:pPr>
            <w:r>
              <w:rPr/>
              <w:t> </w:t>
            </w:r>
          </w:p>
        </w:tc>
        <w:tc>
          <w:tcPr>
            <w:tcW w:w="450" w:type="dxa"/>
            <w:tcBorders/>
            <w:shd w:fill="CCEEFF" w:val="clear"/>
            <w:vAlign w:val="bottom"/>
          </w:tcPr>
          <w:p>
            <w:pPr>
              <w:pStyle w:val="TableContents"/>
              <w:bidi w:val="0"/>
              <w:spacing w:before="0" w:after="0"/>
              <w:jc w:val="left"/>
              <w:rPr>
                <w:sz w:val="20"/>
              </w:rPr>
            </w:pPr>
            <w:r>
              <w:rPr>
                <w:sz w:val="20"/>
              </w:rPr>
              <w:t>$</w:t>
            </w:r>
          </w:p>
        </w:tc>
        <w:tc>
          <w:tcPr>
            <w:tcW w:w="1759" w:type="dxa"/>
            <w:tcBorders/>
            <w:shd w:fill="CCEEFF" w:val="clear"/>
            <w:vAlign w:val="bottom"/>
          </w:tcPr>
          <w:p>
            <w:pPr>
              <w:pStyle w:val="TableContents"/>
              <w:bidi w:val="0"/>
              <w:spacing w:before="0" w:after="0"/>
              <w:jc w:val="right"/>
              <w:rPr>
                <w:sz w:val="20"/>
              </w:rPr>
            </w:pPr>
            <w:r>
              <w:rPr>
                <w:sz w:val="20"/>
              </w:rPr>
              <w:t>1,757</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tbl>
      <w:tblPr>
        <w:tblW w:w="7529" w:type="dxa"/>
        <w:jc w:val="left"/>
        <w:tblInd w:w="0" w:type="dxa"/>
        <w:tblLayout w:type="fixed"/>
        <w:tblCellMar>
          <w:top w:w="0" w:type="dxa"/>
          <w:left w:w="0" w:type="dxa"/>
          <w:bottom w:w="0" w:type="dxa"/>
          <w:right w:w="0" w:type="dxa"/>
        </w:tblCellMar>
      </w:tblPr>
      <w:tblGrid>
        <w:gridCol w:w="5165"/>
        <w:gridCol w:w="60"/>
        <w:gridCol w:w="411"/>
        <w:gridCol w:w="1798"/>
        <w:gridCol w:w="95"/>
      </w:tblGrid>
      <w:tr>
        <w:trPr/>
        <w:tc>
          <w:tcPr>
            <w:tcW w:w="5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09" w:type="dxa"/>
            <w:gridSpan w:val="2"/>
            <w:tcBorders>
              <w:bottom w:val="single" w:sz="12" w:space="0" w:color="000000"/>
            </w:tcBorders>
            <w:tcMar>
              <w:bottom w:w="28" w:type="dxa"/>
            </w:tcMar>
            <w:vAlign w:val="bottom"/>
          </w:tcPr>
          <w:p>
            <w:pPr>
              <w:pStyle w:val="TableContents"/>
              <w:bidi w:val="0"/>
              <w:spacing w:before="0" w:after="0"/>
              <w:jc w:val="center"/>
              <w:rPr>
                <w:b/>
              </w:rPr>
            </w:pPr>
            <w:r>
              <w:rPr>
                <w:b/>
              </w:rPr>
              <w:t>Three Months Ended</w:t>
            </w:r>
          </w:p>
          <w:p>
            <w:pPr>
              <w:pStyle w:val="TableContents"/>
              <w:bidi w:val="0"/>
              <w:spacing w:before="0" w:after="0"/>
              <w:jc w:val="center"/>
              <w:rPr>
                <w:b/>
              </w:rPr>
            </w:pPr>
            <w:r>
              <w:rPr>
                <w:b/>
              </w:rPr>
              <w:t>March 31, 2026</w:t>
            </w:r>
          </w:p>
        </w:tc>
        <w:tc>
          <w:tcPr>
            <w:tcW w:w="95" w:type="dxa"/>
            <w:tcBorders/>
            <w:vAlign w:val="bottom"/>
          </w:tcPr>
          <w:p>
            <w:pPr>
              <w:pStyle w:val="TableContents"/>
              <w:bidi w:val="0"/>
              <w:spacing w:before="0" w:after="283"/>
              <w:jc w:val="left"/>
              <w:rPr/>
            </w:pPr>
            <w:r>
              <w:rPr/>
              <w:t> </w:t>
            </w:r>
          </w:p>
        </w:tc>
      </w:tr>
      <w:tr>
        <w:trPr/>
        <w:tc>
          <w:tcPr>
            <w:tcW w:w="5165" w:type="dxa"/>
            <w:tcBorders/>
            <w:shd w:fill="CCEEFF" w:val="clear"/>
            <w:vAlign w:val="bottom"/>
          </w:tcPr>
          <w:p>
            <w:pPr>
              <w:pStyle w:val="TableContents"/>
              <w:bidi w:val="0"/>
              <w:spacing w:before="0" w:after="0"/>
              <w:ind w:left="144" w:right="0" w:hanging="144"/>
              <w:jc w:val="left"/>
              <w:rPr>
                <w:sz w:val="20"/>
              </w:rPr>
            </w:pPr>
            <w:r>
              <w:rPr>
                <w:sz w:val="20"/>
              </w:rPr>
              <w:t>Accumulated other comprehensive income, December 31, 2025</w:t>
            </w:r>
          </w:p>
        </w:tc>
        <w:tc>
          <w:tcPr>
            <w:tcW w:w="60" w:type="dxa"/>
            <w:tcBorders/>
            <w:shd w:fill="CCEEFF" w:val="clear"/>
            <w:vAlign w:val="bottom"/>
          </w:tcPr>
          <w:p>
            <w:pPr>
              <w:pStyle w:val="TableContents"/>
              <w:bidi w:val="0"/>
              <w:spacing w:before="0" w:after="283"/>
              <w:jc w:val="right"/>
              <w:rPr/>
            </w:pPr>
            <w:r>
              <w:rPr/>
              <w:t> </w:t>
            </w:r>
          </w:p>
        </w:tc>
        <w:tc>
          <w:tcPr>
            <w:tcW w:w="411" w:type="dxa"/>
            <w:tcBorders/>
            <w:shd w:fill="CCEEFF" w:val="clear"/>
            <w:vAlign w:val="bottom"/>
          </w:tcPr>
          <w:p>
            <w:pPr>
              <w:pStyle w:val="TableContents"/>
              <w:bidi w:val="0"/>
              <w:spacing w:before="0" w:after="0"/>
              <w:jc w:val="left"/>
              <w:rPr>
                <w:sz w:val="20"/>
              </w:rPr>
            </w:pPr>
            <w:r>
              <w:rPr>
                <w:sz w:val="20"/>
              </w:rPr>
              <w:t>$</w:t>
            </w:r>
          </w:p>
        </w:tc>
        <w:tc>
          <w:tcPr>
            <w:tcW w:w="1798" w:type="dxa"/>
            <w:tcBorders/>
            <w:shd w:fill="CCEEFF" w:val="clear"/>
            <w:vAlign w:val="bottom"/>
          </w:tcPr>
          <w:p>
            <w:pPr>
              <w:pStyle w:val="TableContents"/>
              <w:bidi w:val="0"/>
              <w:spacing w:before="0" w:after="0"/>
              <w:jc w:val="right"/>
              <w:rPr>
                <w:sz w:val="20"/>
              </w:rPr>
            </w:pPr>
            <w:r>
              <w:rPr>
                <w:sz w:val="20"/>
              </w:rPr>
              <w:t>3,669</w:t>
            </w:r>
          </w:p>
        </w:tc>
        <w:tc>
          <w:tcPr>
            <w:tcW w:w="95" w:type="dxa"/>
            <w:tcBorders/>
            <w:shd w:fill="CCEEFF" w:val="clear"/>
            <w:vAlign w:val="bottom"/>
          </w:tcPr>
          <w:p>
            <w:pPr>
              <w:pStyle w:val="TableContents"/>
              <w:bidi w:val="0"/>
              <w:spacing w:before="0" w:after="283"/>
              <w:jc w:val="left"/>
              <w:rPr/>
            </w:pPr>
            <w:r>
              <w:rPr/>
              <w:t> </w:t>
            </w:r>
          </w:p>
        </w:tc>
      </w:tr>
      <w:tr>
        <w:trPr/>
        <w:tc>
          <w:tcPr>
            <w:tcW w:w="5165" w:type="dxa"/>
            <w:tcBorders/>
            <w:vAlign w:val="bottom"/>
          </w:tcPr>
          <w:p>
            <w:pPr>
              <w:pStyle w:val="TableContents"/>
              <w:bidi w:val="0"/>
              <w:spacing w:before="0" w:after="0"/>
              <w:ind w:left="144" w:right="0" w:hanging="144"/>
              <w:jc w:val="left"/>
              <w:rPr>
                <w:sz w:val="20"/>
              </w:rPr>
            </w:pPr>
            <w:r>
              <w:rPr>
                <w:sz w:val="20"/>
              </w:rPr>
              <w:t>Other comprehensive loss</w:t>
            </w:r>
          </w:p>
        </w:tc>
        <w:tc>
          <w:tcPr>
            <w:tcW w:w="60" w:type="dxa"/>
            <w:tcBorders/>
            <w:vAlign w:val="bottom"/>
          </w:tcPr>
          <w:p>
            <w:pPr>
              <w:pStyle w:val="TableContents"/>
              <w:bidi w:val="0"/>
              <w:spacing w:before="0" w:after="283"/>
              <w:jc w:val="right"/>
              <w:rPr/>
            </w:pPr>
            <w:r>
              <w:rPr/>
              <w:t> </w:t>
            </w:r>
          </w:p>
        </w:tc>
        <w:tc>
          <w:tcPr>
            <w:tcW w:w="411" w:type="dxa"/>
            <w:tcBorders>
              <w:bottom w:val="single" w:sz="12" w:space="0" w:color="000000"/>
            </w:tcBorders>
            <w:tcMar>
              <w:bottom w:w="28" w:type="dxa"/>
            </w:tcMar>
            <w:vAlign w:val="bottom"/>
          </w:tcPr>
          <w:p>
            <w:pPr>
              <w:pStyle w:val="TableContents"/>
              <w:bidi w:val="0"/>
              <w:spacing w:before="0" w:after="283"/>
              <w:jc w:val="left"/>
              <w:rPr/>
            </w:pPr>
            <w:r>
              <w:rPr/>
              <w:t> </w:t>
            </w:r>
          </w:p>
        </w:tc>
        <w:tc>
          <w:tcPr>
            <w:tcW w:w="1798" w:type="dxa"/>
            <w:tcBorders>
              <w:bottom w:val="single" w:sz="12" w:space="0" w:color="000000"/>
            </w:tcBorders>
            <w:tcMar>
              <w:bottom w:w="28" w:type="dxa"/>
            </w:tcMar>
            <w:vAlign w:val="bottom"/>
          </w:tcPr>
          <w:p>
            <w:pPr>
              <w:pStyle w:val="TableContents"/>
              <w:bidi w:val="0"/>
              <w:spacing w:before="0" w:after="0"/>
              <w:jc w:val="right"/>
              <w:rPr>
                <w:sz w:val="20"/>
              </w:rPr>
            </w:pPr>
            <w:r>
              <w:rPr>
                <w:sz w:val="20"/>
              </w:rPr>
              <w:t>(2,407</w:t>
            </w:r>
          </w:p>
        </w:tc>
        <w:tc>
          <w:tcPr>
            <w:tcW w:w="95" w:type="dxa"/>
            <w:tcBorders/>
            <w:vAlign w:val="bottom"/>
          </w:tcPr>
          <w:p>
            <w:pPr>
              <w:pStyle w:val="TableContents"/>
              <w:bidi w:val="0"/>
              <w:spacing w:before="0" w:after="0"/>
              <w:jc w:val="left"/>
              <w:rPr>
                <w:sz w:val="20"/>
              </w:rPr>
            </w:pPr>
            <w:r>
              <w:rPr>
                <w:sz w:val="20"/>
              </w:rPr>
              <w:t>)</w:t>
            </w:r>
          </w:p>
        </w:tc>
      </w:tr>
      <w:tr>
        <w:trPr/>
        <w:tc>
          <w:tcPr>
            <w:tcW w:w="5165" w:type="dxa"/>
            <w:tcBorders/>
            <w:shd w:fill="CCEEFF" w:val="clear"/>
            <w:vAlign w:val="bottom"/>
          </w:tcPr>
          <w:p>
            <w:pPr>
              <w:pStyle w:val="TableContents"/>
              <w:bidi w:val="0"/>
              <w:spacing w:before="0" w:after="0"/>
              <w:ind w:left="144" w:right="0" w:hanging="144"/>
              <w:jc w:val="left"/>
              <w:rPr>
                <w:sz w:val="20"/>
              </w:rPr>
            </w:pPr>
            <w:r>
              <w:rPr>
                <w:sz w:val="20"/>
              </w:rPr>
              <w:t>Accumulated other comprehensive income, March 31, 2026</w:t>
            </w:r>
          </w:p>
        </w:tc>
        <w:tc>
          <w:tcPr>
            <w:tcW w:w="60" w:type="dxa"/>
            <w:tcBorders/>
            <w:shd w:fill="CCEEFF" w:val="clear"/>
            <w:vAlign w:val="bottom"/>
          </w:tcPr>
          <w:p>
            <w:pPr>
              <w:pStyle w:val="TableContents"/>
              <w:bidi w:val="0"/>
              <w:spacing w:before="0" w:after="283"/>
              <w:jc w:val="right"/>
              <w:rPr/>
            </w:pPr>
            <w:r>
              <w:rPr/>
              <w:t> </w:t>
            </w:r>
          </w:p>
        </w:tc>
        <w:tc>
          <w:tcPr>
            <w:tcW w:w="411" w:type="dxa"/>
            <w:tcBorders/>
            <w:shd w:fill="CCEEFF" w:val="clear"/>
            <w:vAlign w:val="bottom"/>
          </w:tcPr>
          <w:p>
            <w:pPr>
              <w:pStyle w:val="TableContents"/>
              <w:bidi w:val="0"/>
              <w:spacing w:before="0" w:after="0"/>
              <w:jc w:val="left"/>
              <w:rPr>
                <w:sz w:val="20"/>
              </w:rPr>
            </w:pPr>
            <w:r>
              <w:rPr>
                <w:sz w:val="20"/>
              </w:rPr>
              <w:t>$</w:t>
            </w:r>
          </w:p>
        </w:tc>
        <w:tc>
          <w:tcPr>
            <w:tcW w:w="1798" w:type="dxa"/>
            <w:tcBorders/>
            <w:shd w:fill="CCEEFF" w:val="clear"/>
            <w:vAlign w:val="bottom"/>
          </w:tcPr>
          <w:p>
            <w:pPr>
              <w:pStyle w:val="TableContents"/>
              <w:bidi w:val="0"/>
              <w:spacing w:before="0" w:after="0"/>
              <w:jc w:val="right"/>
              <w:rPr>
                <w:sz w:val="20"/>
              </w:rPr>
            </w:pPr>
            <w:r>
              <w:rPr>
                <w:sz w:val="20"/>
              </w:rPr>
              <w:t>1,262</w:t>
            </w:r>
          </w:p>
        </w:tc>
        <w:tc>
          <w:tcPr>
            <w:tcW w:w="9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tbl>
      <w:tblPr>
        <w:tblW w:w="7229" w:type="dxa"/>
        <w:jc w:val="left"/>
        <w:tblInd w:w="0" w:type="dxa"/>
        <w:tblLayout w:type="fixed"/>
        <w:tblCellMar>
          <w:top w:w="0" w:type="dxa"/>
          <w:left w:w="0" w:type="dxa"/>
          <w:bottom w:w="0" w:type="dxa"/>
          <w:right w:w="0" w:type="dxa"/>
        </w:tblCellMar>
      </w:tblPr>
      <w:tblGrid>
        <w:gridCol w:w="5165"/>
        <w:gridCol w:w="60"/>
        <w:gridCol w:w="355"/>
        <w:gridCol w:w="1554"/>
        <w:gridCol w:w="95"/>
      </w:tblGrid>
      <w:tr>
        <w:trPr/>
        <w:tc>
          <w:tcPr>
            <w:tcW w:w="5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09" w:type="dxa"/>
            <w:gridSpan w:val="2"/>
            <w:tcBorders>
              <w:bottom w:val="single" w:sz="12" w:space="0" w:color="000000"/>
            </w:tcBorders>
            <w:tcMar>
              <w:bottom w:w="28" w:type="dxa"/>
            </w:tcMar>
            <w:vAlign w:val="bottom"/>
          </w:tcPr>
          <w:p>
            <w:pPr>
              <w:pStyle w:val="TableContents"/>
              <w:bidi w:val="0"/>
              <w:spacing w:before="0" w:after="0"/>
              <w:jc w:val="center"/>
              <w:rPr>
                <w:b/>
              </w:rPr>
            </w:pPr>
            <w:r>
              <w:rPr>
                <w:b/>
              </w:rPr>
              <w:t>Six Months Ended</w:t>
            </w:r>
          </w:p>
          <w:p>
            <w:pPr>
              <w:pStyle w:val="TableContents"/>
              <w:bidi w:val="0"/>
              <w:spacing w:before="0" w:after="0"/>
              <w:jc w:val="center"/>
              <w:rPr>
                <w:b/>
              </w:rPr>
            </w:pPr>
            <w:r>
              <w:rPr>
                <w:b/>
              </w:rPr>
              <w:t>June 30, 2026</w:t>
            </w:r>
          </w:p>
        </w:tc>
        <w:tc>
          <w:tcPr>
            <w:tcW w:w="95" w:type="dxa"/>
            <w:tcBorders/>
            <w:vAlign w:val="bottom"/>
          </w:tcPr>
          <w:p>
            <w:pPr>
              <w:pStyle w:val="TableContents"/>
              <w:bidi w:val="0"/>
              <w:spacing w:before="0" w:after="283"/>
              <w:jc w:val="left"/>
              <w:rPr/>
            </w:pPr>
            <w:r>
              <w:rPr/>
              <w:t> </w:t>
            </w:r>
          </w:p>
        </w:tc>
      </w:tr>
      <w:tr>
        <w:trPr/>
        <w:tc>
          <w:tcPr>
            <w:tcW w:w="5165" w:type="dxa"/>
            <w:tcBorders/>
            <w:shd w:fill="CCEEFF" w:val="clear"/>
            <w:vAlign w:val="bottom"/>
          </w:tcPr>
          <w:p>
            <w:pPr>
              <w:pStyle w:val="TableContents"/>
              <w:bidi w:val="0"/>
              <w:spacing w:before="0" w:after="0"/>
              <w:ind w:left="144" w:right="0" w:hanging="144"/>
              <w:jc w:val="left"/>
              <w:rPr>
                <w:sz w:val="20"/>
              </w:rPr>
            </w:pPr>
            <w:r>
              <w:rPr>
                <w:sz w:val="20"/>
              </w:rPr>
              <w:t>Accumulated other comprehensive income, December 31, 2025</w:t>
            </w:r>
          </w:p>
        </w:tc>
        <w:tc>
          <w:tcPr>
            <w:tcW w:w="60" w:type="dxa"/>
            <w:tcBorders/>
            <w:shd w:fill="CCEEFF" w:val="clear"/>
            <w:vAlign w:val="bottom"/>
          </w:tcPr>
          <w:p>
            <w:pPr>
              <w:pStyle w:val="TableContents"/>
              <w:bidi w:val="0"/>
              <w:spacing w:before="0" w:after="283"/>
              <w:jc w:val="right"/>
              <w:rPr/>
            </w:pPr>
            <w:r>
              <w:rPr/>
              <w:t> </w:t>
            </w:r>
          </w:p>
        </w:tc>
        <w:tc>
          <w:tcPr>
            <w:tcW w:w="355" w:type="dxa"/>
            <w:tcBorders/>
            <w:shd w:fill="CCEEFF" w:val="clear"/>
            <w:vAlign w:val="bottom"/>
          </w:tcPr>
          <w:p>
            <w:pPr>
              <w:pStyle w:val="TableContents"/>
              <w:bidi w:val="0"/>
              <w:spacing w:before="0" w:after="0"/>
              <w:jc w:val="left"/>
              <w:rPr>
                <w:sz w:val="20"/>
              </w:rPr>
            </w:pPr>
            <w:r>
              <w:rPr>
                <w:sz w:val="20"/>
              </w:rPr>
              <w:t>$</w:t>
            </w:r>
          </w:p>
        </w:tc>
        <w:tc>
          <w:tcPr>
            <w:tcW w:w="1554" w:type="dxa"/>
            <w:tcBorders/>
            <w:shd w:fill="CCEEFF" w:val="clear"/>
            <w:vAlign w:val="bottom"/>
          </w:tcPr>
          <w:p>
            <w:pPr>
              <w:pStyle w:val="TableContents"/>
              <w:bidi w:val="0"/>
              <w:spacing w:before="0" w:after="0"/>
              <w:jc w:val="right"/>
              <w:rPr>
                <w:sz w:val="20"/>
              </w:rPr>
            </w:pPr>
            <w:r>
              <w:rPr>
                <w:sz w:val="20"/>
              </w:rPr>
              <w:t>3,669</w:t>
            </w:r>
          </w:p>
        </w:tc>
        <w:tc>
          <w:tcPr>
            <w:tcW w:w="95" w:type="dxa"/>
            <w:tcBorders/>
            <w:shd w:fill="CCEEFF" w:val="clear"/>
            <w:vAlign w:val="bottom"/>
          </w:tcPr>
          <w:p>
            <w:pPr>
              <w:pStyle w:val="TableContents"/>
              <w:bidi w:val="0"/>
              <w:spacing w:before="0" w:after="283"/>
              <w:jc w:val="left"/>
              <w:rPr/>
            </w:pPr>
            <w:r>
              <w:rPr/>
              <w:t> </w:t>
            </w:r>
          </w:p>
        </w:tc>
      </w:tr>
      <w:tr>
        <w:trPr/>
        <w:tc>
          <w:tcPr>
            <w:tcW w:w="5165" w:type="dxa"/>
            <w:tcBorders/>
            <w:vAlign w:val="bottom"/>
          </w:tcPr>
          <w:p>
            <w:pPr>
              <w:pStyle w:val="TableContents"/>
              <w:bidi w:val="0"/>
              <w:spacing w:before="0" w:after="0"/>
              <w:ind w:left="144" w:right="0" w:hanging="144"/>
              <w:jc w:val="left"/>
              <w:rPr>
                <w:sz w:val="20"/>
              </w:rPr>
            </w:pPr>
            <w:r>
              <w:rPr>
                <w:sz w:val="20"/>
              </w:rPr>
              <w:t>Other comprehensive loss</w:t>
            </w:r>
          </w:p>
        </w:tc>
        <w:tc>
          <w:tcPr>
            <w:tcW w:w="60" w:type="dxa"/>
            <w:tcBorders/>
            <w:vAlign w:val="bottom"/>
          </w:tcPr>
          <w:p>
            <w:pPr>
              <w:pStyle w:val="TableContents"/>
              <w:bidi w:val="0"/>
              <w:spacing w:before="0" w:after="283"/>
              <w:jc w:val="right"/>
              <w:rPr/>
            </w:pPr>
            <w:r>
              <w:rPr/>
              <w:t> </w:t>
            </w:r>
          </w:p>
        </w:tc>
        <w:tc>
          <w:tcPr>
            <w:tcW w:w="355" w:type="dxa"/>
            <w:tcBorders>
              <w:bottom w:val="single" w:sz="12" w:space="0" w:color="000000"/>
            </w:tcBorders>
            <w:tcMar>
              <w:bottom w:w="28" w:type="dxa"/>
            </w:tcMar>
            <w:vAlign w:val="bottom"/>
          </w:tcPr>
          <w:p>
            <w:pPr>
              <w:pStyle w:val="TableContents"/>
              <w:bidi w:val="0"/>
              <w:spacing w:before="0" w:after="283"/>
              <w:jc w:val="left"/>
              <w:rPr/>
            </w:pPr>
            <w:r>
              <w:rPr/>
              <w:t> </w:t>
            </w:r>
          </w:p>
        </w:tc>
        <w:tc>
          <w:tcPr>
            <w:tcW w:w="1554" w:type="dxa"/>
            <w:tcBorders>
              <w:bottom w:val="single" w:sz="12" w:space="0" w:color="000000"/>
            </w:tcBorders>
            <w:tcMar>
              <w:bottom w:w="28" w:type="dxa"/>
            </w:tcMar>
            <w:vAlign w:val="bottom"/>
          </w:tcPr>
          <w:p>
            <w:pPr>
              <w:pStyle w:val="TableContents"/>
              <w:bidi w:val="0"/>
              <w:spacing w:before="0" w:after="0"/>
              <w:jc w:val="right"/>
              <w:rPr>
                <w:sz w:val="20"/>
              </w:rPr>
            </w:pPr>
            <w:r>
              <w:rPr>
                <w:sz w:val="20"/>
              </w:rPr>
              <w:t>(1,912</w:t>
            </w:r>
          </w:p>
        </w:tc>
        <w:tc>
          <w:tcPr>
            <w:tcW w:w="95" w:type="dxa"/>
            <w:tcBorders/>
            <w:vAlign w:val="bottom"/>
          </w:tcPr>
          <w:p>
            <w:pPr>
              <w:pStyle w:val="TableContents"/>
              <w:bidi w:val="0"/>
              <w:spacing w:before="0" w:after="0"/>
              <w:jc w:val="left"/>
              <w:rPr>
                <w:sz w:val="20"/>
              </w:rPr>
            </w:pPr>
            <w:r>
              <w:rPr>
                <w:sz w:val="20"/>
              </w:rPr>
              <w:t>)</w:t>
            </w:r>
          </w:p>
        </w:tc>
      </w:tr>
      <w:tr>
        <w:trPr/>
        <w:tc>
          <w:tcPr>
            <w:tcW w:w="5165" w:type="dxa"/>
            <w:tcBorders/>
            <w:shd w:fill="CCEEFF" w:val="clear"/>
            <w:vAlign w:val="bottom"/>
          </w:tcPr>
          <w:p>
            <w:pPr>
              <w:pStyle w:val="TableContents"/>
              <w:bidi w:val="0"/>
              <w:spacing w:before="0" w:after="0"/>
              <w:ind w:left="144" w:right="0" w:hanging="144"/>
              <w:jc w:val="left"/>
              <w:rPr>
                <w:sz w:val="20"/>
              </w:rPr>
            </w:pPr>
            <w:r>
              <w:rPr>
                <w:sz w:val="20"/>
              </w:rPr>
              <w:t>Accumulated other comprehensive income, June 30, 2026</w:t>
            </w:r>
          </w:p>
        </w:tc>
        <w:tc>
          <w:tcPr>
            <w:tcW w:w="60" w:type="dxa"/>
            <w:tcBorders/>
            <w:shd w:fill="CCEEFF" w:val="clear"/>
            <w:vAlign w:val="bottom"/>
          </w:tcPr>
          <w:p>
            <w:pPr>
              <w:pStyle w:val="TableContents"/>
              <w:bidi w:val="0"/>
              <w:spacing w:before="0" w:after="283"/>
              <w:jc w:val="right"/>
              <w:rPr/>
            </w:pPr>
            <w:r>
              <w:rPr/>
              <w:t> </w:t>
            </w:r>
          </w:p>
        </w:tc>
        <w:tc>
          <w:tcPr>
            <w:tcW w:w="355" w:type="dxa"/>
            <w:tcBorders/>
            <w:shd w:fill="CCEEFF" w:val="clear"/>
            <w:vAlign w:val="bottom"/>
          </w:tcPr>
          <w:p>
            <w:pPr>
              <w:pStyle w:val="TableContents"/>
              <w:bidi w:val="0"/>
              <w:spacing w:before="0" w:after="0"/>
              <w:jc w:val="left"/>
              <w:rPr>
                <w:sz w:val="20"/>
              </w:rPr>
            </w:pPr>
            <w:r>
              <w:rPr>
                <w:sz w:val="20"/>
              </w:rPr>
              <w:t>$</w:t>
            </w:r>
          </w:p>
        </w:tc>
        <w:tc>
          <w:tcPr>
            <w:tcW w:w="1554" w:type="dxa"/>
            <w:tcBorders/>
            <w:shd w:fill="CCEEFF" w:val="clear"/>
            <w:vAlign w:val="bottom"/>
          </w:tcPr>
          <w:p>
            <w:pPr>
              <w:pStyle w:val="TableContents"/>
              <w:bidi w:val="0"/>
              <w:spacing w:before="0" w:after="0"/>
              <w:jc w:val="right"/>
              <w:rPr>
                <w:sz w:val="20"/>
              </w:rPr>
            </w:pPr>
            <w:r>
              <w:rPr>
                <w:sz w:val="20"/>
              </w:rPr>
              <w:t>1,757</w:t>
            </w:r>
          </w:p>
        </w:tc>
        <w:tc>
          <w:tcPr>
            <w:tcW w:w="9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tbl>
      <w:tblPr>
        <w:tblW w:w="6584" w:type="dxa"/>
        <w:jc w:val="left"/>
        <w:tblInd w:w="0" w:type="dxa"/>
        <w:tblLayout w:type="fixed"/>
        <w:tblCellMar>
          <w:top w:w="0" w:type="dxa"/>
          <w:left w:w="0" w:type="dxa"/>
          <w:bottom w:w="0" w:type="dxa"/>
          <w:right w:w="0" w:type="dxa"/>
        </w:tblCellMar>
      </w:tblPr>
      <w:tblGrid>
        <w:gridCol w:w="4880"/>
        <w:gridCol w:w="60"/>
        <w:gridCol w:w="289"/>
        <w:gridCol w:w="1260"/>
        <w:gridCol w:w="95"/>
      </w:tblGrid>
      <w:tr>
        <w:trPr/>
        <w:tc>
          <w:tcPr>
            <w:tcW w:w="48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49" w:type="dxa"/>
            <w:gridSpan w:val="2"/>
            <w:tcBorders>
              <w:bottom w:val="single" w:sz="12" w:space="0" w:color="000000"/>
            </w:tcBorders>
            <w:tcMar>
              <w:bottom w:w="28" w:type="dxa"/>
            </w:tcMar>
            <w:vAlign w:val="bottom"/>
          </w:tcPr>
          <w:p>
            <w:pPr>
              <w:pStyle w:val="TableContents"/>
              <w:bidi w:val="0"/>
              <w:spacing w:before="0" w:after="0"/>
              <w:jc w:val="center"/>
              <w:rPr>
                <w:b/>
                <w:sz w:val="20"/>
              </w:rPr>
            </w:pPr>
            <w:r>
              <w:rPr>
                <w:b/>
                <w:sz w:val="20"/>
              </w:rPr>
              <w:t>Six Months Ended</w:t>
              <w:br/>
              <w:t>June 30, 2025</w:t>
            </w:r>
          </w:p>
        </w:tc>
        <w:tc>
          <w:tcPr>
            <w:tcW w:w="95" w:type="dxa"/>
            <w:tcBorders/>
            <w:vAlign w:val="bottom"/>
          </w:tcPr>
          <w:p>
            <w:pPr>
              <w:pStyle w:val="TableContents"/>
              <w:bidi w:val="0"/>
              <w:spacing w:before="0" w:after="283"/>
              <w:jc w:val="left"/>
              <w:rPr/>
            </w:pPr>
            <w:r>
              <w:rPr/>
              <w:t> </w:t>
            </w:r>
          </w:p>
        </w:tc>
      </w:tr>
      <w:tr>
        <w:trPr/>
        <w:tc>
          <w:tcPr>
            <w:tcW w:w="4880" w:type="dxa"/>
            <w:tcBorders/>
            <w:shd w:fill="CCEEFF" w:val="clear"/>
            <w:vAlign w:val="bottom"/>
          </w:tcPr>
          <w:p>
            <w:pPr>
              <w:pStyle w:val="TableContents"/>
              <w:bidi w:val="0"/>
              <w:spacing w:before="0" w:after="0"/>
              <w:ind w:left="144" w:right="0" w:hanging="144"/>
              <w:jc w:val="left"/>
              <w:rPr>
                <w:sz w:val="20"/>
              </w:rPr>
            </w:pPr>
            <w:r>
              <w:rPr>
                <w:sz w:val="20"/>
              </w:rPr>
              <w:t>Accumulated other comprehensive loss, December 31, 2024</w:t>
            </w:r>
          </w:p>
        </w:tc>
        <w:tc>
          <w:tcPr>
            <w:tcW w:w="60" w:type="dxa"/>
            <w:tcBorders/>
            <w:shd w:fill="CCEEFF" w:val="clear"/>
            <w:vAlign w:val="bottom"/>
          </w:tcPr>
          <w:p>
            <w:pPr>
              <w:pStyle w:val="TableContents"/>
              <w:bidi w:val="0"/>
              <w:spacing w:before="0" w:after="283"/>
              <w:jc w:val="right"/>
              <w:rPr/>
            </w:pPr>
            <w:r>
              <w:rPr/>
              <w:t> </w:t>
            </w:r>
          </w:p>
        </w:tc>
        <w:tc>
          <w:tcPr>
            <w:tcW w:w="289" w:type="dxa"/>
            <w:tcBorders/>
            <w:shd w:fill="CCEEFF" w:val="clear"/>
            <w:vAlign w:val="bottom"/>
          </w:tcPr>
          <w:p>
            <w:pPr>
              <w:pStyle w:val="TableContents"/>
              <w:bidi w:val="0"/>
              <w:spacing w:before="0" w:after="0"/>
              <w:jc w:val="left"/>
              <w:rPr>
                <w:sz w:val="20"/>
              </w:rPr>
            </w:pPr>
            <w:r>
              <w:rPr>
                <w:sz w:val="20"/>
              </w:rPr>
              <w:t>$</w:t>
            </w:r>
          </w:p>
        </w:tc>
        <w:tc>
          <w:tcPr>
            <w:tcW w:w="1260" w:type="dxa"/>
            <w:tcBorders/>
            <w:shd w:fill="CCEEFF" w:val="clear"/>
            <w:vAlign w:val="bottom"/>
          </w:tcPr>
          <w:p>
            <w:pPr>
              <w:pStyle w:val="TableContents"/>
              <w:bidi w:val="0"/>
              <w:spacing w:before="0" w:after="0"/>
              <w:jc w:val="right"/>
              <w:rPr>
                <w:sz w:val="20"/>
              </w:rPr>
            </w:pPr>
            <w:r>
              <w:rPr>
                <w:sz w:val="20"/>
              </w:rPr>
              <w:t>(7,270</w:t>
            </w:r>
          </w:p>
        </w:tc>
        <w:tc>
          <w:tcPr>
            <w:tcW w:w="95" w:type="dxa"/>
            <w:tcBorders/>
            <w:shd w:fill="CCEEFF" w:val="clear"/>
            <w:vAlign w:val="bottom"/>
          </w:tcPr>
          <w:p>
            <w:pPr>
              <w:pStyle w:val="TableContents"/>
              <w:bidi w:val="0"/>
              <w:spacing w:before="0" w:after="0"/>
              <w:jc w:val="left"/>
              <w:rPr>
                <w:sz w:val="20"/>
              </w:rPr>
            </w:pPr>
            <w:r>
              <w:rPr>
                <w:sz w:val="20"/>
              </w:rPr>
              <w:t>)</w:t>
            </w:r>
          </w:p>
        </w:tc>
      </w:tr>
      <w:tr>
        <w:trPr/>
        <w:tc>
          <w:tcPr>
            <w:tcW w:w="4880" w:type="dxa"/>
            <w:tcBorders/>
            <w:vAlign w:val="bottom"/>
          </w:tcPr>
          <w:p>
            <w:pPr>
              <w:pStyle w:val="TableContents"/>
              <w:bidi w:val="0"/>
              <w:spacing w:before="0" w:after="0"/>
              <w:ind w:left="144" w:right="0" w:hanging="144"/>
              <w:jc w:val="left"/>
              <w:rPr>
                <w:sz w:val="20"/>
              </w:rPr>
            </w:pPr>
            <w:r>
              <w:rPr>
                <w:sz w:val="20"/>
              </w:rPr>
              <w:t>Other comprehensive income</w:t>
            </w:r>
          </w:p>
        </w:tc>
        <w:tc>
          <w:tcPr>
            <w:tcW w:w="60" w:type="dxa"/>
            <w:tcBorders/>
            <w:vAlign w:val="bottom"/>
          </w:tcPr>
          <w:p>
            <w:pPr>
              <w:pStyle w:val="TableContents"/>
              <w:bidi w:val="0"/>
              <w:spacing w:before="0" w:after="283"/>
              <w:jc w:val="right"/>
              <w:rPr/>
            </w:pPr>
            <w:r>
              <w:rPr/>
              <w:t> </w:t>
            </w:r>
          </w:p>
        </w:tc>
        <w:tc>
          <w:tcPr>
            <w:tcW w:w="289" w:type="dxa"/>
            <w:tcBorders>
              <w:bottom w:val="single" w:sz="12" w:space="0" w:color="000000"/>
            </w:tcBorders>
            <w:tcMar>
              <w:bottom w:w="28" w:type="dxa"/>
            </w:tcMar>
            <w:vAlign w:val="bottom"/>
          </w:tcPr>
          <w:p>
            <w:pPr>
              <w:pStyle w:val="TableContents"/>
              <w:bidi w:val="0"/>
              <w:spacing w:before="0" w:after="283"/>
              <w:jc w:val="left"/>
              <w:rPr/>
            </w:pPr>
            <w:r>
              <w:rPr/>
              <w:t> </w:t>
            </w:r>
          </w:p>
        </w:tc>
        <w:tc>
          <w:tcPr>
            <w:tcW w:w="1260" w:type="dxa"/>
            <w:tcBorders>
              <w:bottom w:val="single" w:sz="12" w:space="0" w:color="000000"/>
            </w:tcBorders>
            <w:tcMar>
              <w:bottom w:w="28" w:type="dxa"/>
            </w:tcMar>
            <w:vAlign w:val="bottom"/>
          </w:tcPr>
          <w:p>
            <w:pPr>
              <w:pStyle w:val="TableContents"/>
              <w:bidi w:val="0"/>
              <w:spacing w:before="0" w:after="0"/>
              <w:jc w:val="right"/>
              <w:rPr>
                <w:sz w:val="20"/>
              </w:rPr>
            </w:pPr>
            <w:r>
              <w:rPr>
                <w:sz w:val="20"/>
              </w:rPr>
              <w:t>7,170</w:t>
            </w:r>
          </w:p>
        </w:tc>
        <w:tc>
          <w:tcPr>
            <w:tcW w:w="95" w:type="dxa"/>
            <w:tcBorders/>
            <w:vAlign w:val="bottom"/>
          </w:tcPr>
          <w:p>
            <w:pPr>
              <w:pStyle w:val="TableContents"/>
              <w:bidi w:val="0"/>
              <w:spacing w:before="0" w:after="283"/>
              <w:jc w:val="left"/>
              <w:rPr/>
            </w:pPr>
            <w:r>
              <w:rPr/>
              <w:t> </w:t>
            </w:r>
          </w:p>
        </w:tc>
      </w:tr>
      <w:tr>
        <w:trPr/>
        <w:tc>
          <w:tcPr>
            <w:tcW w:w="4880" w:type="dxa"/>
            <w:tcBorders/>
            <w:shd w:fill="CCEEFF" w:val="clear"/>
            <w:vAlign w:val="bottom"/>
          </w:tcPr>
          <w:p>
            <w:pPr>
              <w:pStyle w:val="TableContents"/>
              <w:bidi w:val="0"/>
              <w:spacing w:before="0" w:after="0"/>
              <w:ind w:left="144" w:right="0" w:hanging="144"/>
              <w:jc w:val="left"/>
              <w:rPr>
                <w:sz w:val="20"/>
              </w:rPr>
            </w:pPr>
            <w:r>
              <w:rPr>
                <w:sz w:val="20"/>
              </w:rPr>
              <w:t>Accumulated other comprehensive loss, June 30, 2025</w:t>
            </w:r>
          </w:p>
        </w:tc>
        <w:tc>
          <w:tcPr>
            <w:tcW w:w="60" w:type="dxa"/>
            <w:tcBorders/>
            <w:shd w:fill="CCEEFF" w:val="clear"/>
            <w:vAlign w:val="bottom"/>
          </w:tcPr>
          <w:p>
            <w:pPr>
              <w:pStyle w:val="TableContents"/>
              <w:bidi w:val="0"/>
              <w:spacing w:before="0" w:after="283"/>
              <w:jc w:val="right"/>
              <w:rPr/>
            </w:pPr>
            <w:r>
              <w:rPr/>
              <w:t> </w:t>
            </w:r>
          </w:p>
        </w:tc>
        <w:tc>
          <w:tcPr>
            <w:tcW w:w="289" w:type="dxa"/>
            <w:tcBorders/>
            <w:shd w:fill="CCEEFF" w:val="clear"/>
            <w:vAlign w:val="bottom"/>
          </w:tcPr>
          <w:p>
            <w:pPr>
              <w:pStyle w:val="TableContents"/>
              <w:bidi w:val="0"/>
              <w:spacing w:before="0" w:after="0"/>
              <w:jc w:val="left"/>
              <w:rPr>
                <w:sz w:val="20"/>
              </w:rPr>
            </w:pPr>
            <w:r>
              <w:rPr>
                <w:sz w:val="20"/>
              </w:rPr>
              <w:t>$</w:t>
            </w:r>
          </w:p>
        </w:tc>
        <w:tc>
          <w:tcPr>
            <w:tcW w:w="1260" w:type="dxa"/>
            <w:tcBorders/>
            <w:shd w:fill="CCEEFF" w:val="clear"/>
            <w:vAlign w:val="bottom"/>
          </w:tcPr>
          <w:p>
            <w:pPr>
              <w:pStyle w:val="TableContents"/>
              <w:bidi w:val="0"/>
              <w:spacing w:before="0" w:after="0"/>
              <w:jc w:val="right"/>
              <w:rPr>
                <w:sz w:val="20"/>
              </w:rPr>
            </w:pPr>
            <w:r>
              <w:rPr>
                <w:sz w:val="20"/>
              </w:rPr>
              <w:t>(100</w:t>
            </w:r>
          </w:p>
        </w:tc>
        <w:tc>
          <w:tcPr>
            <w:tcW w:w="95" w:type="dxa"/>
            <w:tcBorders/>
            <w:shd w:fill="CCEEFF" w:val="clear"/>
            <w:vAlign w:val="bottom"/>
          </w:tcPr>
          <w:p>
            <w:pPr>
              <w:pStyle w:val="TableContents"/>
              <w:bidi w:val="0"/>
              <w:spacing w:before="0" w:after="0"/>
              <w:jc w:val="left"/>
              <w:rPr>
                <w:sz w:val="20"/>
              </w:rPr>
            </w:pPr>
            <w:r>
              <w:rPr>
                <w:sz w:val="20"/>
              </w:rPr>
              <w:t>)</w:t>
            </w:r>
          </w:p>
        </w:tc>
      </w:tr>
    </w:tbl>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Our GAAP equity changes as the values of our RMBS are marked to market each quarter, among other factors. The primary causes of mark to market changes are changes in interest rates and nominal spreads. During the three-month period ended June 30, 2026, a small unrealized gain on our available-for-sale RMBS was a result of changes in interest rates combined with the sale of securities. During the three-month period ended March 31, 2026 and the six-month period ended June 30, 2026, a rise in interest rates combined with marginal widening of nominal spreads caused a net unrealized loss on our available-for-sale RMBS. During the six-month period ended June 30, 2025, a drop in interest rates caused a net unrealized gain on our available-for-sale RMBS. Unrealized gain (loss) on available-for-sale RMBS is recorded in accumulated other comprehensive income (loss).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62</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Non-GAAP Financial Measures</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This Management’s Discussion and Analysis of Financial Condition and Results of Operations section contains analysis and discussion of non-GAAP financial measures, including:</w:t>
      </w:r>
    </w:p>
    <w:p>
      <w:pPr>
        <w:pStyle w:val="TextBody"/>
        <w:bidi w:val="0"/>
        <w:spacing w:before="0" w:after="0"/>
        <w:jc w:val="left"/>
        <w:rPr>
          <w:sz w:val="20"/>
        </w:rPr>
      </w:pPr>
      <w:r>
        <w:rPr>
          <w:sz w:val="20"/>
        </w:rPr>
      </w:r>
    </w:p>
    <w:tbl>
      <w:tblPr>
        <w:tblW w:w="3348" w:type="dxa"/>
        <w:jc w:val="left"/>
        <w:tblInd w:w="0" w:type="dxa"/>
        <w:tblLayout w:type="fixed"/>
        <w:tblCellMar>
          <w:top w:w="0" w:type="dxa"/>
          <w:left w:w="0" w:type="dxa"/>
          <w:bottom w:w="0" w:type="dxa"/>
          <w:right w:w="0" w:type="dxa"/>
        </w:tblCellMar>
      </w:tblPr>
      <w:tblGrid>
        <w:gridCol w:w="38"/>
        <w:gridCol w:w="110"/>
        <w:gridCol w:w="3200"/>
      </w:tblGrid>
      <w:tr>
        <w:trPr/>
        <w:tc>
          <w:tcPr>
            <w:tcW w:w="38" w:type="dxa"/>
            <w:tcBorders/>
            <w:vAlign w:val="center"/>
          </w:tcPr>
          <w:p>
            <w:pPr>
              <w:pStyle w:val="TableContents"/>
              <w:bidi w:val="0"/>
              <w:spacing w:before="0" w:after="283"/>
              <w:jc w:val="left"/>
              <w:rPr>
                <w:sz w:val="20"/>
              </w:rPr>
            </w:pPr>
            <w:r>
              <w:rPr>
                <w:sz w:val="20"/>
              </w:rPr>
            </w:r>
          </w:p>
        </w:tc>
        <w:tc>
          <w:tcPr>
            <w:tcW w:w="110" w:type="dxa"/>
            <w:tcBorders/>
            <w:vAlign w:val="center"/>
          </w:tcPr>
          <w:p>
            <w:pPr>
              <w:pStyle w:val="TableContents"/>
              <w:bidi w:val="0"/>
              <w:spacing w:before="0" w:after="283"/>
              <w:jc w:val="left"/>
              <w:rPr>
                <w:color w:val="000000"/>
              </w:rPr>
            </w:pPr>
            <w:r>
              <w:rPr>
                <w:color w:val="000000"/>
              </w:rPr>
              <w:t>•</w:t>
            </w:r>
          </w:p>
        </w:tc>
        <w:tc>
          <w:tcPr>
            <w:tcW w:w="3200" w:type="dxa"/>
            <w:tcBorders/>
            <w:vAlign w:val="center"/>
          </w:tcPr>
          <w:p>
            <w:pPr>
              <w:pStyle w:val="TableContents"/>
              <w:bidi w:val="0"/>
              <w:spacing w:before="0" w:after="0"/>
              <w:jc w:val="both"/>
              <w:rPr>
                <w:color w:val="000000"/>
                <w:sz w:val="20"/>
              </w:rPr>
            </w:pPr>
            <w:r>
              <w:rPr>
                <w:color w:val="000000"/>
                <w:sz w:val="20"/>
              </w:rPr>
              <w:t>earnings available for distribution; and</w:t>
            </w:r>
          </w:p>
        </w:tc>
      </w:tr>
    </w:tbl>
    <w:p>
      <w:pPr>
        <w:pStyle w:val="TextBody"/>
        <w:bidi w:val="0"/>
        <w:spacing w:before="0" w:after="0"/>
        <w:jc w:val="left"/>
        <w:rPr>
          <w:sz w:val="20"/>
        </w:rPr>
      </w:pPr>
      <w:r>
        <w:rPr>
          <w:sz w:val="20"/>
        </w:rPr>
      </w:r>
    </w:p>
    <w:tbl>
      <w:tblPr>
        <w:tblW w:w="5178" w:type="dxa"/>
        <w:jc w:val="left"/>
        <w:tblInd w:w="0" w:type="dxa"/>
        <w:tblLayout w:type="fixed"/>
        <w:tblCellMar>
          <w:top w:w="0" w:type="dxa"/>
          <w:left w:w="0" w:type="dxa"/>
          <w:bottom w:w="0" w:type="dxa"/>
          <w:right w:w="0" w:type="dxa"/>
        </w:tblCellMar>
      </w:tblPr>
      <w:tblGrid>
        <w:gridCol w:w="38"/>
        <w:gridCol w:w="110"/>
        <w:gridCol w:w="5030"/>
      </w:tblGrid>
      <w:tr>
        <w:trPr/>
        <w:tc>
          <w:tcPr>
            <w:tcW w:w="38" w:type="dxa"/>
            <w:tcBorders/>
            <w:vAlign w:val="center"/>
          </w:tcPr>
          <w:p>
            <w:pPr>
              <w:pStyle w:val="TableContents"/>
              <w:bidi w:val="0"/>
              <w:spacing w:before="0" w:after="283"/>
              <w:jc w:val="left"/>
              <w:rPr>
                <w:sz w:val="20"/>
              </w:rPr>
            </w:pPr>
            <w:r>
              <w:rPr>
                <w:sz w:val="20"/>
              </w:rPr>
            </w:r>
          </w:p>
        </w:tc>
        <w:tc>
          <w:tcPr>
            <w:tcW w:w="110" w:type="dxa"/>
            <w:tcBorders/>
            <w:vAlign w:val="center"/>
          </w:tcPr>
          <w:p>
            <w:pPr>
              <w:pStyle w:val="TableContents"/>
              <w:bidi w:val="0"/>
              <w:spacing w:before="0" w:after="283"/>
              <w:jc w:val="left"/>
              <w:rPr>
                <w:color w:val="000000"/>
              </w:rPr>
            </w:pPr>
            <w:r>
              <w:rPr>
                <w:color w:val="000000"/>
              </w:rPr>
              <w:t>•</w:t>
            </w:r>
          </w:p>
        </w:tc>
        <w:tc>
          <w:tcPr>
            <w:tcW w:w="5030" w:type="dxa"/>
            <w:tcBorders/>
            <w:vAlign w:val="center"/>
          </w:tcPr>
          <w:p>
            <w:pPr>
              <w:pStyle w:val="TableContents"/>
              <w:bidi w:val="0"/>
              <w:spacing w:before="0" w:after="0"/>
              <w:jc w:val="both"/>
              <w:rPr>
                <w:color w:val="000000"/>
                <w:sz w:val="20"/>
              </w:rPr>
            </w:pPr>
            <w:r>
              <w:rPr>
                <w:color w:val="000000"/>
                <w:sz w:val="20"/>
              </w:rPr>
              <w:t>earnings available for distribution per average common share.</w:t>
            </w:r>
          </w:p>
        </w:tc>
      </w:tr>
    </w:tbl>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Earnings available for distribution (“EAD”) is a non-GAAP financial measure that we define as GAAP net income (loss), excluding realized gain (loss) on RMBS, unrealized gain (loss) on RMBS measured at fair value through earnings, realized and unrealized gain (loss) on derivatives, realized gain (loss) on acquired assets, realized and unrealized gain (loss) on investments in MSRs (net of any estimated MSR amortization), credit loss and impairment on other assets, transaction related expense and any tax expense (benefit) on realized and unrealized gain (loss) on MSRs and other non-EAD income (loss) items. MSR amortization refers to the portion of the change in fair value of the MSR that is primarily due to the realization of cashflows, runoff resulting from prepayments and an adjustment for any gain or loss on the capital used to purchase the MSR. EAD also includes interest rate swap periodic interest income (expense) and drop income on TBA dollar roll transactions, which are included in “Realized gain (loss) on derivatives, net” on the consolidated statements of income (loss). EAD attributable to common stockholders is adjusted to exclude outstanding LTIP-OP Units in our Operating Partnership and dividends paid on our preferred stock.</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EAD is provided for purposes of potential comparability to other issuers that invest in residential mortgage-related assets. We believe providing investors with EAD, in addition to related GAAP financial measures, may provide investors some insight into our ongoing operational performance. However, the concept of EAD does have significant limitations, including the exclusion of realized and unrealized gains (losses), and given the apparent lack of a consistent methodology among issuers for defining EAD, it may not be comparable to similarly titled measures of other issuers, which define EAD differently from us and each other. As a result, EAD should not be considered a substitute for our GAAP net income (loss) or as a measure of our liquidity. While EAD is one indicia of the Company’s earnings capacity, it is not the only factor considered in setting a dividend and is not the same as REIT taxable income which is calculated in accordance with the rules of the IRS.</w:t>
      </w:r>
    </w:p>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63</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Earnings Available for Distribution</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EAD for the three-month period ended June 30, 2026 as compared to the three-month period ended March 31, 2026 increased by approximately $0.3 million, or $0.01 per average common share primarily due to an increase in drop income on TBA dollar rolls offset by an increase in general and administrative expenses.</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EAD for the six-month period ended June 30, 2026 as compared to the six-month period ended June 30, 2025 increased by approximately $2.2 million, or $0.02 per average common share primarily due to a decrease in borrowing costs offset by a decrease in interest rate swap periodic interest income.</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 reconciles the GAAP measure of net income (loss) to EAD and related per average common share amounts, for the periods indicated (dollars in thousands):</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5419"/>
        <w:gridCol w:w="60"/>
        <w:gridCol w:w="186"/>
        <w:gridCol w:w="818"/>
        <w:gridCol w:w="88"/>
        <w:gridCol w:w="66"/>
        <w:gridCol w:w="196"/>
        <w:gridCol w:w="930"/>
        <w:gridCol w:w="80"/>
        <w:gridCol w:w="60"/>
        <w:gridCol w:w="178"/>
        <w:gridCol w:w="842"/>
        <w:gridCol w:w="80"/>
        <w:gridCol w:w="60"/>
        <w:gridCol w:w="167"/>
        <w:gridCol w:w="874"/>
        <w:gridCol w:w="101"/>
      </w:tblGrid>
      <w:tr>
        <w:trPr/>
        <w:tc>
          <w:tcPr>
            <w:tcW w:w="54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84"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Three Months Ended</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01"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Six Months Ended</w:t>
            </w:r>
          </w:p>
        </w:tc>
        <w:tc>
          <w:tcPr>
            <w:tcW w:w="101" w:type="dxa"/>
            <w:tcBorders/>
            <w:vAlign w:val="bottom"/>
          </w:tcPr>
          <w:p>
            <w:pPr>
              <w:pStyle w:val="TableContents"/>
              <w:bidi w:val="0"/>
              <w:spacing w:before="0" w:after="283"/>
              <w:jc w:val="left"/>
              <w:rPr/>
            </w:pPr>
            <w:r>
              <w:rPr/>
              <w:t> </w:t>
            </w:r>
          </w:p>
        </w:tc>
      </w:tr>
      <w:tr>
        <w:trPr/>
        <w:tc>
          <w:tcPr>
            <w:tcW w:w="54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June 30, 2026</w:t>
            </w:r>
          </w:p>
        </w:tc>
        <w:tc>
          <w:tcPr>
            <w:tcW w:w="88" w:type="dxa"/>
            <w:tcBorders/>
            <w:vAlign w:val="bottom"/>
          </w:tcPr>
          <w:p>
            <w:pPr>
              <w:pStyle w:val="TableContents"/>
              <w:bidi w:val="0"/>
              <w:spacing w:before="0" w:after="283"/>
              <w:jc w:val="center"/>
              <w:rPr/>
            </w:pPr>
            <w:r>
              <w:rPr/>
              <w:t> </w:t>
            </w:r>
          </w:p>
        </w:tc>
        <w:tc>
          <w:tcPr>
            <w:tcW w:w="66" w:type="dxa"/>
            <w:tcBorders/>
            <w:vAlign w:val="bottom"/>
          </w:tcPr>
          <w:p>
            <w:pPr>
              <w:pStyle w:val="TableContents"/>
              <w:bidi w:val="0"/>
              <w:spacing w:before="0" w:after="283"/>
              <w:jc w:val="center"/>
              <w:rPr/>
            </w:pPr>
            <w:r>
              <w:rPr/>
              <w:t> </w:t>
            </w:r>
          </w:p>
        </w:tc>
        <w:tc>
          <w:tcPr>
            <w:tcW w:w="1126"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March 31, 2026</w:t>
            </w:r>
          </w:p>
        </w:tc>
        <w:tc>
          <w:tcPr>
            <w:tcW w:w="80" w:type="dxa"/>
            <w:tcBorders/>
            <w:vAlign w:val="bottom"/>
          </w:tcPr>
          <w:p>
            <w:pPr>
              <w:pStyle w:val="TableContents"/>
              <w:bidi w:val="0"/>
              <w:spacing w:before="0" w:after="283"/>
              <w:jc w:val="center"/>
              <w:rPr/>
            </w:pPr>
            <w:r>
              <w:rPr/>
              <w:t> </w:t>
            </w:r>
          </w:p>
        </w:tc>
        <w:tc>
          <w:tcPr>
            <w:tcW w:w="60" w:type="dxa"/>
            <w:tcBorders/>
            <w:vAlign w:val="bottom"/>
          </w:tcPr>
          <w:p>
            <w:pPr>
              <w:pStyle w:val="TableContents"/>
              <w:bidi w:val="0"/>
              <w:spacing w:before="0" w:after="283"/>
              <w:jc w:val="center"/>
              <w:rPr/>
            </w:pPr>
            <w:r>
              <w:rPr/>
              <w:t> </w:t>
            </w:r>
          </w:p>
        </w:tc>
        <w:tc>
          <w:tcPr>
            <w:tcW w:w="10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June 30, 2026</w:t>
            </w:r>
          </w:p>
        </w:tc>
        <w:tc>
          <w:tcPr>
            <w:tcW w:w="80" w:type="dxa"/>
            <w:tcBorders/>
            <w:vAlign w:val="bottom"/>
          </w:tcPr>
          <w:p>
            <w:pPr>
              <w:pStyle w:val="TableContents"/>
              <w:bidi w:val="0"/>
              <w:spacing w:before="0" w:after="283"/>
              <w:jc w:val="center"/>
              <w:rPr/>
            </w:pPr>
            <w:r>
              <w:rPr/>
              <w:t> </w:t>
            </w:r>
          </w:p>
        </w:tc>
        <w:tc>
          <w:tcPr>
            <w:tcW w:w="60" w:type="dxa"/>
            <w:tcBorders/>
            <w:vAlign w:val="bottom"/>
          </w:tcPr>
          <w:p>
            <w:pPr>
              <w:pStyle w:val="TableContents"/>
              <w:bidi w:val="0"/>
              <w:spacing w:before="0" w:after="283"/>
              <w:jc w:val="center"/>
              <w:rPr/>
            </w:pPr>
            <w:r>
              <w:rPr/>
              <w:t> </w:t>
            </w:r>
          </w:p>
        </w:tc>
        <w:tc>
          <w:tcPr>
            <w:tcW w:w="1041"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June 30, 2025</w:t>
            </w:r>
          </w:p>
        </w:tc>
        <w:tc>
          <w:tcPr>
            <w:tcW w:w="101" w:type="dxa"/>
            <w:tcBorders/>
            <w:vAlign w:val="bottom"/>
          </w:tcPr>
          <w:p>
            <w:pPr>
              <w:pStyle w:val="TableContents"/>
              <w:bidi w:val="0"/>
              <w:spacing w:before="0" w:after="283"/>
              <w:jc w:val="left"/>
              <w:rPr/>
            </w:pPr>
            <w:r>
              <w:rPr/>
              <w:t> </w:t>
            </w:r>
          </w:p>
        </w:tc>
      </w:tr>
      <w:tr>
        <w:trPr/>
        <w:tc>
          <w:tcPr>
            <w:tcW w:w="5419"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1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3,794</w:t>
            </w:r>
          </w:p>
        </w:tc>
        <w:tc>
          <w:tcPr>
            <w:tcW w:w="88"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3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429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4,223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74"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(5,431</w:t>
            </w:r>
          </w:p>
        </w:tc>
        <w:tc>
          <w:tcPr>
            <w:tcW w:w="10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5419" w:type="dxa"/>
            <w:tcBorders/>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Realized loss on RMBS, net</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1,047</w:t>
            </w:r>
          </w:p>
        </w:tc>
        <w:tc>
          <w:tcPr>
            <w:tcW w:w="88"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93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84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1,047</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874"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6,045</w:t>
            </w:r>
          </w:p>
        </w:tc>
        <w:tc>
          <w:tcPr>
            <w:tcW w:w="101" w:type="dxa"/>
            <w:tcBorders/>
            <w:vAlign w:val="bottom"/>
          </w:tcPr>
          <w:p>
            <w:pPr>
              <w:pStyle w:val="TableContents"/>
              <w:bidi w:val="0"/>
              <w:spacing w:before="0" w:after="283"/>
              <w:jc w:val="left"/>
              <w:rPr/>
            </w:pPr>
            <w:r>
              <w:rPr/>
              <w:t> </w:t>
            </w:r>
          </w:p>
        </w:tc>
      </w:tr>
      <w:tr>
        <w:trPr/>
        <w:tc>
          <w:tcPr>
            <w:tcW w:w="5419" w:type="dxa"/>
            <w:tcBorders/>
            <w:shd w:fill="CCEEFF" w:val="clear"/>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 xml:space="preserve">Realized loss (gain) on derivatives, net </w:t>
            </w:r>
            <w:r>
              <w:rPr>
                <w:rFonts w:ascii="Times New Roman" w:hAnsi="Times New Roman"/>
                <w:position w:val="7"/>
                <w:sz w:val="16"/>
                <w:sz w:val="20"/>
              </w:rPr>
              <w:t>(A)</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81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(6,987</w:t>
            </w:r>
          </w:p>
        </w:tc>
        <w:tc>
          <w:tcPr>
            <w:tcW w:w="8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93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4,297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84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(2,690</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874"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(6,794</w:t>
            </w:r>
          </w:p>
        </w:tc>
        <w:tc>
          <w:tcPr>
            <w:tcW w:w="10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5419" w:type="dxa"/>
            <w:tcBorders/>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Realized gain on acquired assets, net</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w:t>
            </w:r>
          </w:p>
        </w:tc>
        <w:tc>
          <w:tcPr>
            <w:tcW w:w="8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6"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93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84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874"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101" w:type="dxa"/>
            <w:tcBorders/>
            <w:vAlign w:val="bottom"/>
          </w:tcPr>
          <w:p>
            <w:pPr>
              <w:pStyle w:val="TableContents"/>
              <w:bidi w:val="0"/>
              <w:spacing w:before="0" w:after="283"/>
              <w:jc w:val="left"/>
              <w:rPr/>
            </w:pPr>
            <w:r>
              <w:rPr/>
              <w:t> </w:t>
            </w:r>
          </w:p>
        </w:tc>
      </w:tr>
      <w:tr>
        <w:trPr/>
        <w:tc>
          <w:tcPr>
            <w:tcW w:w="5419" w:type="dxa"/>
            <w:tcBorders/>
            <w:shd w:fill="CCEEFF" w:val="clear"/>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Unrealized loss (gain) on RMBS measured at fair value through earnings, net</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81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860</w:t>
            </w:r>
          </w:p>
        </w:tc>
        <w:tc>
          <w:tcPr>
            <w:tcW w:w="88"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93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12,436</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84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13,296</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874"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(18,288</w:t>
            </w:r>
          </w:p>
        </w:tc>
        <w:tc>
          <w:tcPr>
            <w:tcW w:w="10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5419" w:type="dxa"/>
            <w:tcBorders/>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Unrealized loss (gain) on derivatives, net</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9,299</w:t>
            </w:r>
          </w:p>
        </w:tc>
        <w:tc>
          <w:tcPr>
            <w:tcW w:w="88"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93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(6,121</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84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3,178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874"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41,888</w:t>
            </w:r>
          </w:p>
        </w:tc>
        <w:tc>
          <w:tcPr>
            <w:tcW w:w="101" w:type="dxa"/>
            <w:tcBorders/>
            <w:vAlign w:val="bottom"/>
          </w:tcPr>
          <w:p>
            <w:pPr>
              <w:pStyle w:val="TableContents"/>
              <w:bidi w:val="0"/>
              <w:spacing w:before="0" w:after="283"/>
              <w:jc w:val="left"/>
              <w:rPr/>
            </w:pPr>
            <w:r>
              <w:rPr/>
              <w:t> </w:t>
            </w:r>
          </w:p>
        </w:tc>
      </w:tr>
      <w:tr>
        <w:trPr/>
        <w:tc>
          <w:tcPr>
            <w:tcW w:w="5419" w:type="dxa"/>
            <w:tcBorders/>
            <w:shd w:fill="CCEEFF" w:val="clear"/>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Unrealized gain on investments in MSRs, net of estimated MSR amortization</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81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(3,866</w:t>
            </w:r>
          </w:p>
        </w:tc>
        <w:tc>
          <w:tcPr>
            <w:tcW w:w="8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93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(4,981</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84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(8,847</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874"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(6,192</w:t>
            </w:r>
          </w:p>
        </w:tc>
        <w:tc>
          <w:tcPr>
            <w:tcW w:w="10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5419" w:type="dxa"/>
            <w:tcBorders/>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Credit loss and impairment on other assets</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2,815</w:t>
            </w:r>
          </w:p>
        </w:tc>
        <w:tc>
          <w:tcPr>
            <w:tcW w:w="88"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93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84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2,815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874"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101" w:type="dxa"/>
            <w:tcBorders/>
            <w:vAlign w:val="bottom"/>
          </w:tcPr>
          <w:p>
            <w:pPr>
              <w:pStyle w:val="TableContents"/>
              <w:bidi w:val="0"/>
              <w:spacing w:before="0" w:after="283"/>
              <w:jc w:val="left"/>
              <w:rPr/>
            </w:pPr>
            <w:r>
              <w:rPr/>
              <w:t> </w:t>
            </w:r>
          </w:p>
        </w:tc>
      </w:tr>
      <w:tr>
        <w:trPr/>
        <w:tc>
          <w:tcPr>
            <w:tcW w:w="5419" w:type="dxa"/>
            <w:tcBorders/>
            <w:shd w:fill="CCEEFF" w:val="clear"/>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Transaction related expenses</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81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240</w:t>
            </w:r>
          </w:p>
        </w:tc>
        <w:tc>
          <w:tcPr>
            <w:tcW w:w="88"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93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283"/>
              <w:jc w:val="left"/>
              <w:rPr/>
            </w:pPr>
            <w:r>
              <w:rPr/>
              <w:t> </w:t>
            </w:r>
          </w:p>
        </w:tc>
        <w:tc>
          <w:tcPr>
            <w:tcW w:w="84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240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874"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101" w:type="dxa"/>
            <w:tcBorders/>
            <w:shd w:fill="CCEEFF" w:val="clear"/>
            <w:vAlign w:val="bottom"/>
          </w:tcPr>
          <w:p>
            <w:pPr>
              <w:pStyle w:val="TableContents"/>
              <w:bidi w:val="0"/>
              <w:spacing w:before="0" w:after="283"/>
              <w:jc w:val="left"/>
              <w:rPr/>
            </w:pPr>
            <w:r>
              <w:rPr/>
              <w:t> </w:t>
            </w:r>
          </w:p>
        </w:tc>
      </w:tr>
      <w:tr>
        <w:trPr/>
        <w:tc>
          <w:tcPr>
            <w:tcW w:w="5419" w:type="dxa"/>
            <w:tcBorders/>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Tax expense on realized and unrealized gain on MSRs and other Non-EAD income (loss) items</w:t>
            </w:r>
          </w:p>
        </w:tc>
        <w:tc>
          <w:tcPr>
            <w:tcW w:w="60" w:type="dxa"/>
            <w:tcBorders/>
            <w:vAlign w:val="bottom"/>
          </w:tcPr>
          <w:p>
            <w:pPr>
              <w:pStyle w:val="TableContents"/>
              <w:bidi w:val="0"/>
              <w:spacing w:before="0" w:after="283"/>
              <w:jc w:val="left"/>
              <w:rPr/>
            </w:pPr>
            <w:r>
              <w:rPr/>
              <w:t> </w:t>
            </w:r>
          </w:p>
        </w:tc>
        <w:tc>
          <w:tcPr>
            <w:tcW w:w="186" w:type="dxa"/>
            <w:tcBorders>
              <w:bottom w:val="single" w:sz="12" w:space="0" w:color="000000"/>
            </w:tcBorders>
            <w:tcMar>
              <w:bottom w:w="28" w:type="dxa"/>
            </w:tcMar>
            <w:vAlign w:val="bottom"/>
          </w:tcPr>
          <w:p>
            <w:pPr>
              <w:pStyle w:val="TableContents"/>
              <w:bidi w:val="0"/>
              <w:spacing w:before="0" w:after="283"/>
              <w:jc w:val="left"/>
              <w:rPr/>
            </w:pPr>
            <w:r>
              <w:rPr/>
              <w:t> </w:t>
            </w:r>
          </w:p>
        </w:tc>
        <w:tc>
          <w:tcPr>
            <w:tcW w:w="81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842</w:t>
            </w:r>
          </w:p>
        </w:tc>
        <w:tc>
          <w:tcPr>
            <w:tcW w:w="88"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96" w:type="dxa"/>
            <w:tcBorders>
              <w:bottom w:val="single" w:sz="12" w:space="0" w:color="000000"/>
            </w:tcBorders>
            <w:tcMar>
              <w:bottom w:w="28" w:type="dxa"/>
            </w:tcMar>
            <w:vAlign w:val="bottom"/>
          </w:tcPr>
          <w:p>
            <w:pPr>
              <w:pStyle w:val="TableContents"/>
              <w:bidi w:val="0"/>
              <w:spacing w:before="0" w:after="283"/>
              <w:jc w:val="left"/>
              <w:rPr/>
            </w:pPr>
            <w:r>
              <w:rPr/>
              <w:t> </w:t>
            </w:r>
          </w:p>
        </w:tc>
        <w:tc>
          <w:tcPr>
            <w:tcW w:w="93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1,704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8" w:type="dxa"/>
            <w:tcBorders>
              <w:bottom w:val="single" w:sz="12" w:space="0" w:color="000000"/>
            </w:tcBorders>
            <w:tcMar>
              <w:bottom w:w="28" w:type="dxa"/>
            </w:tcMar>
            <w:vAlign w:val="bottom"/>
          </w:tcPr>
          <w:p>
            <w:pPr>
              <w:pStyle w:val="TableContents"/>
              <w:bidi w:val="0"/>
              <w:spacing w:before="0" w:after="283"/>
              <w:jc w:val="left"/>
              <w:rPr/>
            </w:pPr>
            <w:r>
              <w:rPr/>
              <w:t> </w:t>
            </w:r>
          </w:p>
        </w:tc>
        <w:tc>
          <w:tcPr>
            <w:tcW w:w="842"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2,546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7" w:type="dxa"/>
            <w:tcBorders>
              <w:bottom w:val="single" w:sz="12" w:space="0" w:color="000000"/>
            </w:tcBorders>
            <w:tcMar>
              <w:bottom w:w="28" w:type="dxa"/>
            </w:tcMar>
            <w:vAlign w:val="bottom"/>
          </w:tcPr>
          <w:p>
            <w:pPr>
              <w:pStyle w:val="TableContents"/>
              <w:bidi w:val="0"/>
              <w:spacing w:before="0" w:after="283"/>
              <w:jc w:val="left"/>
              <w:rPr/>
            </w:pPr>
            <w:r>
              <w:rPr/>
              <w:t> </w:t>
            </w:r>
          </w:p>
        </w:tc>
        <w:tc>
          <w:tcPr>
            <w:tcW w:w="874"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2,564</w:t>
            </w:r>
          </w:p>
        </w:tc>
        <w:tc>
          <w:tcPr>
            <w:tcW w:w="101" w:type="dxa"/>
            <w:tcBorders/>
            <w:vAlign w:val="bottom"/>
          </w:tcPr>
          <w:p>
            <w:pPr>
              <w:pStyle w:val="TableContents"/>
              <w:bidi w:val="0"/>
              <w:spacing w:before="0" w:after="283"/>
              <w:jc w:val="left"/>
              <w:rPr/>
            </w:pPr>
            <w:r>
              <w:rPr/>
              <w:t> </w:t>
            </w:r>
          </w:p>
        </w:tc>
      </w:tr>
      <w:tr>
        <w:trPr/>
        <w:tc>
          <w:tcPr>
            <w:tcW w:w="5419"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Total EAD:</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1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8,042</w:t>
            </w:r>
          </w:p>
        </w:tc>
        <w:tc>
          <w:tcPr>
            <w:tcW w:w="88"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3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7,764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15,806</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74"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13,792</w:t>
            </w:r>
          </w:p>
        </w:tc>
        <w:tc>
          <w:tcPr>
            <w:tcW w:w="101" w:type="dxa"/>
            <w:tcBorders/>
            <w:shd w:fill="CCEEFF" w:val="clear"/>
            <w:vAlign w:val="bottom"/>
          </w:tcPr>
          <w:p>
            <w:pPr>
              <w:pStyle w:val="TableContents"/>
              <w:bidi w:val="0"/>
              <w:spacing w:before="0" w:after="283"/>
              <w:jc w:val="left"/>
              <w:rPr/>
            </w:pPr>
            <w:r>
              <w:rPr/>
              <w:t> </w:t>
            </w:r>
          </w:p>
        </w:tc>
      </w:tr>
      <w:tr>
        <w:trPr/>
        <w:tc>
          <w:tcPr>
            <w:tcW w:w="541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EAD attributable to noncontrolling interests in Operating Partnership</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818"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(117</w:t>
            </w:r>
          </w:p>
        </w:tc>
        <w:tc>
          <w:tcPr>
            <w:tcW w:w="8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6"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93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(113</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84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(230</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874"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(253</w:t>
            </w:r>
          </w:p>
        </w:tc>
        <w:tc>
          <w:tcPr>
            <w:tcW w:w="10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5419"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Dividends on preferred stock</w:t>
            </w:r>
          </w:p>
        </w:tc>
        <w:tc>
          <w:tcPr>
            <w:tcW w:w="60" w:type="dxa"/>
            <w:tcBorders/>
            <w:shd w:fill="CCEEFF" w:val="clear"/>
            <w:vAlign w:val="bottom"/>
          </w:tcPr>
          <w:p>
            <w:pPr>
              <w:pStyle w:val="TableContents"/>
              <w:bidi w:val="0"/>
              <w:spacing w:before="0" w:after="283"/>
              <w:jc w:val="left"/>
              <w:rPr/>
            </w:pPr>
            <w:r>
              <w:rPr/>
              <w:t> </w:t>
            </w:r>
          </w:p>
        </w:tc>
        <w:tc>
          <w:tcPr>
            <w:tcW w:w="18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1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(2,403</w:t>
            </w:r>
          </w:p>
        </w:tc>
        <w:tc>
          <w:tcPr>
            <w:tcW w:w="8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6" w:type="dxa"/>
            <w:tcBorders/>
            <w:shd w:fill="CCEEFF" w:val="clear"/>
            <w:vAlign w:val="bottom"/>
          </w:tcPr>
          <w:p>
            <w:pPr>
              <w:pStyle w:val="TableContents"/>
              <w:bidi w:val="0"/>
              <w:spacing w:before="0" w:after="283"/>
              <w:jc w:val="left"/>
              <w:rPr/>
            </w:pPr>
            <w:r>
              <w:rPr/>
              <w:t> </w:t>
            </w:r>
          </w:p>
        </w:tc>
        <w:tc>
          <w:tcPr>
            <w:tcW w:w="19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3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(2,391</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17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(4,794</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16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74"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(4,916</w:t>
            </w:r>
          </w:p>
        </w:tc>
        <w:tc>
          <w:tcPr>
            <w:tcW w:w="10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5419"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EAD Attributable to Common Stockholders</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818"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5,522</w:t>
            </w:r>
          </w:p>
        </w:tc>
        <w:tc>
          <w:tcPr>
            <w:tcW w:w="88"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930"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5,260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842"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10,782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874"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8,623</w:t>
            </w:r>
          </w:p>
        </w:tc>
        <w:tc>
          <w:tcPr>
            <w:tcW w:w="101" w:type="dxa"/>
            <w:tcBorders/>
            <w:vAlign w:val="bottom"/>
          </w:tcPr>
          <w:p>
            <w:pPr>
              <w:pStyle w:val="TableContents"/>
              <w:bidi w:val="0"/>
              <w:spacing w:before="0" w:after="283"/>
              <w:jc w:val="left"/>
              <w:rPr/>
            </w:pPr>
            <w:r>
              <w:rPr/>
              <w:t> </w:t>
            </w:r>
          </w:p>
        </w:tc>
      </w:tr>
      <w:tr>
        <w:trPr/>
        <w:tc>
          <w:tcPr>
            <w:tcW w:w="5419"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EAD Attributable to Common Stockholders, per Diluted Share</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818"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0.15</w:t>
            </w:r>
          </w:p>
        </w:tc>
        <w:tc>
          <w:tcPr>
            <w:tcW w:w="88"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930"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0.14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8"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842"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0.29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874"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0.27</w:t>
            </w:r>
          </w:p>
        </w:tc>
        <w:tc>
          <w:tcPr>
            <w:tcW w:w="101" w:type="dxa"/>
            <w:tcBorders/>
            <w:shd w:fill="CCEEFF" w:val="clear"/>
            <w:vAlign w:val="bottom"/>
          </w:tcPr>
          <w:p>
            <w:pPr>
              <w:pStyle w:val="TableContents"/>
              <w:bidi w:val="0"/>
              <w:spacing w:before="0" w:after="283"/>
              <w:jc w:val="left"/>
              <w:rPr/>
            </w:pPr>
            <w:r>
              <w:rPr/>
              <w:t> </w:t>
            </w:r>
          </w:p>
        </w:tc>
      </w:tr>
      <w:tr>
        <w:trPr/>
        <w:tc>
          <w:tcPr>
            <w:tcW w:w="5419"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GAAP Net Income (Loss) Per Share of Common Stock, per Diluted Share</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818"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0.04</w:t>
            </w:r>
          </w:p>
        </w:tc>
        <w:tc>
          <w:tcPr>
            <w:tcW w:w="88"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930"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(0.05</w:t>
            </w:r>
          </w:p>
        </w:tc>
        <w:tc>
          <w:tcPr>
            <w:tcW w:w="8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842"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(0.02</w:t>
            </w:r>
          </w:p>
        </w:tc>
        <w:tc>
          <w:tcPr>
            <w:tcW w:w="8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874"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(0.32</w:t>
            </w:r>
          </w:p>
        </w:tc>
        <w:tc>
          <w:tcPr>
            <w:tcW w:w="101"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07"/>
        <w:gridCol w:w="9898"/>
      </w:tblGrid>
      <w:tr>
        <w:trPr/>
        <w:tc>
          <w:tcPr>
            <w:tcW w:w="307" w:type="dxa"/>
            <w:tcBorders/>
            <w:vAlign w:val="center"/>
          </w:tcPr>
          <w:p>
            <w:pPr>
              <w:pStyle w:val="TableContents"/>
              <w:bidi w:val="0"/>
              <w:spacing w:before="0" w:after="283"/>
              <w:jc w:val="left"/>
              <w:rPr>
                <w:color w:val="000000"/>
              </w:rPr>
            </w:pPr>
            <w:r>
              <w:rPr>
                <w:color w:val="000000"/>
              </w:rPr>
              <w:t>(A)</w:t>
            </w:r>
          </w:p>
        </w:tc>
        <w:tc>
          <w:tcPr>
            <w:tcW w:w="9898" w:type="dxa"/>
            <w:tcBorders/>
            <w:vAlign w:val="center"/>
          </w:tcPr>
          <w:p>
            <w:pPr>
              <w:pStyle w:val="TableContents"/>
              <w:bidi w:val="0"/>
              <w:spacing w:before="0" w:after="0"/>
              <w:jc w:val="both"/>
              <w:rPr>
                <w:color w:val="000000"/>
                <w:sz w:val="20"/>
              </w:rPr>
            </w:pPr>
            <w:r>
              <w:rPr>
                <w:color w:val="000000"/>
                <w:sz w:val="20"/>
              </w:rPr>
              <w:t>Excludes drop income on TBA dollar rolls of $1.4 million and $0.4 million and interest rate swap periodic interest income of $3.7 million and $3.8 million for the three-month periods ended June 30, 2026 and March 31, 2026, respectively. Excludes drop income on TBA dollar rolls of $1.8 million and $1.6 million and interest rate swap periodic interest income of $7.5 million and $11.1 million for the six-month periods ended June 30, 2026 and June 30, 2025, respectively.</w:t>
            </w:r>
          </w:p>
        </w:tc>
      </w:tr>
    </w:tbl>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64</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Our Portfolio</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MSRs</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Aurora’s portfolio of Fannie Mae and Freddie Mac MSRs have an aggregate UPB of approximately $15.2 billion as of June 30, 2026.</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tables set forth certain characteristics of the mortgage loans underlying those MSRs as of the dates indicated (dollars in thousands):</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MSR Collateral Characteristics</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As of June 30, 2026</w:t>
      </w:r>
    </w:p>
    <w:p>
      <w:pPr>
        <w:pStyle w:val="TextBody"/>
        <w:bidi w:val="0"/>
        <w:spacing w:before="0" w:after="0"/>
        <w:jc w:val="left"/>
        <w:rPr>
          <w:sz w:val="20"/>
        </w:rPr>
      </w:pPr>
      <w:r>
        <w:rPr>
          <w:sz w:val="20"/>
        </w:rPr>
      </w:r>
    </w:p>
    <w:tbl>
      <w:tblPr>
        <w:tblW w:w="10205" w:type="dxa"/>
        <w:jc w:val="left"/>
        <w:tblInd w:w="0" w:type="dxa"/>
        <w:tblLayout w:type="fixed"/>
        <w:tblCellMar>
          <w:top w:w="0" w:type="dxa"/>
          <w:left w:w="0" w:type="dxa"/>
          <w:bottom w:w="0" w:type="dxa"/>
          <w:right w:w="0" w:type="dxa"/>
        </w:tblCellMar>
      </w:tblPr>
      <w:tblGrid>
        <w:gridCol w:w="1839"/>
        <w:gridCol w:w="60"/>
        <w:gridCol w:w="186"/>
        <w:gridCol w:w="1038"/>
        <w:gridCol w:w="60"/>
        <w:gridCol w:w="60"/>
        <w:gridCol w:w="155"/>
        <w:gridCol w:w="1180"/>
        <w:gridCol w:w="60"/>
        <w:gridCol w:w="60"/>
        <w:gridCol w:w="142"/>
        <w:gridCol w:w="911"/>
        <w:gridCol w:w="215"/>
        <w:gridCol w:w="60"/>
        <w:gridCol w:w="113"/>
        <w:gridCol w:w="717"/>
        <w:gridCol w:w="215"/>
        <w:gridCol w:w="60"/>
        <w:gridCol w:w="136"/>
        <w:gridCol w:w="766"/>
        <w:gridCol w:w="60"/>
        <w:gridCol w:w="60"/>
        <w:gridCol w:w="183"/>
        <w:gridCol w:w="706"/>
        <w:gridCol w:w="60"/>
        <w:gridCol w:w="60"/>
        <w:gridCol w:w="143"/>
        <w:gridCol w:w="664"/>
        <w:gridCol w:w="236"/>
      </w:tblGrid>
      <w:tr>
        <w:trPr/>
        <w:tc>
          <w:tcPr>
            <w:tcW w:w="18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4"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726" w:type="dxa"/>
            <w:gridSpan w:val="2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Collateral Characteristics</w:t>
            </w:r>
          </w:p>
        </w:tc>
        <w:tc>
          <w:tcPr>
            <w:tcW w:w="236" w:type="dxa"/>
            <w:tcBorders/>
            <w:vAlign w:val="bottom"/>
          </w:tcPr>
          <w:p>
            <w:pPr>
              <w:pStyle w:val="TableContents"/>
              <w:bidi w:val="0"/>
              <w:spacing w:before="0" w:after="283"/>
              <w:jc w:val="left"/>
              <w:rPr/>
            </w:pPr>
            <w:r>
              <w:rPr/>
              <w:t> </w:t>
            </w:r>
          </w:p>
        </w:tc>
      </w:tr>
      <w:tr>
        <w:trPr/>
        <w:tc>
          <w:tcPr>
            <w:tcW w:w="18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Current Carrying</w:t>
            </w:r>
          </w:p>
          <w:p>
            <w:pPr>
              <w:pStyle w:val="TableContents"/>
              <w:bidi w:val="0"/>
              <w:spacing w:before="0" w:after="0"/>
              <w:jc w:val="center"/>
              <w:rPr>
                <w:rFonts w:ascii="Times New Roman" w:hAnsi="Times New Roman"/>
                <w:b/>
                <w:sz w:val="20"/>
              </w:rPr>
            </w:pPr>
            <w:r>
              <w:rPr>
                <w:rFonts w:ascii="Times New Roman" w:hAnsi="Times New Roman"/>
                <w:b/>
                <w:sz w:val="20"/>
              </w:rPr>
              <w:t>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3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Current Principal</w:t>
            </w:r>
          </w:p>
          <w:p>
            <w:pPr>
              <w:pStyle w:val="TableContents"/>
              <w:bidi w:val="0"/>
              <w:spacing w:before="0" w:after="0"/>
              <w:jc w:val="center"/>
              <w:rPr>
                <w:rFonts w:ascii="Times New Roman" w:hAnsi="Times New Roman"/>
                <w:b/>
                <w:sz w:val="20"/>
              </w:rPr>
            </w:pPr>
            <w:r>
              <w:rPr>
                <w:rFonts w:ascii="Times New Roman" w:hAnsi="Times New Roman"/>
                <w:b/>
                <w:sz w:val="20"/>
              </w:rPr>
              <w:t>Balance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3"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WA Coupon</w:t>
            </w:r>
            <w:r>
              <w:rPr>
                <w:rFonts w:ascii="Times New Roman" w:hAnsi="Times New Roman"/>
                <w:b/>
                <w:position w:val="7"/>
                <w:sz w:val="16"/>
                <w:sz w:val="20"/>
              </w:rPr>
              <w:t>(A)</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WA</w:t>
            </w:r>
          </w:p>
          <w:p>
            <w:pPr>
              <w:pStyle w:val="TableContents"/>
              <w:bidi w:val="0"/>
              <w:spacing w:before="0" w:after="0"/>
              <w:jc w:val="center"/>
              <w:rPr>
                <w:rFonts w:ascii="Times New Roman" w:hAnsi="Times New Roman"/>
                <w:b/>
                <w:sz w:val="20"/>
              </w:rPr>
            </w:pPr>
            <w:r>
              <w:rPr>
                <w:rFonts w:ascii="Times New Roman" w:hAnsi="Times New Roman"/>
                <w:b/>
                <w:sz w:val="20"/>
              </w:rPr>
              <w:t>Servicing</w:t>
            </w:r>
          </w:p>
          <w:p>
            <w:pPr>
              <w:pStyle w:val="TableContents"/>
              <w:bidi w:val="0"/>
              <w:spacing w:before="0" w:after="0"/>
              <w:jc w:val="center"/>
              <w:rPr>
                <w:rFonts w:ascii="Times New Roman" w:hAnsi="Times New Roman"/>
                <w:b/>
                <w:sz w:val="20"/>
              </w:rPr>
            </w:pPr>
            <w:r>
              <w:rPr>
                <w:rFonts w:ascii="Times New Roman" w:hAnsi="Times New Roman"/>
                <w:b/>
                <w:sz w:val="20"/>
              </w:rPr>
              <w:t>Fee</w:t>
            </w:r>
            <w:r>
              <w:rPr>
                <w:rFonts w:ascii="Times New Roman" w:hAnsi="Times New Roman"/>
                <w:b/>
                <w:position w:val="7"/>
                <w:sz w:val="16"/>
                <w:sz w:val="20"/>
              </w:rPr>
              <w:t>(A)</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2"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WA</w:t>
            </w:r>
          </w:p>
          <w:p>
            <w:pPr>
              <w:pStyle w:val="TableContents"/>
              <w:bidi w:val="0"/>
              <w:spacing w:before="0" w:after="0"/>
              <w:jc w:val="center"/>
              <w:rPr>
                <w:rFonts w:ascii="Times New Roman" w:hAnsi="Times New Roman"/>
                <w:b/>
                <w:sz w:val="20"/>
              </w:rPr>
            </w:pPr>
            <w:r>
              <w:rPr>
                <w:rFonts w:ascii="Times New Roman" w:hAnsi="Times New Roman"/>
                <w:b/>
                <w:sz w:val="20"/>
              </w:rPr>
              <w:t>Maturity</w:t>
            </w:r>
          </w:p>
          <w:p>
            <w:pPr>
              <w:pStyle w:val="TableContents"/>
              <w:bidi w:val="0"/>
              <w:spacing w:before="0" w:after="0"/>
              <w:jc w:val="center"/>
              <w:rPr>
                <w:rFonts w:ascii="Times New Roman" w:hAnsi="Times New Roman"/>
                <w:b/>
                <w:sz w:val="20"/>
              </w:rPr>
            </w:pPr>
            <w:r>
              <w:rPr>
                <w:rFonts w:ascii="Times New Roman" w:hAnsi="Times New Roman"/>
                <w:b/>
                <w:sz w:val="20"/>
              </w:rPr>
              <w:t>(months)</w:t>
            </w:r>
            <w:r>
              <w:rPr>
                <w:rFonts w:ascii="Times New Roman" w:hAnsi="Times New Roman"/>
                <w:b/>
                <w:position w:val="7"/>
                <w:sz w:val="16"/>
                <w:sz w:val="20"/>
              </w:rPr>
              <w:t>(A)</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WA Loan</w:t>
            </w:r>
          </w:p>
          <w:p>
            <w:pPr>
              <w:pStyle w:val="TableContents"/>
              <w:bidi w:val="0"/>
              <w:spacing w:before="0" w:after="0"/>
              <w:jc w:val="center"/>
              <w:rPr>
                <w:rFonts w:ascii="Times New Roman" w:hAnsi="Times New Roman"/>
                <w:b/>
                <w:sz w:val="20"/>
              </w:rPr>
            </w:pPr>
            <w:r>
              <w:rPr>
                <w:rFonts w:ascii="Times New Roman" w:hAnsi="Times New Roman"/>
                <w:b/>
                <w:sz w:val="20"/>
              </w:rPr>
              <w:t>Age</w:t>
            </w:r>
          </w:p>
          <w:p>
            <w:pPr>
              <w:pStyle w:val="TableContents"/>
              <w:bidi w:val="0"/>
              <w:spacing w:before="0" w:after="0"/>
              <w:jc w:val="center"/>
              <w:rPr>
                <w:rFonts w:ascii="Times New Roman" w:hAnsi="Times New Roman"/>
                <w:b/>
                <w:sz w:val="20"/>
              </w:rPr>
            </w:pPr>
            <w:r>
              <w:rPr>
                <w:rFonts w:ascii="Times New Roman" w:hAnsi="Times New Roman"/>
                <w:b/>
                <w:sz w:val="20"/>
              </w:rPr>
              <w:t>(months)</w:t>
            </w:r>
            <w:r>
              <w:rPr>
                <w:rFonts w:ascii="Times New Roman" w:hAnsi="Times New Roman"/>
                <w:b/>
                <w:position w:val="7"/>
                <w:sz w:val="16"/>
                <w:sz w:val="20"/>
              </w:rPr>
              <w:t>(A)</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7"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ARMs %</w:t>
            </w:r>
            <w:r>
              <w:rPr>
                <w:rFonts w:ascii="Times New Roman" w:hAnsi="Times New Roman"/>
                <w:b/>
                <w:position w:val="7"/>
                <w:sz w:val="16"/>
                <w:sz w:val="20"/>
              </w:rPr>
              <w:t>(B)</w:t>
            </w:r>
          </w:p>
        </w:tc>
        <w:tc>
          <w:tcPr>
            <w:tcW w:w="236" w:type="dxa"/>
            <w:tcBorders/>
            <w:vAlign w:val="bottom"/>
          </w:tcPr>
          <w:p>
            <w:pPr>
              <w:pStyle w:val="TableContents"/>
              <w:bidi w:val="0"/>
              <w:spacing w:before="0" w:after="283"/>
              <w:jc w:val="left"/>
              <w:rPr/>
            </w:pPr>
            <w:r>
              <w:rPr/>
              <w:t> </w:t>
            </w:r>
          </w:p>
        </w:tc>
      </w:tr>
      <w:tr>
        <w:trPr/>
        <w:tc>
          <w:tcPr>
            <w:tcW w:w="1839"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MSRs</w:t>
            </w:r>
          </w:p>
        </w:tc>
        <w:tc>
          <w:tcPr>
            <w:tcW w:w="60" w:type="dxa"/>
            <w:tcBorders/>
            <w:shd w:fill="CCEEFF" w:val="clear"/>
            <w:vAlign w:val="bottom"/>
          </w:tcPr>
          <w:p>
            <w:pPr>
              <w:pStyle w:val="TableContents"/>
              <w:bidi w:val="0"/>
              <w:spacing w:before="0" w:after="283"/>
              <w:jc w:val="right"/>
              <w:rPr/>
            </w:pPr>
            <w:r>
              <w:rPr/>
              <w:t> </w:t>
            </w:r>
          </w:p>
        </w:tc>
        <w:tc>
          <w:tcPr>
            <w:tcW w:w="186"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3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211,105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8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15,208,654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11"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3.49</w:t>
            </w:r>
          </w:p>
        </w:tc>
        <w:tc>
          <w:tcPr>
            <w:tcW w:w="21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1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17"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0.25</w:t>
            </w:r>
          </w:p>
        </w:tc>
        <w:tc>
          <w:tcPr>
            <w:tcW w:w="21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3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66"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278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06"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64"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0.0</w:t>
            </w:r>
          </w:p>
        </w:tc>
        <w:tc>
          <w:tcPr>
            <w:tcW w:w="23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1839"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MSR Total/Weighted Average</w:t>
            </w:r>
          </w:p>
        </w:tc>
        <w:tc>
          <w:tcPr>
            <w:tcW w:w="60" w:type="dxa"/>
            <w:tcBorders/>
            <w:vAlign w:val="bottom"/>
          </w:tcPr>
          <w:p>
            <w:pPr>
              <w:pStyle w:val="TableContents"/>
              <w:bidi w:val="0"/>
              <w:spacing w:before="0" w:after="283"/>
              <w:jc w:val="right"/>
              <w:rPr/>
            </w:pPr>
            <w:r>
              <w:rPr/>
              <w:t> </w:t>
            </w:r>
          </w:p>
        </w:tc>
        <w:tc>
          <w:tcPr>
            <w:tcW w:w="186"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1038"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211,105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1180"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15,208,654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2" w:type="dxa"/>
            <w:tcBorders/>
            <w:vAlign w:val="bottom"/>
          </w:tcPr>
          <w:p>
            <w:pPr>
              <w:pStyle w:val="TableContents"/>
              <w:bidi w:val="0"/>
              <w:spacing w:before="0" w:after="283"/>
              <w:jc w:val="left"/>
              <w:rPr/>
            </w:pPr>
            <w:r>
              <w:rPr/>
              <w:t> </w:t>
            </w:r>
          </w:p>
        </w:tc>
        <w:tc>
          <w:tcPr>
            <w:tcW w:w="911"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3.49</w:t>
            </w:r>
          </w:p>
        </w:tc>
        <w:tc>
          <w:tcPr>
            <w:tcW w:w="21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vAlign w:val="bottom"/>
          </w:tcPr>
          <w:p>
            <w:pPr>
              <w:pStyle w:val="TableContents"/>
              <w:bidi w:val="0"/>
              <w:spacing w:before="0" w:after="283"/>
              <w:jc w:val="right"/>
              <w:rPr/>
            </w:pPr>
            <w:r>
              <w:rPr/>
              <w:t> </w:t>
            </w:r>
          </w:p>
        </w:tc>
        <w:tc>
          <w:tcPr>
            <w:tcW w:w="113" w:type="dxa"/>
            <w:tcBorders/>
            <w:vAlign w:val="bottom"/>
          </w:tcPr>
          <w:p>
            <w:pPr>
              <w:pStyle w:val="TableContents"/>
              <w:bidi w:val="0"/>
              <w:spacing w:before="0" w:after="283"/>
              <w:jc w:val="left"/>
              <w:rPr/>
            </w:pPr>
            <w:r>
              <w:rPr/>
              <w:t> </w:t>
            </w:r>
          </w:p>
        </w:tc>
        <w:tc>
          <w:tcPr>
            <w:tcW w:w="717"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0.25</w:t>
            </w:r>
          </w:p>
        </w:tc>
        <w:tc>
          <w:tcPr>
            <w:tcW w:w="21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vAlign w:val="bottom"/>
          </w:tcPr>
          <w:p>
            <w:pPr>
              <w:pStyle w:val="TableContents"/>
              <w:bidi w:val="0"/>
              <w:spacing w:before="0" w:after="283"/>
              <w:jc w:val="right"/>
              <w:rPr/>
            </w:pPr>
            <w:r>
              <w:rPr/>
              <w:t> </w:t>
            </w:r>
          </w:p>
        </w:tc>
        <w:tc>
          <w:tcPr>
            <w:tcW w:w="136" w:type="dxa"/>
            <w:tcBorders/>
            <w:vAlign w:val="bottom"/>
          </w:tcPr>
          <w:p>
            <w:pPr>
              <w:pStyle w:val="TableContents"/>
              <w:bidi w:val="0"/>
              <w:spacing w:before="0" w:after="283"/>
              <w:jc w:val="left"/>
              <w:rPr/>
            </w:pPr>
            <w:r>
              <w:rPr/>
              <w:t> </w:t>
            </w:r>
          </w:p>
        </w:tc>
        <w:tc>
          <w:tcPr>
            <w:tcW w:w="766"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278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3"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69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3" w:type="dxa"/>
            <w:tcBorders/>
            <w:vAlign w:val="bottom"/>
          </w:tcPr>
          <w:p>
            <w:pPr>
              <w:pStyle w:val="TableContents"/>
              <w:bidi w:val="0"/>
              <w:spacing w:before="0" w:after="283"/>
              <w:jc w:val="left"/>
              <w:rPr/>
            </w:pPr>
            <w:r>
              <w:rPr/>
              <w:t> </w:t>
            </w:r>
          </w:p>
        </w:tc>
        <w:tc>
          <w:tcPr>
            <w:tcW w:w="664"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0.0</w:t>
            </w:r>
          </w:p>
        </w:tc>
        <w:tc>
          <w:tcPr>
            <w:tcW w:w="236"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r>
    </w:tbl>
    <w:p>
      <w:pPr>
        <w:pStyle w:val="TextBody"/>
        <w:bidi w:val="0"/>
        <w:spacing w:before="0" w:after="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As of December 31, 2025</w:t>
      </w:r>
    </w:p>
    <w:p>
      <w:pPr>
        <w:pStyle w:val="TextBody"/>
        <w:bidi w:val="0"/>
        <w:spacing w:before="0" w:after="0"/>
        <w:jc w:val="left"/>
        <w:rPr>
          <w:sz w:val="20"/>
        </w:rPr>
      </w:pPr>
      <w:r>
        <w:rPr>
          <w:sz w:val="20"/>
        </w:rPr>
      </w:r>
    </w:p>
    <w:tbl>
      <w:tblPr>
        <w:tblW w:w="10205" w:type="dxa"/>
        <w:jc w:val="left"/>
        <w:tblInd w:w="0" w:type="dxa"/>
        <w:tblLayout w:type="fixed"/>
        <w:tblCellMar>
          <w:top w:w="0" w:type="dxa"/>
          <w:left w:w="0" w:type="dxa"/>
          <w:bottom w:w="0" w:type="dxa"/>
          <w:right w:w="0" w:type="dxa"/>
        </w:tblCellMar>
      </w:tblPr>
      <w:tblGrid>
        <w:gridCol w:w="1304"/>
        <w:gridCol w:w="60"/>
        <w:gridCol w:w="168"/>
        <w:gridCol w:w="970"/>
        <w:gridCol w:w="60"/>
        <w:gridCol w:w="60"/>
        <w:gridCol w:w="153"/>
        <w:gridCol w:w="1205"/>
        <w:gridCol w:w="60"/>
        <w:gridCol w:w="60"/>
        <w:gridCol w:w="126"/>
        <w:gridCol w:w="935"/>
        <w:gridCol w:w="260"/>
        <w:gridCol w:w="60"/>
        <w:gridCol w:w="126"/>
        <w:gridCol w:w="932"/>
        <w:gridCol w:w="260"/>
        <w:gridCol w:w="60"/>
        <w:gridCol w:w="139"/>
        <w:gridCol w:w="888"/>
        <w:gridCol w:w="60"/>
        <w:gridCol w:w="60"/>
        <w:gridCol w:w="183"/>
        <w:gridCol w:w="800"/>
        <w:gridCol w:w="60"/>
        <w:gridCol w:w="60"/>
        <w:gridCol w:w="127"/>
        <w:gridCol w:w="686"/>
        <w:gridCol w:w="283"/>
      </w:tblGrid>
      <w:tr>
        <w:trPr/>
        <w:tc>
          <w:tcPr>
            <w:tcW w:w="130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8"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300" w:type="dxa"/>
            <w:gridSpan w:val="2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Collateral Characteristics</w:t>
            </w:r>
          </w:p>
        </w:tc>
        <w:tc>
          <w:tcPr>
            <w:tcW w:w="283" w:type="dxa"/>
            <w:tcBorders/>
            <w:vAlign w:val="bottom"/>
          </w:tcPr>
          <w:p>
            <w:pPr>
              <w:pStyle w:val="TableContents"/>
              <w:bidi w:val="0"/>
              <w:spacing w:before="0" w:after="283"/>
              <w:jc w:val="left"/>
              <w:rPr/>
            </w:pPr>
            <w:r>
              <w:rPr/>
              <w:t> </w:t>
            </w:r>
          </w:p>
        </w:tc>
      </w:tr>
      <w:tr>
        <w:trPr/>
        <w:tc>
          <w:tcPr>
            <w:tcW w:w="130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8" w:type="dxa"/>
            <w:gridSpan w:val="2"/>
            <w:tcBorders>
              <w:bottom w:val="single" w:sz="12" w:space="0" w:color="000000"/>
            </w:tcBorders>
            <w:tcMar>
              <w:bottom w:w="28" w:type="dxa"/>
            </w:tcMar>
            <w:vAlign w:val="bottom"/>
          </w:tcPr>
          <w:p>
            <w:pPr>
              <w:pStyle w:val="TableContents"/>
              <w:bidi w:val="0"/>
              <w:spacing w:before="0" w:after="0"/>
              <w:jc w:val="center"/>
              <w:rPr>
                <w:b/>
              </w:rPr>
            </w:pPr>
            <w:r>
              <w:rPr>
                <w:b/>
              </w:rPr>
              <w:t>Current Carrying</w:t>
            </w:r>
          </w:p>
          <w:p>
            <w:pPr>
              <w:pStyle w:val="TableContents"/>
              <w:bidi w:val="0"/>
              <w:spacing w:before="0" w:after="0"/>
              <w:jc w:val="center"/>
              <w:rPr>
                <w:b/>
              </w:rPr>
            </w:pPr>
            <w:r>
              <w:rPr>
                <w:b/>
              </w:rPr>
              <w:t>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58" w:type="dxa"/>
            <w:gridSpan w:val="2"/>
            <w:tcBorders>
              <w:bottom w:val="single" w:sz="12" w:space="0" w:color="000000"/>
            </w:tcBorders>
            <w:tcMar>
              <w:bottom w:w="28" w:type="dxa"/>
            </w:tcMar>
            <w:vAlign w:val="bottom"/>
          </w:tcPr>
          <w:p>
            <w:pPr>
              <w:pStyle w:val="TableContents"/>
              <w:bidi w:val="0"/>
              <w:spacing w:before="0" w:after="0"/>
              <w:jc w:val="center"/>
              <w:rPr>
                <w:b/>
              </w:rPr>
            </w:pPr>
            <w:r>
              <w:rPr>
                <w:b/>
              </w:rPr>
              <w:t>Current Principal</w:t>
            </w:r>
          </w:p>
          <w:p>
            <w:pPr>
              <w:pStyle w:val="TableContents"/>
              <w:bidi w:val="0"/>
              <w:spacing w:before="0" w:after="0"/>
              <w:jc w:val="center"/>
              <w:rPr>
                <w:b/>
              </w:rPr>
            </w:pPr>
            <w:r>
              <w:rPr>
                <w:b/>
              </w:rPr>
              <w:t>Balance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1" w:type="dxa"/>
            <w:gridSpan w:val="2"/>
            <w:tcBorders>
              <w:bottom w:val="single" w:sz="12" w:space="0" w:color="000000"/>
            </w:tcBorders>
            <w:tcMar>
              <w:bottom w:w="28" w:type="dxa"/>
            </w:tcMar>
            <w:vAlign w:val="bottom"/>
          </w:tcPr>
          <w:p>
            <w:pPr>
              <w:pStyle w:val="TableContents"/>
              <w:bidi w:val="0"/>
              <w:spacing w:lineRule="auto" w:line="240" w:before="0" w:after="0"/>
              <w:jc w:val="center"/>
              <w:rPr>
                <w:b/>
              </w:rPr>
            </w:pPr>
            <w:r>
              <w:rPr>
                <w:b/>
              </w:rPr>
              <w:t>WA Coupon(A)</w:t>
            </w:r>
          </w:p>
        </w:tc>
        <w:tc>
          <w:tcPr>
            <w:tcW w:w="2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8" w:type="dxa"/>
            <w:gridSpan w:val="2"/>
            <w:tcBorders>
              <w:bottom w:val="single" w:sz="12" w:space="0" w:color="000000"/>
            </w:tcBorders>
            <w:tcMar>
              <w:bottom w:w="28" w:type="dxa"/>
            </w:tcMar>
            <w:vAlign w:val="bottom"/>
          </w:tcPr>
          <w:p>
            <w:pPr>
              <w:pStyle w:val="TableContents"/>
              <w:bidi w:val="0"/>
              <w:spacing w:before="0" w:after="0"/>
              <w:jc w:val="center"/>
              <w:rPr>
                <w:b/>
              </w:rPr>
            </w:pPr>
            <w:r>
              <w:rPr>
                <w:b/>
              </w:rPr>
              <w:t>WA Servicing</w:t>
            </w:r>
          </w:p>
          <w:p>
            <w:pPr>
              <w:pStyle w:val="TableContents"/>
              <w:bidi w:val="0"/>
              <w:spacing w:lineRule="auto" w:line="240" w:before="0" w:after="0"/>
              <w:jc w:val="center"/>
              <w:rPr>
                <w:b/>
              </w:rPr>
            </w:pPr>
            <w:r>
              <w:rPr>
                <w:b/>
              </w:rPr>
              <w:t>Fee(A)</w:t>
            </w:r>
          </w:p>
        </w:tc>
        <w:tc>
          <w:tcPr>
            <w:tcW w:w="2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7" w:type="dxa"/>
            <w:gridSpan w:val="2"/>
            <w:tcBorders>
              <w:bottom w:val="single" w:sz="12" w:space="0" w:color="000000"/>
            </w:tcBorders>
            <w:tcMar>
              <w:bottom w:w="28" w:type="dxa"/>
            </w:tcMar>
            <w:vAlign w:val="bottom"/>
          </w:tcPr>
          <w:p>
            <w:pPr>
              <w:pStyle w:val="TableContents"/>
              <w:bidi w:val="0"/>
              <w:spacing w:before="0" w:after="0"/>
              <w:jc w:val="center"/>
              <w:rPr>
                <w:b/>
              </w:rPr>
            </w:pPr>
            <w:r>
              <w:rPr>
                <w:b/>
              </w:rPr>
              <w:t>WA Maturity</w:t>
            </w:r>
          </w:p>
          <w:p>
            <w:pPr>
              <w:pStyle w:val="TableContents"/>
              <w:bidi w:val="0"/>
              <w:spacing w:lineRule="auto" w:line="240" w:before="0" w:after="0"/>
              <w:jc w:val="center"/>
              <w:rPr>
                <w:b/>
              </w:rPr>
            </w:pPr>
            <w:r>
              <w:rPr>
                <w:b/>
              </w:rPr>
              <w:t>(months)(A)</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3" w:type="dxa"/>
            <w:gridSpan w:val="2"/>
            <w:tcBorders>
              <w:bottom w:val="single" w:sz="12" w:space="0" w:color="000000"/>
            </w:tcBorders>
            <w:tcMar>
              <w:bottom w:w="28" w:type="dxa"/>
            </w:tcMar>
            <w:vAlign w:val="bottom"/>
          </w:tcPr>
          <w:p>
            <w:pPr>
              <w:pStyle w:val="TableContents"/>
              <w:bidi w:val="0"/>
              <w:spacing w:before="0" w:after="0"/>
              <w:jc w:val="center"/>
              <w:rPr>
                <w:b/>
              </w:rPr>
            </w:pPr>
            <w:r>
              <w:rPr>
                <w:b/>
              </w:rPr>
              <w:t>WA Loan</w:t>
            </w:r>
          </w:p>
          <w:p>
            <w:pPr>
              <w:pStyle w:val="TableContents"/>
              <w:bidi w:val="0"/>
              <w:spacing w:before="0" w:after="0"/>
              <w:jc w:val="center"/>
              <w:rPr>
                <w:b/>
              </w:rPr>
            </w:pPr>
            <w:r>
              <w:rPr>
                <w:b/>
              </w:rPr>
              <w:t>Age</w:t>
            </w:r>
          </w:p>
          <w:p>
            <w:pPr>
              <w:pStyle w:val="TableContents"/>
              <w:bidi w:val="0"/>
              <w:spacing w:lineRule="auto" w:line="240" w:before="0" w:after="0"/>
              <w:jc w:val="center"/>
              <w:rPr>
                <w:b/>
              </w:rPr>
            </w:pPr>
            <w:r>
              <w:rPr>
                <w:b/>
              </w:rPr>
              <w:t>(months)(A)</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3" w:type="dxa"/>
            <w:gridSpan w:val="2"/>
            <w:tcBorders>
              <w:bottom w:val="single" w:sz="12" w:space="0" w:color="000000"/>
            </w:tcBorders>
            <w:tcMar>
              <w:bottom w:w="28" w:type="dxa"/>
            </w:tcMar>
            <w:vAlign w:val="bottom"/>
          </w:tcPr>
          <w:p>
            <w:pPr>
              <w:pStyle w:val="TableContents"/>
              <w:bidi w:val="0"/>
              <w:spacing w:lineRule="auto" w:line="240" w:before="0" w:after="0"/>
              <w:jc w:val="center"/>
              <w:rPr>
                <w:b/>
              </w:rPr>
            </w:pPr>
            <w:r>
              <w:rPr>
                <w:b/>
              </w:rPr>
              <w:t>ARMs %(B)</w:t>
            </w:r>
          </w:p>
        </w:tc>
        <w:tc>
          <w:tcPr>
            <w:tcW w:w="283" w:type="dxa"/>
            <w:tcBorders/>
            <w:vAlign w:val="bottom"/>
          </w:tcPr>
          <w:p>
            <w:pPr>
              <w:pStyle w:val="TableContents"/>
              <w:bidi w:val="0"/>
              <w:spacing w:before="0" w:after="283"/>
              <w:jc w:val="left"/>
              <w:rPr/>
            </w:pPr>
            <w:r>
              <w:rPr/>
              <w:t> </w:t>
            </w:r>
          </w:p>
        </w:tc>
      </w:tr>
      <w:tr>
        <w:trPr/>
        <w:tc>
          <w:tcPr>
            <w:tcW w:w="1304" w:type="dxa"/>
            <w:tcBorders/>
            <w:shd w:fill="CCEEFF" w:val="clear"/>
            <w:vAlign w:val="bottom"/>
          </w:tcPr>
          <w:p>
            <w:pPr>
              <w:pStyle w:val="TableContents"/>
              <w:bidi w:val="0"/>
              <w:spacing w:before="0" w:after="0"/>
              <w:ind w:left="144" w:right="0" w:hanging="144"/>
              <w:jc w:val="left"/>
              <w:rPr/>
            </w:pPr>
            <w:r>
              <w:rPr/>
              <w:t>MSRs</w:t>
            </w:r>
          </w:p>
        </w:tc>
        <w:tc>
          <w:tcPr>
            <w:tcW w:w="60" w:type="dxa"/>
            <w:tcBorders/>
            <w:shd w:fill="CCEEFF" w:val="clear"/>
            <w:vAlign w:val="bottom"/>
          </w:tcPr>
          <w:p>
            <w:pPr>
              <w:pStyle w:val="TableContents"/>
              <w:bidi w:val="0"/>
              <w:spacing w:before="0" w:after="283"/>
              <w:jc w:val="left"/>
              <w:rPr/>
            </w:pPr>
            <w:r>
              <w:rPr/>
              <w:t> </w:t>
            </w:r>
          </w:p>
        </w:tc>
        <w:tc>
          <w:tcPr>
            <w:tcW w:w="168"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970" w:type="dxa"/>
            <w:tcBorders>
              <w:bottom w:val="single" w:sz="12" w:space="0" w:color="000000"/>
            </w:tcBorders>
            <w:shd w:fill="CCEEFF" w:val="clear"/>
            <w:tcMar>
              <w:bottom w:w="28" w:type="dxa"/>
            </w:tcMar>
            <w:vAlign w:val="bottom"/>
          </w:tcPr>
          <w:p>
            <w:pPr>
              <w:pStyle w:val="TableContents"/>
              <w:bidi w:val="0"/>
              <w:spacing w:before="0" w:after="0"/>
              <w:jc w:val="right"/>
              <w:rPr/>
            </w:pPr>
            <w:r>
              <w:rPr/>
              <w:t>214,831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3"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1205" w:type="dxa"/>
            <w:tcBorders>
              <w:bottom w:val="single" w:sz="12" w:space="0" w:color="000000"/>
            </w:tcBorders>
            <w:shd w:fill="CCEEFF" w:val="clear"/>
            <w:tcMar>
              <w:bottom w:w="28" w:type="dxa"/>
            </w:tcMar>
            <w:vAlign w:val="bottom"/>
          </w:tcPr>
          <w:p>
            <w:pPr>
              <w:pStyle w:val="TableContents"/>
              <w:bidi w:val="0"/>
              <w:spacing w:before="0" w:after="0"/>
              <w:jc w:val="right"/>
              <w:rPr/>
            </w:pPr>
            <w:r>
              <w:rPr/>
              <w:t>15,891,266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35" w:type="dxa"/>
            <w:tcBorders>
              <w:bottom w:val="single" w:sz="12" w:space="0" w:color="000000"/>
            </w:tcBorders>
            <w:shd w:fill="CCEEFF" w:val="clear"/>
            <w:tcMar>
              <w:bottom w:w="28" w:type="dxa"/>
            </w:tcMar>
            <w:vAlign w:val="bottom"/>
          </w:tcPr>
          <w:p>
            <w:pPr>
              <w:pStyle w:val="TableContents"/>
              <w:bidi w:val="0"/>
              <w:spacing w:before="0" w:after="0"/>
              <w:jc w:val="right"/>
              <w:rPr/>
            </w:pPr>
            <w:r>
              <w:rPr/>
              <w:t>3.49</w:t>
            </w:r>
          </w:p>
        </w:tc>
        <w:tc>
          <w:tcPr>
            <w:tcW w:w="260"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2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32" w:type="dxa"/>
            <w:tcBorders>
              <w:bottom w:val="single" w:sz="12" w:space="0" w:color="000000"/>
            </w:tcBorders>
            <w:shd w:fill="CCEEFF" w:val="clear"/>
            <w:tcMar>
              <w:bottom w:w="28" w:type="dxa"/>
            </w:tcMar>
            <w:vAlign w:val="bottom"/>
          </w:tcPr>
          <w:p>
            <w:pPr>
              <w:pStyle w:val="TableContents"/>
              <w:bidi w:val="0"/>
              <w:spacing w:before="0" w:after="0"/>
              <w:jc w:val="right"/>
              <w:rPr/>
            </w:pPr>
            <w:r>
              <w:rPr/>
              <w:t>0.25</w:t>
            </w:r>
          </w:p>
        </w:tc>
        <w:tc>
          <w:tcPr>
            <w:tcW w:w="260"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3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88" w:type="dxa"/>
            <w:tcBorders>
              <w:bottom w:val="single" w:sz="12" w:space="0" w:color="000000"/>
            </w:tcBorders>
            <w:shd w:fill="CCEEFF" w:val="clear"/>
            <w:tcMar>
              <w:bottom w:w="28" w:type="dxa"/>
            </w:tcMar>
            <w:vAlign w:val="bottom"/>
          </w:tcPr>
          <w:p>
            <w:pPr>
              <w:pStyle w:val="TableContents"/>
              <w:bidi w:val="0"/>
              <w:spacing w:before="0" w:after="0"/>
              <w:jc w:val="right"/>
              <w:rPr/>
            </w:pPr>
            <w:r>
              <w:rPr/>
              <w:t>283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before="0" w:after="0"/>
              <w:jc w:val="right"/>
              <w:rPr/>
            </w:pPr>
            <w:r>
              <w:rPr/>
              <w:t>63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86" w:type="dxa"/>
            <w:tcBorders>
              <w:bottom w:val="single" w:sz="12" w:space="0" w:color="000000"/>
            </w:tcBorders>
            <w:shd w:fill="CCEEFF" w:val="clear"/>
            <w:tcMar>
              <w:bottom w:w="28" w:type="dxa"/>
            </w:tcMar>
            <w:vAlign w:val="bottom"/>
          </w:tcPr>
          <w:p>
            <w:pPr>
              <w:pStyle w:val="TableContents"/>
              <w:bidi w:val="0"/>
              <w:spacing w:before="0" w:after="0"/>
              <w:jc w:val="right"/>
              <w:rPr/>
            </w:pPr>
            <w:r>
              <w:rPr/>
              <w:t>0.0</w:t>
            </w:r>
          </w:p>
        </w:tc>
        <w:tc>
          <w:tcPr>
            <w:tcW w:w="283" w:type="dxa"/>
            <w:tcBorders/>
            <w:shd w:fill="CCEEFF" w:val="clear"/>
            <w:vAlign w:val="bottom"/>
          </w:tcPr>
          <w:p>
            <w:pPr>
              <w:pStyle w:val="TableContents"/>
              <w:bidi w:val="0"/>
              <w:spacing w:before="0" w:after="0"/>
              <w:jc w:val="left"/>
              <w:rPr/>
            </w:pPr>
            <w:r>
              <w:rPr/>
              <w:t>%</w:t>
            </w:r>
          </w:p>
        </w:tc>
      </w:tr>
      <w:tr>
        <w:trPr/>
        <w:tc>
          <w:tcPr>
            <w:tcW w:w="1304" w:type="dxa"/>
            <w:tcBorders/>
            <w:vAlign w:val="bottom"/>
          </w:tcPr>
          <w:p>
            <w:pPr>
              <w:pStyle w:val="TableContents"/>
              <w:bidi w:val="0"/>
              <w:spacing w:before="0" w:after="0"/>
              <w:ind w:left="144" w:right="0" w:hanging="144"/>
              <w:jc w:val="left"/>
              <w:rPr>
                <w:b/>
              </w:rPr>
            </w:pPr>
            <w:r>
              <w:rPr>
                <w:b/>
              </w:rPr>
              <w:t>MSR Total/Weighted Average</w:t>
            </w:r>
          </w:p>
        </w:tc>
        <w:tc>
          <w:tcPr>
            <w:tcW w:w="60"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0"/>
              <w:jc w:val="left"/>
              <w:rPr>
                <w:b/>
              </w:rPr>
            </w:pPr>
            <w:r>
              <w:rPr>
                <w:b/>
              </w:rPr>
              <w:t>$</w:t>
            </w:r>
          </w:p>
        </w:tc>
        <w:tc>
          <w:tcPr>
            <w:tcW w:w="970" w:type="dxa"/>
            <w:tcBorders/>
            <w:vAlign w:val="bottom"/>
          </w:tcPr>
          <w:p>
            <w:pPr>
              <w:pStyle w:val="TableContents"/>
              <w:bidi w:val="0"/>
              <w:spacing w:before="0" w:after="0"/>
              <w:jc w:val="right"/>
              <w:rPr>
                <w:b/>
              </w:rPr>
            </w:pPr>
            <w:r>
              <w:rPr>
                <w:b/>
              </w:rPr>
              <w:t>214,831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0"/>
              <w:jc w:val="left"/>
              <w:rPr>
                <w:b/>
              </w:rPr>
            </w:pPr>
            <w:r>
              <w:rPr>
                <w:b/>
              </w:rPr>
              <w:t>$</w:t>
            </w:r>
          </w:p>
        </w:tc>
        <w:tc>
          <w:tcPr>
            <w:tcW w:w="1205" w:type="dxa"/>
            <w:tcBorders/>
            <w:vAlign w:val="bottom"/>
          </w:tcPr>
          <w:p>
            <w:pPr>
              <w:pStyle w:val="TableContents"/>
              <w:bidi w:val="0"/>
              <w:spacing w:before="0" w:after="0"/>
              <w:jc w:val="right"/>
              <w:rPr>
                <w:b/>
              </w:rPr>
            </w:pPr>
            <w:r>
              <w:rPr>
                <w:b/>
              </w:rPr>
              <w:t>15,891,266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0"/>
              <w:jc w:val="right"/>
              <w:rPr>
                <w:b/>
              </w:rPr>
            </w:pPr>
            <w:r>
              <w:rPr>
                <w:b/>
              </w:rPr>
              <w:t>3.49</w:t>
            </w:r>
          </w:p>
        </w:tc>
        <w:tc>
          <w:tcPr>
            <w:tcW w:w="260" w:type="dxa"/>
            <w:tcBorders/>
            <w:vAlign w:val="bottom"/>
          </w:tcPr>
          <w:p>
            <w:pPr>
              <w:pStyle w:val="TableContents"/>
              <w:bidi w:val="0"/>
              <w:spacing w:before="0" w:after="0"/>
              <w:jc w:val="left"/>
              <w:rPr>
                <w:b/>
              </w:rPr>
            </w:pPr>
            <w:r>
              <w:rPr>
                <w:b/>
              </w:rPr>
              <w:t>%</w:t>
            </w:r>
          </w:p>
        </w:tc>
        <w:tc>
          <w:tcPr>
            <w:tcW w:w="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932" w:type="dxa"/>
            <w:tcBorders/>
            <w:vAlign w:val="bottom"/>
          </w:tcPr>
          <w:p>
            <w:pPr>
              <w:pStyle w:val="TableContents"/>
              <w:bidi w:val="0"/>
              <w:spacing w:before="0" w:after="0"/>
              <w:jc w:val="right"/>
              <w:rPr>
                <w:b/>
              </w:rPr>
            </w:pPr>
            <w:r>
              <w:rPr>
                <w:b/>
              </w:rPr>
              <w:t>0.25</w:t>
            </w:r>
          </w:p>
        </w:tc>
        <w:tc>
          <w:tcPr>
            <w:tcW w:w="260" w:type="dxa"/>
            <w:tcBorders/>
            <w:vAlign w:val="bottom"/>
          </w:tcPr>
          <w:p>
            <w:pPr>
              <w:pStyle w:val="TableContents"/>
              <w:bidi w:val="0"/>
              <w:spacing w:before="0" w:after="0"/>
              <w:jc w:val="left"/>
              <w:rPr>
                <w:b/>
              </w:rPr>
            </w:pPr>
            <w:r>
              <w:rPr>
                <w:b/>
              </w:rPr>
              <w:t>%</w:t>
            </w:r>
          </w:p>
        </w:tc>
        <w:tc>
          <w:tcPr>
            <w:tcW w:w="60"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888" w:type="dxa"/>
            <w:tcBorders/>
            <w:vAlign w:val="bottom"/>
          </w:tcPr>
          <w:p>
            <w:pPr>
              <w:pStyle w:val="TableContents"/>
              <w:bidi w:val="0"/>
              <w:spacing w:before="0" w:after="0"/>
              <w:jc w:val="right"/>
              <w:rPr>
                <w:b/>
              </w:rPr>
            </w:pPr>
            <w:r>
              <w:rPr>
                <w:b/>
              </w:rPr>
              <w:t>283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b/>
              </w:rPr>
            </w:pPr>
            <w:r>
              <w:rPr>
                <w:b/>
              </w:rPr>
              <w:t>63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686" w:type="dxa"/>
            <w:tcBorders/>
            <w:vAlign w:val="bottom"/>
          </w:tcPr>
          <w:p>
            <w:pPr>
              <w:pStyle w:val="TableContents"/>
              <w:bidi w:val="0"/>
              <w:spacing w:before="0" w:after="0"/>
              <w:jc w:val="right"/>
              <w:rPr/>
            </w:pPr>
            <w:r>
              <w:rPr/>
              <w:t>0.0</w:t>
            </w:r>
          </w:p>
        </w:tc>
        <w:tc>
          <w:tcPr>
            <w:tcW w:w="283" w:type="dxa"/>
            <w:tcBorders/>
            <w:vAlign w:val="bottom"/>
          </w:tcPr>
          <w:p>
            <w:pPr>
              <w:pStyle w:val="TableContents"/>
              <w:bidi w:val="0"/>
              <w:spacing w:before="0" w:after="0"/>
              <w:jc w:val="left"/>
              <w:rPr>
                <w:b/>
              </w:rPr>
            </w:pPr>
            <w:r>
              <w:rPr>
                <w:b/>
              </w:rPr>
              <w:t>%</w:t>
            </w:r>
          </w:p>
        </w:tc>
      </w:tr>
    </w:tbl>
    <w:p>
      <w:pPr>
        <w:pStyle w:val="TextBody"/>
        <w:bidi w:val="0"/>
        <w:spacing w:before="0" w:after="0"/>
        <w:jc w:val="left"/>
        <w:rPr>
          <w:sz w:val="20"/>
        </w:rPr>
      </w:pPr>
      <w:r>
        <w:rPr>
          <w:sz w:val="20"/>
        </w:rPr>
      </w:r>
    </w:p>
    <w:tbl>
      <w:tblPr>
        <w:tblW w:w="10205" w:type="dxa"/>
        <w:jc w:val="left"/>
        <w:tblInd w:w="0" w:type="dxa"/>
        <w:tblLayout w:type="fixed"/>
        <w:tblCellMar>
          <w:top w:w="0" w:type="dxa"/>
          <w:left w:w="0" w:type="dxa"/>
          <w:bottom w:w="0" w:type="dxa"/>
          <w:right w:w="0" w:type="dxa"/>
        </w:tblCellMar>
      </w:tblPr>
      <w:tblGrid>
        <w:gridCol w:w="344"/>
        <w:gridCol w:w="9861"/>
      </w:tblGrid>
      <w:tr>
        <w:trPr/>
        <w:tc>
          <w:tcPr>
            <w:tcW w:w="344" w:type="dxa"/>
            <w:tcBorders/>
            <w:vAlign w:val="center"/>
          </w:tcPr>
          <w:p>
            <w:pPr>
              <w:pStyle w:val="TableContents"/>
              <w:bidi w:val="0"/>
              <w:spacing w:before="0" w:after="283"/>
              <w:jc w:val="left"/>
              <w:rPr>
                <w:color w:val="000000"/>
              </w:rPr>
            </w:pPr>
            <w:r>
              <w:rPr>
                <w:color w:val="000000"/>
              </w:rPr>
              <w:t>(A)</w:t>
            </w:r>
          </w:p>
        </w:tc>
        <w:tc>
          <w:tcPr>
            <w:tcW w:w="9861" w:type="dxa"/>
            <w:tcBorders/>
            <w:vAlign w:val="center"/>
          </w:tcPr>
          <w:p>
            <w:pPr>
              <w:pStyle w:val="TableContents"/>
              <w:bidi w:val="0"/>
              <w:spacing w:before="0" w:after="0"/>
              <w:jc w:val="both"/>
              <w:rPr>
                <w:color w:val="000000"/>
                <w:sz w:val="20"/>
              </w:rPr>
            </w:pPr>
            <w:r>
              <w:rPr>
                <w:color w:val="000000"/>
                <w:sz w:val="20"/>
              </w:rPr>
              <w:t>Weighted average coupon, servicing fee, maturity and loan age of the underlying residential mortgage loans in the pool are based on the unpaid principal balance.</w:t>
            </w:r>
          </w:p>
        </w:tc>
      </w:tr>
    </w:tbl>
    <w:tbl>
      <w:tblPr>
        <w:tblW w:w="10205" w:type="dxa"/>
        <w:jc w:val="left"/>
        <w:tblInd w:w="0" w:type="dxa"/>
        <w:tblLayout w:type="fixed"/>
        <w:tblCellMar>
          <w:top w:w="0" w:type="dxa"/>
          <w:left w:w="0" w:type="dxa"/>
          <w:bottom w:w="0" w:type="dxa"/>
          <w:right w:w="0" w:type="dxa"/>
        </w:tblCellMar>
      </w:tblPr>
      <w:tblGrid>
        <w:gridCol w:w="349"/>
        <w:gridCol w:w="9856"/>
      </w:tblGrid>
      <w:tr>
        <w:trPr/>
        <w:tc>
          <w:tcPr>
            <w:tcW w:w="349" w:type="dxa"/>
            <w:tcBorders/>
            <w:vAlign w:val="center"/>
          </w:tcPr>
          <w:p>
            <w:pPr>
              <w:pStyle w:val="TableContents"/>
              <w:bidi w:val="0"/>
              <w:spacing w:before="0" w:after="283"/>
              <w:jc w:val="left"/>
              <w:rPr>
                <w:color w:val="000000"/>
              </w:rPr>
            </w:pPr>
            <w:r>
              <w:rPr>
                <w:color w:val="000000"/>
              </w:rPr>
              <w:t>(B)</w:t>
            </w:r>
          </w:p>
        </w:tc>
        <w:tc>
          <w:tcPr>
            <w:tcW w:w="9856" w:type="dxa"/>
            <w:tcBorders/>
            <w:vAlign w:val="center"/>
          </w:tcPr>
          <w:p>
            <w:pPr>
              <w:pStyle w:val="TableContents"/>
              <w:bidi w:val="0"/>
              <w:spacing w:before="0" w:after="0"/>
              <w:jc w:val="both"/>
              <w:rPr>
                <w:color w:val="000000"/>
                <w:sz w:val="20"/>
              </w:rPr>
            </w:pPr>
            <w:r>
              <w:rPr>
                <w:color w:val="000000"/>
                <w:sz w:val="20"/>
              </w:rPr>
              <w:t>ARMs % represents the percentage of the total principal balance of the pool that corresponds to ARMs and hybrid ARMs.</w:t>
            </w:r>
          </w:p>
        </w:tc>
      </w:tr>
    </w:tbl>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65</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RMBS</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tables summarize the characteristics of our RMBS portfolio and certain characteristics of the collateral underlying our RMBS as of the dates indicated (dollars in thousands):</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RMBS Characteristics</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As of June 30, 2026</w:t>
      </w:r>
    </w:p>
    <w:p>
      <w:pPr>
        <w:pStyle w:val="TextBody"/>
        <w:bidi w:val="0"/>
        <w:spacing w:before="0" w:after="0"/>
        <w:jc w:val="left"/>
        <w:rPr>
          <w:sz w:val="20"/>
        </w:rPr>
      </w:pPr>
      <w:r>
        <w:rPr>
          <w:sz w:val="20"/>
        </w:rPr>
      </w:r>
    </w:p>
    <w:tbl>
      <w:tblPr>
        <w:tblW w:w="10205" w:type="dxa"/>
        <w:jc w:val="left"/>
        <w:tblInd w:w="0" w:type="dxa"/>
        <w:tblLayout w:type="fixed"/>
        <w:tblCellMar>
          <w:top w:w="0" w:type="dxa"/>
          <w:left w:w="0" w:type="dxa"/>
          <w:bottom w:w="0" w:type="dxa"/>
          <w:right w:w="0" w:type="dxa"/>
        </w:tblCellMar>
      </w:tblPr>
      <w:tblGrid>
        <w:gridCol w:w="987"/>
        <w:gridCol w:w="60"/>
        <w:gridCol w:w="125"/>
        <w:gridCol w:w="845"/>
        <w:gridCol w:w="60"/>
        <w:gridCol w:w="60"/>
        <w:gridCol w:w="125"/>
        <w:gridCol w:w="845"/>
        <w:gridCol w:w="60"/>
        <w:gridCol w:w="60"/>
        <w:gridCol w:w="125"/>
        <w:gridCol w:w="590"/>
        <w:gridCol w:w="60"/>
        <w:gridCol w:w="60"/>
        <w:gridCol w:w="125"/>
        <w:gridCol w:w="545"/>
        <w:gridCol w:w="80"/>
        <w:gridCol w:w="60"/>
        <w:gridCol w:w="131"/>
        <w:gridCol w:w="886"/>
        <w:gridCol w:w="60"/>
        <w:gridCol w:w="60"/>
        <w:gridCol w:w="128"/>
        <w:gridCol w:w="721"/>
        <w:gridCol w:w="60"/>
        <w:gridCol w:w="590"/>
        <w:gridCol w:w="60"/>
        <w:gridCol w:w="92"/>
        <w:gridCol w:w="588"/>
        <w:gridCol w:w="215"/>
        <w:gridCol w:w="60"/>
        <w:gridCol w:w="73"/>
        <w:gridCol w:w="470"/>
        <w:gridCol w:w="215"/>
        <w:gridCol w:w="60"/>
        <w:gridCol w:w="162"/>
        <w:gridCol w:w="623"/>
        <w:gridCol w:w="79"/>
      </w:tblGrid>
      <w:tr>
        <w:trPr/>
        <w:tc>
          <w:tcPr>
            <w:tcW w:w="987" w:type="dxa"/>
            <w:tcBorders/>
            <w:vAlign w:val="bottom"/>
          </w:tcPr>
          <w:p>
            <w:pPr>
              <w:pStyle w:val="TableContents"/>
              <w:bidi w:val="0"/>
              <w:spacing w:before="0" w:after="283"/>
              <w:jc w:val="left"/>
              <w:rPr/>
            </w:pPr>
            <w:r>
              <w:rPr/>
            </w:r>
          </w:p>
        </w:tc>
        <w:tc>
          <w:tcPr>
            <w:tcW w:w="60" w:type="dxa"/>
            <w:tcBorders/>
            <w:vAlign w:val="bottom"/>
          </w:tcPr>
          <w:p>
            <w:pPr>
              <w:pStyle w:val="TableContents"/>
              <w:bidi w:val="0"/>
              <w:spacing w:before="0" w:after="283"/>
              <w:jc w:val="left"/>
              <w:rPr/>
            </w:pPr>
            <w:r>
              <w:rPr/>
              <w:t> </w:t>
            </w:r>
          </w:p>
        </w:tc>
        <w:tc>
          <w:tcPr>
            <w:tcW w:w="97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vAlign w:val="bottom"/>
          </w:tcPr>
          <w:p>
            <w:pPr>
              <w:pStyle w:val="TableContents"/>
              <w:bidi w:val="0"/>
              <w:spacing w:before="0" w:after="283"/>
              <w:jc w:val="left"/>
              <w:rPr/>
            </w:pPr>
            <w:r>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5" w:type="dxa"/>
            <w:gridSpan w:val="6"/>
            <w:tcBorders>
              <w:bottom w:val="single" w:sz="12" w:space="0" w:color="000000"/>
            </w:tcBorders>
            <w:tcMar>
              <w:bottom w:w="28" w:type="dxa"/>
            </w:tcMar>
            <w:vAlign w:val="bottom"/>
          </w:tcPr>
          <w:p>
            <w:pPr>
              <w:pStyle w:val="TableContents"/>
              <w:bidi w:val="0"/>
              <w:spacing w:before="0" w:after="0"/>
              <w:jc w:val="center"/>
              <w:rPr>
                <w:b/>
                <w:color w:val="000000"/>
                <w:sz w:val="20"/>
              </w:rPr>
            </w:pPr>
            <w:r>
              <w:rPr>
                <w:b/>
                <w:color w:val="000000"/>
                <w:sz w:val="20"/>
              </w:rPr>
              <w:t>Gross Unrealized</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7" w:type="dxa"/>
            <w:gridSpan w:val="2"/>
            <w:tcBorders/>
            <w:vAlign w:val="bottom"/>
          </w:tcPr>
          <w:p>
            <w:pPr>
              <w:pStyle w:val="TableContents"/>
              <w:bidi w:val="0"/>
              <w:spacing w:before="0" w:after="283"/>
              <w:jc w:val="left"/>
              <w:rPr/>
            </w:pPr>
            <w:r>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9" w:type="dxa"/>
            <w:gridSpan w:val="2"/>
            <w:tcBorders/>
            <w:vAlign w:val="bottom"/>
          </w:tcPr>
          <w:p>
            <w:pPr>
              <w:pStyle w:val="TableContents"/>
              <w:bidi w:val="0"/>
              <w:spacing w:before="0" w:after="283"/>
              <w:jc w:val="left"/>
              <w:rPr/>
            </w:pPr>
            <w:r>
              <w:rPr/>
            </w:r>
          </w:p>
        </w:tc>
        <w:tc>
          <w:tcPr>
            <w:tcW w:w="60" w:type="dxa"/>
            <w:tcBorders/>
            <w:vAlign w:val="bottom"/>
          </w:tcPr>
          <w:p>
            <w:pPr>
              <w:pStyle w:val="TableContents"/>
              <w:bidi w:val="0"/>
              <w:spacing w:before="0" w:after="283"/>
              <w:jc w:val="left"/>
              <w:rPr/>
            </w:pPr>
            <w:r>
              <w:rPr/>
              <w:t> </w:t>
            </w:r>
          </w:p>
        </w:tc>
        <w:tc>
          <w:tcPr>
            <w:tcW w:w="3208" w:type="dxa"/>
            <w:gridSpan w:val="12"/>
            <w:tcBorders>
              <w:bottom w:val="single" w:sz="12" w:space="0" w:color="000000"/>
            </w:tcBorders>
            <w:tcMar>
              <w:bottom w:w="28" w:type="dxa"/>
            </w:tcMar>
            <w:vAlign w:val="bottom"/>
          </w:tcPr>
          <w:p>
            <w:pPr>
              <w:pStyle w:val="TableContents"/>
              <w:bidi w:val="0"/>
              <w:spacing w:before="0" w:after="0"/>
              <w:jc w:val="center"/>
              <w:rPr>
                <w:b/>
                <w:color w:val="000000"/>
                <w:sz w:val="20"/>
              </w:rPr>
            </w:pPr>
            <w:r>
              <w:rPr>
                <w:b/>
                <w:color w:val="000000"/>
                <w:sz w:val="20"/>
              </w:rPr>
              <w:t>Weighted Average</w:t>
            </w:r>
          </w:p>
        </w:tc>
        <w:tc>
          <w:tcPr>
            <w:tcW w:w="79" w:type="dxa"/>
            <w:tcBorders/>
            <w:vAlign w:val="bottom"/>
          </w:tcPr>
          <w:p>
            <w:pPr>
              <w:pStyle w:val="TableContents"/>
              <w:bidi w:val="0"/>
              <w:spacing w:before="0" w:after="283"/>
              <w:jc w:val="left"/>
              <w:rPr/>
            </w:pPr>
            <w:r>
              <w:rPr/>
              <w:t> </w:t>
            </w:r>
          </w:p>
        </w:tc>
      </w:tr>
      <w:tr>
        <w:trPr/>
        <w:tc>
          <w:tcPr>
            <w:tcW w:w="987" w:type="dxa"/>
            <w:tcBorders>
              <w:bottom w:val="single" w:sz="12" w:space="0" w:color="000000"/>
            </w:tcBorders>
            <w:tcMar>
              <w:bottom w:w="28" w:type="dxa"/>
            </w:tcMar>
            <w:vAlign w:val="bottom"/>
          </w:tcPr>
          <w:p>
            <w:pPr>
              <w:pStyle w:val="TableContents"/>
              <w:bidi w:val="0"/>
              <w:spacing w:before="0" w:after="0"/>
              <w:jc w:val="center"/>
              <w:rPr>
                <w:b/>
                <w:color w:val="000000"/>
                <w:sz w:val="20"/>
              </w:rPr>
            </w:pPr>
            <w:r>
              <w:rPr>
                <w:b/>
                <w:color w:val="000000"/>
                <w:sz w:val="20"/>
              </w:rPr>
              <w:t>Asset Type</w:t>
            </w:r>
          </w:p>
        </w:tc>
        <w:tc>
          <w:tcPr>
            <w:tcW w:w="60" w:type="dxa"/>
            <w:tcBorders/>
            <w:vAlign w:val="bottom"/>
          </w:tcPr>
          <w:p>
            <w:pPr>
              <w:pStyle w:val="TableContents"/>
              <w:bidi w:val="0"/>
              <w:spacing w:before="0" w:after="283"/>
              <w:jc w:val="left"/>
              <w:rPr/>
            </w:pPr>
            <w:r>
              <w:rPr/>
              <w:t> </w:t>
            </w:r>
          </w:p>
        </w:tc>
        <w:tc>
          <w:tcPr>
            <w:tcW w:w="970" w:type="dxa"/>
            <w:gridSpan w:val="2"/>
            <w:tcBorders>
              <w:bottom w:val="single" w:sz="12" w:space="0" w:color="000000"/>
            </w:tcBorders>
            <w:tcMar>
              <w:bottom w:w="28" w:type="dxa"/>
            </w:tcMar>
            <w:vAlign w:val="bottom"/>
          </w:tcPr>
          <w:p>
            <w:pPr>
              <w:pStyle w:val="TableContents"/>
              <w:bidi w:val="0"/>
              <w:spacing w:before="0" w:after="0"/>
              <w:jc w:val="center"/>
              <w:rPr>
                <w:b/>
                <w:color w:val="000000"/>
                <w:sz w:val="20"/>
              </w:rPr>
            </w:pPr>
            <w:r>
              <w:rPr>
                <w:b/>
                <w:color w:val="000000"/>
                <w:sz w:val="20"/>
              </w:rPr>
              <w:t>Original</w:t>
              <w:br/>
              <w:t>Face</w:t>
              <w:br/>
              <w:t>Value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bottom w:val="single" w:sz="12" w:space="0" w:color="000000"/>
            </w:tcBorders>
            <w:tcMar>
              <w:bottom w:w="28" w:type="dxa"/>
            </w:tcMar>
            <w:vAlign w:val="bottom"/>
          </w:tcPr>
          <w:p>
            <w:pPr>
              <w:pStyle w:val="TableContents"/>
              <w:bidi w:val="0"/>
              <w:spacing w:before="0" w:after="0"/>
              <w:jc w:val="center"/>
              <w:rPr>
                <w:b/>
                <w:color w:val="000000"/>
                <w:sz w:val="20"/>
              </w:rPr>
            </w:pPr>
            <w:r>
              <w:rPr>
                <w:b/>
                <w:color w:val="000000"/>
                <w:sz w:val="20"/>
              </w:rPr>
              <w:t>Book</w:t>
              <w:br/>
              <w:t>Value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bottom"/>
          </w:tcPr>
          <w:p>
            <w:pPr>
              <w:pStyle w:val="TableContents"/>
              <w:bidi w:val="0"/>
              <w:spacing w:before="0" w:after="0"/>
              <w:jc w:val="center"/>
              <w:rPr>
                <w:b/>
                <w:color w:val="000000"/>
                <w:sz w:val="20"/>
              </w:rPr>
            </w:pPr>
            <w:r>
              <w:rPr>
                <w:b/>
                <w:color w:val="000000"/>
                <w:sz w:val="20"/>
              </w:rPr>
              <w:t>Gains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70" w:type="dxa"/>
            <w:gridSpan w:val="2"/>
            <w:tcBorders>
              <w:bottom w:val="single" w:sz="12" w:space="0" w:color="000000"/>
            </w:tcBorders>
            <w:tcMar>
              <w:bottom w:w="28" w:type="dxa"/>
            </w:tcMar>
            <w:vAlign w:val="bottom"/>
          </w:tcPr>
          <w:p>
            <w:pPr>
              <w:pStyle w:val="TableContents"/>
              <w:bidi w:val="0"/>
              <w:spacing w:before="0" w:after="0"/>
              <w:jc w:val="center"/>
              <w:rPr>
                <w:b/>
                <w:color w:val="000000"/>
                <w:sz w:val="20"/>
              </w:rPr>
            </w:pPr>
            <w:r>
              <w:rPr>
                <w:b/>
                <w:color w:val="000000"/>
                <w:sz w:val="20"/>
              </w:rPr>
              <w:t>Losses</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7" w:type="dxa"/>
            <w:gridSpan w:val="2"/>
            <w:tcBorders>
              <w:bottom w:val="single" w:sz="12" w:space="0" w:color="000000"/>
            </w:tcBorders>
            <w:tcMar>
              <w:bottom w:w="28" w:type="dxa"/>
            </w:tcMar>
            <w:vAlign w:val="bottom"/>
          </w:tcPr>
          <w:p>
            <w:pPr>
              <w:pStyle w:val="TableContents"/>
              <w:bidi w:val="0"/>
              <w:spacing w:lineRule="auto" w:line="240" w:before="0" w:after="0"/>
              <w:jc w:val="center"/>
              <w:rPr>
                <w:b/>
                <w:color w:val="000000"/>
                <w:sz w:val="20"/>
              </w:rPr>
            </w:pPr>
            <w:r>
              <w:rPr>
                <w:b/>
                <w:color w:val="000000"/>
                <w:sz w:val="20"/>
              </w:rPr>
              <w:t>Carrying Value(A)</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9" w:type="dxa"/>
            <w:gridSpan w:val="2"/>
            <w:tcBorders>
              <w:bottom w:val="single" w:sz="12" w:space="0" w:color="000000"/>
            </w:tcBorders>
            <w:tcMar>
              <w:bottom w:w="28" w:type="dxa"/>
            </w:tcMar>
            <w:vAlign w:val="bottom"/>
          </w:tcPr>
          <w:p>
            <w:pPr>
              <w:pStyle w:val="TableContents"/>
              <w:bidi w:val="0"/>
              <w:spacing w:before="0" w:after="0"/>
              <w:jc w:val="center"/>
              <w:rPr>
                <w:b/>
                <w:color w:val="000000"/>
                <w:sz w:val="20"/>
              </w:rPr>
            </w:pPr>
            <w:r>
              <w:rPr>
                <w:b/>
                <w:color w:val="000000"/>
                <w:sz w:val="20"/>
              </w:rPr>
              <w:t>Number of</w:t>
            </w:r>
          </w:p>
          <w:p>
            <w:pPr>
              <w:pStyle w:val="TableContents"/>
              <w:bidi w:val="0"/>
              <w:spacing w:before="0" w:after="0"/>
              <w:jc w:val="center"/>
              <w:rPr>
                <w:b/>
                <w:color w:val="000000"/>
                <w:sz w:val="20"/>
              </w:rPr>
            </w:pPr>
            <w:r>
              <w:rPr>
                <w:b/>
                <w:color w:val="000000"/>
                <w:sz w:val="20"/>
              </w:rPr>
              <w:t>Securities</w:t>
            </w:r>
          </w:p>
        </w:tc>
        <w:tc>
          <w:tcPr>
            <w:tcW w:w="60" w:type="dxa"/>
            <w:tcBorders/>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center"/>
              <w:rPr>
                <w:b/>
                <w:color w:val="000000"/>
                <w:sz w:val="20"/>
              </w:rPr>
            </w:pPr>
            <w:r>
              <w:rPr>
                <w:b/>
                <w:color w:val="000000"/>
                <w:sz w:val="20"/>
              </w:rPr>
              <w:t>Rating</w:t>
            </w:r>
          </w:p>
        </w:tc>
        <w:tc>
          <w:tcPr>
            <w:tcW w:w="60" w:type="dxa"/>
            <w:tcBorders/>
            <w:vAlign w:val="bottom"/>
          </w:tcPr>
          <w:p>
            <w:pPr>
              <w:pStyle w:val="TableContents"/>
              <w:bidi w:val="0"/>
              <w:spacing w:before="0" w:after="283"/>
              <w:jc w:val="left"/>
              <w:rPr/>
            </w:pPr>
            <w:r>
              <w:rPr/>
              <w:t> </w:t>
            </w:r>
          </w:p>
        </w:tc>
        <w:tc>
          <w:tcPr>
            <w:tcW w:w="680" w:type="dxa"/>
            <w:gridSpan w:val="2"/>
            <w:tcBorders>
              <w:bottom w:val="single" w:sz="12" w:space="0" w:color="000000"/>
            </w:tcBorders>
            <w:tcMar>
              <w:bottom w:w="28" w:type="dxa"/>
            </w:tcMar>
            <w:vAlign w:val="bottom"/>
          </w:tcPr>
          <w:p>
            <w:pPr>
              <w:pStyle w:val="TableContents"/>
              <w:bidi w:val="0"/>
              <w:spacing w:before="0" w:after="0"/>
              <w:jc w:val="center"/>
              <w:rPr>
                <w:b/>
                <w:color w:val="000000"/>
                <w:sz w:val="20"/>
              </w:rPr>
            </w:pPr>
            <w:r>
              <w:rPr>
                <w:b/>
                <w:color w:val="000000"/>
                <w:sz w:val="20"/>
              </w:rPr>
              <w:t>Coupon</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43" w:type="dxa"/>
            <w:gridSpan w:val="2"/>
            <w:tcBorders>
              <w:bottom w:val="single" w:sz="12" w:space="0" w:color="000000"/>
            </w:tcBorders>
            <w:tcMar>
              <w:bottom w:w="28" w:type="dxa"/>
            </w:tcMar>
            <w:vAlign w:val="bottom"/>
          </w:tcPr>
          <w:p>
            <w:pPr>
              <w:pStyle w:val="TableContents"/>
              <w:bidi w:val="0"/>
              <w:spacing w:lineRule="auto" w:line="240" w:before="0" w:after="0"/>
              <w:jc w:val="center"/>
              <w:rPr>
                <w:b/>
                <w:color w:val="000000"/>
                <w:sz w:val="20"/>
              </w:rPr>
            </w:pPr>
            <w:r>
              <w:rPr>
                <w:b/>
                <w:color w:val="000000"/>
                <w:sz w:val="20"/>
              </w:rPr>
              <w:t>Yield(C)</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5" w:type="dxa"/>
            <w:gridSpan w:val="2"/>
            <w:tcBorders>
              <w:bottom w:val="single" w:sz="12" w:space="0" w:color="000000"/>
            </w:tcBorders>
            <w:tcMar>
              <w:bottom w:w="28" w:type="dxa"/>
            </w:tcMar>
            <w:vAlign w:val="bottom"/>
          </w:tcPr>
          <w:p>
            <w:pPr>
              <w:pStyle w:val="TableContents"/>
              <w:bidi w:val="0"/>
              <w:spacing w:before="0" w:after="0"/>
              <w:jc w:val="center"/>
              <w:rPr>
                <w:b/>
                <w:color w:val="000000"/>
                <w:sz w:val="20"/>
              </w:rPr>
            </w:pPr>
            <w:r>
              <w:rPr>
                <w:b/>
                <w:color w:val="000000"/>
                <w:sz w:val="20"/>
              </w:rPr>
              <w:t>Maturity</w:t>
            </w:r>
          </w:p>
          <w:p>
            <w:pPr>
              <w:pStyle w:val="TableContents"/>
              <w:bidi w:val="0"/>
              <w:spacing w:before="0" w:after="0"/>
              <w:jc w:val="center"/>
              <w:rPr>
                <w:b/>
                <w:color w:val="000000"/>
                <w:sz w:val="20"/>
              </w:rPr>
            </w:pPr>
            <w:r>
              <w:rPr>
                <w:b/>
                <w:color w:val="000000"/>
                <w:sz w:val="20"/>
              </w:rPr>
              <w:t>(Years)</w:t>
            </w:r>
          </w:p>
        </w:tc>
        <w:tc>
          <w:tcPr>
            <w:tcW w:w="79" w:type="dxa"/>
            <w:tcBorders/>
            <w:vAlign w:val="bottom"/>
          </w:tcPr>
          <w:p>
            <w:pPr>
              <w:pStyle w:val="TableContents"/>
              <w:bidi w:val="0"/>
              <w:spacing w:before="0" w:after="283"/>
              <w:jc w:val="left"/>
              <w:rPr/>
            </w:pPr>
            <w:r>
              <w:rPr/>
              <w:t> </w:t>
            </w:r>
          </w:p>
        </w:tc>
      </w:tr>
      <w:tr>
        <w:trPr/>
        <w:tc>
          <w:tcPr>
            <w:tcW w:w="987" w:type="dxa"/>
            <w:tcBorders/>
            <w:shd w:fill="CCEEFF" w:val="clear"/>
            <w:vAlign w:val="bottom"/>
          </w:tcPr>
          <w:p>
            <w:pPr>
              <w:pStyle w:val="TableContents"/>
              <w:bidi w:val="0"/>
              <w:spacing w:before="0" w:after="0"/>
              <w:ind w:left="144" w:right="0" w:hanging="144"/>
              <w:jc w:val="left"/>
              <w:rPr>
                <w:b/>
                <w:color w:val="000000"/>
                <w:sz w:val="20"/>
              </w:rPr>
            </w:pPr>
            <w:r>
              <w:rPr>
                <w:b/>
                <w:color w:val="000000"/>
                <w:sz w:val="20"/>
              </w:rPr>
              <w:t>RMBS, available-for-sale, measured at fair value through OCI</w:t>
            </w:r>
          </w:p>
        </w:tc>
        <w:tc>
          <w:tcPr>
            <w:tcW w:w="60" w:type="dxa"/>
            <w:tcBorders/>
            <w:shd w:fill="CCEEFF" w:val="clear"/>
            <w:vAlign w:val="bottom"/>
          </w:tcPr>
          <w:p>
            <w:pPr>
              <w:pStyle w:val="TableContents"/>
              <w:bidi w:val="0"/>
              <w:spacing w:before="0" w:after="283"/>
              <w:jc w:val="left"/>
              <w:rPr/>
            </w:pPr>
            <w:r>
              <w:rPr/>
              <w:t> </w:t>
            </w:r>
          </w:p>
        </w:tc>
        <w:tc>
          <w:tcPr>
            <w:tcW w:w="970" w:type="dxa"/>
            <w:gridSpan w:val="2"/>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70" w:type="dxa"/>
            <w:gridSpan w:val="2"/>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5" w:type="dxa"/>
            <w:gridSpan w:val="2"/>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70" w:type="dxa"/>
            <w:gridSpan w:val="2"/>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17" w:type="dxa"/>
            <w:gridSpan w:val="2"/>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9" w:type="dxa"/>
            <w:gridSpan w:val="2"/>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gridSpan w:val="2"/>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43" w:type="dxa"/>
            <w:gridSpan w:val="2"/>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5" w:type="dxa"/>
            <w:gridSpan w:val="2"/>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r>
      <w:tr>
        <w:trPr/>
        <w:tc>
          <w:tcPr>
            <w:tcW w:w="987" w:type="dxa"/>
            <w:tcBorders/>
            <w:vAlign w:val="bottom"/>
          </w:tcPr>
          <w:p>
            <w:pPr>
              <w:pStyle w:val="TableContents"/>
              <w:bidi w:val="0"/>
              <w:spacing w:before="0" w:after="0"/>
              <w:ind w:left="324" w:right="0" w:hanging="144"/>
              <w:jc w:val="left"/>
              <w:rPr>
                <w:color w:val="000000"/>
                <w:sz w:val="20"/>
              </w:rPr>
            </w:pPr>
            <w:r>
              <w:rPr>
                <w:color w:val="000000"/>
                <w:sz w:val="20"/>
              </w:rPr>
              <w:t>Fannie Mae</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sz w:val="20"/>
              </w:rPr>
            </w:pPr>
            <w:r>
              <w:rPr>
                <w:sz w:val="20"/>
              </w:rPr>
              <w:t>$</w:t>
            </w:r>
          </w:p>
        </w:tc>
        <w:tc>
          <w:tcPr>
            <w:tcW w:w="845" w:type="dxa"/>
            <w:tcBorders/>
            <w:vAlign w:val="bottom"/>
          </w:tcPr>
          <w:p>
            <w:pPr>
              <w:pStyle w:val="TableContents"/>
              <w:bidi w:val="0"/>
              <w:spacing w:before="0" w:after="0"/>
              <w:jc w:val="right"/>
              <w:rPr>
                <w:sz w:val="20"/>
              </w:rPr>
            </w:pPr>
            <w:r>
              <w:rPr>
                <w:sz w:val="20"/>
              </w:rPr>
              <w:t>125,830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sz w:val="20"/>
              </w:rPr>
            </w:pPr>
            <w:r>
              <w:rPr>
                <w:sz w:val="20"/>
              </w:rPr>
              <w:t>$</w:t>
            </w:r>
          </w:p>
        </w:tc>
        <w:tc>
          <w:tcPr>
            <w:tcW w:w="845" w:type="dxa"/>
            <w:tcBorders/>
            <w:vAlign w:val="bottom"/>
          </w:tcPr>
          <w:p>
            <w:pPr>
              <w:pStyle w:val="TableContents"/>
              <w:bidi w:val="0"/>
              <w:spacing w:before="0" w:after="0"/>
              <w:jc w:val="right"/>
              <w:rPr>
                <w:sz w:val="20"/>
              </w:rPr>
            </w:pPr>
            <w:r>
              <w:rPr>
                <w:sz w:val="20"/>
              </w:rPr>
              <w:t>88,167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sz w:val="20"/>
              </w:rPr>
            </w:pPr>
            <w:r>
              <w:rPr>
                <w:sz w:val="20"/>
              </w:rPr>
              <w:t>$</w:t>
            </w:r>
          </w:p>
        </w:tc>
        <w:tc>
          <w:tcPr>
            <w:tcW w:w="590" w:type="dxa"/>
            <w:tcBorders/>
            <w:vAlign w:val="bottom"/>
          </w:tcPr>
          <w:p>
            <w:pPr>
              <w:pStyle w:val="TableContents"/>
              <w:bidi w:val="0"/>
              <w:spacing w:before="0" w:after="0"/>
              <w:jc w:val="right"/>
              <w:rPr>
                <w:sz w:val="20"/>
              </w:rPr>
            </w:pPr>
            <w:r>
              <w:rPr>
                <w:sz w:val="20"/>
              </w:rPr>
              <w:t>1,799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sz w:val="20"/>
              </w:rPr>
            </w:pPr>
            <w:r>
              <w:rPr>
                <w:sz w:val="20"/>
              </w:rPr>
              <w:t>$</w:t>
            </w:r>
          </w:p>
        </w:tc>
        <w:tc>
          <w:tcPr>
            <w:tcW w:w="545" w:type="dxa"/>
            <w:tcBorders/>
            <w:vAlign w:val="bottom"/>
          </w:tcPr>
          <w:p>
            <w:pPr>
              <w:pStyle w:val="TableContents"/>
              <w:bidi w:val="0"/>
              <w:spacing w:before="0" w:after="0"/>
              <w:jc w:val="right"/>
              <w:rPr>
                <w:sz w:val="20"/>
              </w:rPr>
            </w:pPr>
            <w:r>
              <w:rPr>
                <w:sz w:val="20"/>
              </w:rPr>
              <w:t>(72</w:t>
            </w:r>
          </w:p>
        </w:tc>
        <w:tc>
          <w:tcPr>
            <w:tcW w:w="80" w:type="dxa"/>
            <w:tcBorders/>
            <w:vAlign w:val="bottom"/>
          </w:tcPr>
          <w:p>
            <w:pPr>
              <w:pStyle w:val="TableContents"/>
              <w:bidi w:val="0"/>
              <w:spacing w:before="0" w:after="0"/>
              <w:jc w:val="left"/>
              <w:rPr>
                <w:sz w:val="20"/>
              </w:rPr>
            </w:pPr>
            <w:r>
              <w:rPr>
                <w:sz w:val="20"/>
              </w:rPr>
              <w:t>)</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0"/>
              <w:jc w:val="left"/>
              <w:rPr>
                <w:sz w:val="20"/>
              </w:rPr>
            </w:pPr>
            <w:r>
              <w:rPr>
                <w:sz w:val="20"/>
              </w:rPr>
              <w:t>$</w:t>
            </w:r>
          </w:p>
        </w:tc>
        <w:tc>
          <w:tcPr>
            <w:tcW w:w="886" w:type="dxa"/>
            <w:tcBorders/>
            <w:vAlign w:val="bottom"/>
          </w:tcPr>
          <w:p>
            <w:pPr>
              <w:pStyle w:val="TableContents"/>
              <w:bidi w:val="0"/>
              <w:spacing w:before="0" w:after="0"/>
              <w:jc w:val="right"/>
              <w:rPr>
                <w:sz w:val="20"/>
              </w:rPr>
            </w:pPr>
            <w:r>
              <w:rPr>
                <w:sz w:val="20"/>
              </w:rPr>
              <w:t>89,894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0"/>
              <w:jc w:val="right"/>
              <w:rPr>
                <w:sz w:val="20"/>
              </w:rPr>
            </w:pPr>
            <w:r>
              <w:rPr>
                <w:sz w:val="20"/>
              </w:rPr>
              <w:t>9</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center"/>
              <w:rPr>
                <w:sz w:val="20"/>
              </w:rPr>
            </w:pPr>
            <w:r>
              <w:rPr>
                <w:sz w:val="20"/>
              </w:rPr>
              <w:t>(B)</w:t>
            </w:r>
          </w:p>
        </w:tc>
        <w:tc>
          <w:tcPr>
            <w:tcW w:w="60"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0"/>
              <w:jc w:val="right"/>
              <w:rPr>
                <w:sz w:val="20"/>
              </w:rPr>
            </w:pPr>
            <w:r>
              <w:rPr>
                <w:sz w:val="20"/>
              </w:rPr>
              <w:t>5.00</w:t>
            </w:r>
          </w:p>
        </w:tc>
        <w:tc>
          <w:tcPr>
            <w:tcW w:w="215" w:type="dxa"/>
            <w:tcBorders/>
            <w:vAlign w:val="bottom"/>
          </w:tcPr>
          <w:p>
            <w:pPr>
              <w:pStyle w:val="TableContents"/>
              <w:bidi w:val="0"/>
              <w:spacing w:before="0" w:after="0"/>
              <w:jc w:val="left"/>
              <w:rPr>
                <w:color w:val="000000"/>
                <w:sz w:val="20"/>
              </w:rPr>
            </w:pPr>
            <w:r>
              <w:rPr>
                <w:color w:val="000000"/>
                <w:sz w:val="20"/>
              </w:rPr>
              <w:t>%</w:t>
            </w:r>
          </w:p>
        </w:tc>
        <w:tc>
          <w:tcPr>
            <w:tcW w:w="60"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0"/>
              <w:jc w:val="right"/>
              <w:rPr>
                <w:sz w:val="20"/>
              </w:rPr>
            </w:pPr>
            <w:r>
              <w:rPr>
                <w:sz w:val="20"/>
              </w:rPr>
              <w:t>5.12</w:t>
            </w:r>
          </w:p>
        </w:tc>
        <w:tc>
          <w:tcPr>
            <w:tcW w:w="215" w:type="dxa"/>
            <w:tcBorders/>
            <w:vAlign w:val="bottom"/>
          </w:tcPr>
          <w:p>
            <w:pPr>
              <w:pStyle w:val="TableContents"/>
              <w:bidi w:val="0"/>
              <w:spacing w:before="0" w:after="0"/>
              <w:jc w:val="left"/>
              <w:rPr>
                <w:color w:val="000000"/>
                <w:sz w:val="20"/>
              </w:rPr>
            </w:pPr>
            <w:r>
              <w:rPr>
                <w:color w:val="000000"/>
                <w:sz w:val="20"/>
              </w:rPr>
              <w:t>%</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623" w:type="dxa"/>
            <w:tcBorders/>
            <w:vAlign w:val="bottom"/>
          </w:tcPr>
          <w:p>
            <w:pPr>
              <w:pStyle w:val="TableContents"/>
              <w:bidi w:val="0"/>
              <w:spacing w:before="0" w:after="0"/>
              <w:jc w:val="right"/>
              <w:rPr>
                <w:sz w:val="20"/>
              </w:rPr>
            </w:pPr>
            <w:r>
              <w:rPr>
                <w:sz w:val="20"/>
              </w:rPr>
              <w:t>26</w:t>
            </w:r>
          </w:p>
        </w:tc>
        <w:tc>
          <w:tcPr>
            <w:tcW w:w="79" w:type="dxa"/>
            <w:tcBorders/>
            <w:vAlign w:val="bottom"/>
          </w:tcPr>
          <w:p>
            <w:pPr>
              <w:pStyle w:val="TableContents"/>
              <w:bidi w:val="0"/>
              <w:spacing w:before="0" w:after="283"/>
              <w:jc w:val="left"/>
              <w:rPr/>
            </w:pPr>
            <w:r>
              <w:rPr/>
              <w:t> </w:t>
            </w:r>
          </w:p>
        </w:tc>
      </w:tr>
      <w:tr>
        <w:trPr/>
        <w:tc>
          <w:tcPr>
            <w:tcW w:w="987" w:type="dxa"/>
            <w:tcBorders/>
            <w:shd w:fill="CCEEFF" w:val="clear"/>
            <w:vAlign w:val="bottom"/>
          </w:tcPr>
          <w:p>
            <w:pPr>
              <w:pStyle w:val="TableContents"/>
              <w:bidi w:val="0"/>
              <w:spacing w:before="0" w:after="0"/>
              <w:ind w:left="324" w:right="0" w:hanging="144"/>
              <w:jc w:val="left"/>
              <w:rPr>
                <w:color w:val="000000"/>
                <w:sz w:val="20"/>
              </w:rPr>
            </w:pPr>
            <w:r>
              <w:rPr>
                <w:color w:val="000000"/>
                <w:sz w:val="20"/>
              </w:rPr>
              <w:t>Freddie Mac</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sz w:val="20"/>
              </w:rPr>
            </w:pPr>
            <w:r>
              <w:rPr>
                <w:sz w:val="20"/>
              </w:rPr>
              <w:t>99,397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sz w:val="20"/>
              </w:rPr>
            </w:pPr>
            <w:r>
              <w:rPr>
                <w:sz w:val="20"/>
              </w:rPr>
              <w:t>70,346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sz w:val="20"/>
              </w:rPr>
            </w:pPr>
            <w:r>
              <w:rPr>
                <w:sz w:val="20"/>
              </w:rPr>
              <w:t>588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bidi w:val="0"/>
              <w:spacing w:before="0" w:after="0"/>
              <w:jc w:val="right"/>
              <w:rPr>
                <w:sz w:val="20"/>
              </w:rPr>
            </w:pPr>
            <w:r>
              <w:rPr>
                <w:sz w:val="20"/>
              </w:rPr>
              <w:t>(503</w:t>
            </w:r>
          </w:p>
        </w:tc>
        <w:tc>
          <w:tcPr>
            <w:tcW w:w="80" w:type="dxa"/>
            <w:tcBorders/>
            <w:shd w:fill="CCEEFF" w:val="clear"/>
            <w:vAlign w:val="bottom"/>
          </w:tcPr>
          <w:p>
            <w:pPr>
              <w:pStyle w:val="TableContents"/>
              <w:bidi w:val="0"/>
              <w:spacing w:before="0" w:after="0"/>
              <w:jc w:val="left"/>
              <w:rPr>
                <w:sz w:val="20"/>
              </w:rPr>
            </w:pPr>
            <w:r>
              <w:rPr>
                <w:sz w:val="20"/>
              </w:rPr>
              <w:t>)</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bidi w:val="0"/>
              <w:spacing w:before="0" w:after="0"/>
              <w:jc w:val="right"/>
              <w:rPr>
                <w:sz w:val="20"/>
              </w:rPr>
            </w:pPr>
            <w:r>
              <w:rPr>
                <w:sz w:val="20"/>
              </w:rPr>
              <w:t>70,431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0"/>
              <w:jc w:val="right"/>
              <w:rPr>
                <w:sz w:val="20"/>
              </w:rPr>
            </w:pPr>
            <w:r>
              <w:rPr>
                <w:sz w:val="20"/>
              </w:rPr>
              <w:t>8</w:t>
            </w:r>
          </w:p>
        </w:tc>
        <w:tc>
          <w:tcPr>
            <w:tcW w:w="6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center"/>
              <w:rPr>
                <w:sz w:val="20"/>
              </w:rPr>
            </w:pPr>
            <w:r>
              <w:rPr>
                <w:sz w:val="20"/>
              </w:rPr>
              <w:t>(B)</w:t>
            </w:r>
          </w:p>
        </w:tc>
        <w:tc>
          <w:tcPr>
            <w:tcW w:w="60"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588" w:type="dxa"/>
            <w:tcBorders/>
            <w:shd w:fill="CCEEFF" w:val="clear"/>
            <w:vAlign w:val="bottom"/>
          </w:tcPr>
          <w:p>
            <w:pPr>
              <w:pStyle w:val="TableContents"/>
              <w:bidi w:val="0"/>
              <w:spacing w:before="0" w:after="0"/>
              <w:jc w:val="right"/>
              <w:rPr>
                <w:sz w:val="20"/>
              </w:rPr>
            </w:pPr>
            <w:r>
              <w:rPr>
                <w:sz w:val="20"/>
              </w:rPr>
              <w:t>4.94</w:t>
            </w:r>
          </w:p>
        </w:tc>
        <w:tc>
          <w:tcPr>
            <w:tcW w:w="215" w:type="dxa"/>
            <w:tcBorders/>
            <w:shd w:fill="CCEEFF" w:val="clear"/>
            <w:vAlign w:val="bottom"/>
          </w:tcPr>
          <w:p>
            <w:pPr>
              <w:pStyle w:val="TableContents"/>
              <w:bidi w:val="0"/>
              <w:spacing w:before="0" w:after="0"/>
              <w:jc w:val="left"/>
              <w:rPr>
                <w:color w:val="000000"/>
                <w:sz w:val="20"/>
              </w:rPr>
            </w:pPr>
            <w:r>
              <w:rPr>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0"/>
              <w:jc w:val="right"/>
              <w:rPr>
                <w:sz w:val="20"/>
              </w:rPr>
            </w:pPr>
            <w:r>
              <w:rPr>
                <w:sz w:val="20"/>
              </w:rPr>
              <w:t>4.99</w:t>
            </w:r>
          </w:p>
        </w:tc>
        <w:tc>
          <w:tcPr>
            <w:tcW w:w="215" w:type="dxa"/>
            <w:tcBorders/>
            <w:shd w:fill="CCEEFF" w:val="clear"/>
            <w:vAlign w:val="bottom"/>
          </w:tcPr>
          <w:p>
            <w:pPr>
              <w:pStyle w:val="TableContents"/>
              <w:bidi w:val="0"/>
              <w:spacing w:before="0" w:after="0"/>
              <w:jc w:val="left"/>
              <w:rPr>
                <w:color w:val="000000"/>
                <w:sz w:val="20"/>
              </w:rPr>
            </w:pPr>
            <w:r>
              <w:rPr>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623" w:type="dxa"/>
            <w:tcBorders/>
            <w:shd w:fill="CCEEFF" w:val="clear"/>
            <w:vAlign w:val="bottom"/>
          </w:tcPr>
          <w:p>
            <w:pPr>
              <w:pStyle w:val="TableContents"/>
              <w:bidi w:val="0"/>
              <w:spacing w:before="0" w:after="0"/>
              <w:jc w:val="right"/>
              <w:rPr>
                <w:sz w:val="20"/>
              </w:rPr>
            </w:pPr>
            <w:r>
              <w:rPr>
                <w:sz w:val="20"/>
              </w:rPr>
              <w:t>26</w:t>
            </w:r>
          </w:p>
        </w:tc>
        <w:tc>
          <w:tcPr>
            <w:tcW w:w="79" w:type="dxa"/>
            <w:tcBorders/>
            <w:shd w:fill="CCEEFF" w:val="clear"/>
            <w:vAlign w:val="bottom"/>
          </w:tcPr>
          <w:p>
            <w:pPr>
              <w:pStyle w:val="TableContents"/>
              <w:bidi w:val="0"/>
              <w:spacing w:before="0" w:after="283"/>
              <w:jc w:val="left"/>
              <w:rPr/>
            </w:pPr>
            <w:r>
              <w:rPr/>
              <w:t> </w:t>
            </w:r>
          </w:p>
        </w:tc>
      </w:tr>
      <w:tr>
        <w:trPr/>
        <w:tc>
          <w:tcPr>
            <w:tcW w:w="987" w:type="dxa"/>
            <w:tcBorders/>
            <w:vAlign w:val="bottom"/>
          </w:tcPr>
          <w:p>
            <w:pPr>
              <w:pStyle w:val="TableContents"/>
              <w:bidi w:val="0"/>
              <w:spacing w:before="0" w:after="0"/>
              <w:ind w:left="144" w:right="0" w:hanging="144"/>
              <w:jc w:val="left"/>
              <w:rPr>
                <w:b/>
                <w:color w:val="000000"/>
                <w:sz w:val="20"/>
              </w:rPr>
            </w:pPr>
            <w:r>
              <w:rPr>
                <w:b/>
                <w:color w:val="000000"/>
                <w:sz w:val="20"/>
              </w:rPr>
              <w:t>RMBS, measured at fair value through earnings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4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88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623" w:type="dxa"/>
            <w:tcBorders/>
            <w:vAlign w:val="bottom"/>
          </w:tcPr>
          <w:p>
            <w:pPr>
              <w:pStyle w:val="TableContents"/>
              <w:bidi w:val="0"/>
              <w:spacing w:before="0" w:after="283"/>
              <w:jc w:val="right"/>
              <w:rPr/>
            </w:pPr>
            <w:r>
              <w:rPr/>
              <w:t> </w:t>
            </w:r>
          </w:p>
        </w:tc>
        <w:tc>
          <w:tcPr>
            <w:tcW w:w="79" w:type="dxa"/>
            <w:tcBorders/>
            <w:vAlign w:val="bottom"/>
          </w:tcPr>
          <w:p>
            <w:pPr>
              <w:pStyle w:val="TableContents"/>
              <w:bidi w:val="0"/>
              <w:spacing w:before="0" w:after="283"/>
              <w:jc w:val="left"/>
              <w:rPr/>
            </w:pPr>
            <w:r>
              <w:rPr/>
              <w:t> </w:t>
            </w:r>
          </w:p>
        </w:tc>
      </w:tr>
      <w:tr>
        <w:trPr/>
        <w:tc>
          <w:tcPr>
            <w:tcW w:w="987" w:type="dxa"/>
            <w:tcBorders/>
            <w:shd w:fill="CCEEFF" w:val="clear"/>
            <w:vAlign w:val="bottom"/>
          </w:tcPr>
          <w:p>
            <w:pPr>
              <w:pStyle w:val="TableContents"/>
              <w:bidi w:val="0"/>
              <w:spacing w:before="0" w:after="0"/>
              <w:ind w:left="324" w:right="0" w:hanging="144"/>
              <w:jc w:val="left"/>
              <w:rPr>
                <w:color w:val="000000"/>
                <w:sz w:val="20"/>
              </w:rPr>
            </w:pPr>
            <w:r>
              <w:rPr>
                <w:color w:val="000000"/>
                <w:sz w:val="20"/>
              </w:rPr>
              <w:t>Fannie Mae</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sz w:val="20"/>
              </w:rPr>
            </w:pPr>
            <w:r>
              <w:rPr>
                <w:sz w:val="20"/>
              </w:rPr>
              <w:t>457,173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sz w:val="20"/>
              </w:rPr>
            </w:pPr>
            <w:r>
              <w:rPr>
                <w:sz w:val="20"/>
              </w:rPr>
              <w:t>377,824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sz w:val="20"/>
              </w:rPr>
            </w:pPr>
            <w:r>
              <w:rPr>
                <w:sz w:val="20"/>
              </w:rPr>
              <w:t>5,913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bidi w:val="0"/>
              <w:spacing w:before="0" w:after="0"/>
              <w:jc w:val="right"/>
              <w:rPr>
                <w:sz w:val="20"/>
              </w:rPr>
            </w:pPr>
            <w:r>
              <w:rPr>
                <w:sz w:val="20"/>
              </w:rPr>
              <w:t>(1,332</w:t>
            </w:r>
          </w:p>
        </w:tc>
        <w:tc>
          <w:tcPr>
            <w:tcW w:w="80" w:type="dxa"/>
            <w:tcBorders/>
            <w:shd w:fill="CCEEFF" w:val="clear"/>
            <w:vAlign w:val="bottom"/>
          </w:tcPr>
          <w:p>
            <w:pPr>
              <w:pStyle w:val="TableContents"/>
              <w:bidi w:val="0"/>
              <w:spacing w:before="0" w:after="0"/>
              <w:jc w:val="left"/>
              <w:rPr>
                <w:sz w:val="20"/>
              </w:rPr>
            </w:pPr>
            <w:r>
              <w:rPr>
                <w:sz w:val="20"/>
              </w:rPr>
              <w:t>)</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bidi w:val="0"/>
              <w:spacing w:before="0" w:after="0"/>
              <w:jc w:val="right"/>
              <w:rPr>
                <w:sz w:val="20"/>
              </w:rPr>
            </w:pPr>
            <w:r>
              <w:rPr>
                <w:sz w:val="20"/>
              </w:rPr>
              <w:t>382,405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0"/>
              <w:jc w:val="right"/>
              <w:rPr>
                <w:sz w:val="20"/>
              </w:rPr>
            </w:pPr>
            <w:r>
              <w:rPr>
                <w:sz w:val="20"/>
              </w:rPr>
              <w:t>34</w:t>
            </w:r>
          </w:p>
        </w:tc>
        <w:tc>
          <w:tcPr>
            <w:tcW w:w="6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center"/>
              <w:rPr>
                <w:sz w:val="20"/>
              </w:rPr>
            </w:pPr>
            <w:r>
              <w:rPr>
                <w:sz w:val="20"/>
              </w:rPr>
              <w:t>(B)</w:t>
            </w:r>
          </w:p>
        </w:tc>
        <w:tc>
          <w:tcPr>
            <w:tcW w:w="60"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588" w:type="dxa"/>
            <w:tcBorders/>
            <w:shd w:fill="CCEEFF" w:val="clear"/>
            <w:vAlign w:val="bottom"/>
          </w:tcPr>
          <w:p>
            <w:pPr>
              <w:pStyle w:val="TableContents"/>
              <w:bidi w:val="0"/>
              <w:spacing w:before="0" w:after="0"/>
              <w:jc w:val="right"/>
              <w:rPr>
                <w:sz w:val="20"/>
              </w:rPr>
            </w:pPr>
            <w:r>
              <w:rPr>
                <w:sz w:val="20"/>
              </w:rPr>
              <w:t>5.04</w:t>
            </w:r>
          </w:p>
        </w:tc>
        <w:tc>
          <w:tcPr>
            <w:tcW w:w="215" w:type="dxa"/>
            <w:tcBorders/>
            <w:shd w:fill="CCEEFF" w:val="clear"/>
            <w:vAlign w:val="bottom"/>
          </w:tcPr>
          <w:p>
            <w:pPr>
              <w:pStyle w:val="TableContents"/>
              <w:bidi w:val="0"/>
              <w:spacing w:before="0" w:after="0"/>
              <w:jc w:val="left"/>
              <w:rPr>
                <w:color w:val="000000"/>
                <w:sz w:val="20"/>
              </w:rPr>
            </w:pPr>
            <w:r>
              <w:rPr>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0"/>
              <w:jc w:val="right"/>
              <w:rPr>
                <w:sz w:val="20"/>
              </w:rPr>
            </w:pPr>
            <w:r>
              <w:rPr>
                <w:sz w:val="20"/>
              </w:rPr>
              <w:t>5.13</w:t>
            </w:r>
          </w:p>
        </w:tc>
        <w:tc>
          <w:tcPr>
            <w:tcW w:w="215" w:type="dxa"/>
            <w:tcBorders/>
            <w:shd w:fill="CCEEFF" w:val="clear"/>
            <w:vAlign w:val="bottom"/>
          </w:tcPr>
          <w:p>
            <w:pPr>
              <w:pStyle w:val="TableContents"/>
              <w:bidi w:val="0"/>
              <w:spacing w:before="0" w:after="0"/>
              <w:jc w:val="left"/>
              <w:rPr>
                <w:color w:val="000000"/>
                <w:sz w:val="20"/>
              </w:rPr>
            </w:pPr>
            <w:r>
              <w:rPr>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623" w:type="dxa"/>
            <w:tcBorders/>
            <w:shd w:fill="CCEEFF" w:val="clear"/>
            <w:vAlign w:val="bottom"/>
          </w:tcPr>
          <w:p>
            <w:pPr>
              <w:pStyle w:val="TableContents"/>
              <w:bidi w:val="0"/>
              <w:spacing w:before="0" w:after="0"/>
              <w:jc w:val="right"/>
              <w:rPr>
                <w:sz w:val="20"/>
              </w:rPr>
            </w:pPr>
            <w:r>
              <w:rPr>
                <w:sz w:val="20"/>
              </w:rPr>
              <w:t>27</w:t>
            </w:r>
          </w:p>
        </w:tc>
        <w:tc>
          <w:tcPr>
            <w:tcW w:w="79" w:type="dxa"/>
            <w:tcBorders/>
            <w:shd w:fill="CCEEFF" w:val="clear"/>
            <w:vAlign w:val="bottom"/>
          </w:tcPr>
          <w:p>
            <w:pPr>
              <w:pStyle w:val="TableContents"/>
              <w:bidi w:val="0"/>
              <w:spacing w:before="0" w:after="283"/>
              <w:jc w:val="left"/>
              <w:rPr/>
            </w:pPr>
            <w:r>
              <w:rPr/>
              <w:t> </w:t>
            </w:r>
          </w:p>
        </w:tc>
      </w:tr>
      <w:tr>
        <w:trPr/>
        <w:tc>
          <w:tcPr>
            <w:tcW w:w="987" w:type="dxa"/>
            <w:tcBorders/>
            <w:vAlign w:val="bottom"/>
          </w:tcPr>
          <w:p>
            <w:pPr>
              <w:pStyle w:val="TableContents"/>
              <w:bidi w:val="0"/>
              <w:spacing w:before="0" w:after="0"/>
              <w:ind w:left="324" w:right="0" w:hanging="144"/>
              <w:jc w:val="left"/>
              <w:rPr>
                <w:color w:val="000000"/>
                <w:sz w:val="20"/>
              </w:rPr>
            </w:pPr>
            <w:r>
              <w:rPr>
                <w:color w:val="000000"/>
                <w:sz w:val="20"/>
              </w:rPr>
              <w:t>Freddie Mac</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0"/>
              <w:jc w:val="right"/>
              <w:rPr>
                <w:sz w:val="20"/>
              </w:rPr>
            </w:pPr>
            <w:r>
              <w:rPr>
                <w:sz w:val="20"/>
              </w:rPr>
              <w:t>655,179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0"/>
              <w:jc w:val="right"/>
              <w:rPr>
                <w:sz w:val="20"/>
              </w:rPr>
            </w:pPr>
            <w:r>
              <w:rPr>
                <w:sz w:val="20"/>
              </w:rPr>
              <w:t>529,062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sz w:val="20"/>
              </w:rPr>
            </w:pPr>
            <w:r>
              <w:rPr>
                <w:sz w:val="20"/>
              </w:rPr>
              <w:t>9,084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45" w:type="dxa"/>
            <w:tcBorders>
              <w:bottom w:val="single" w:sz="12" w:space="0" w:color="000000"/>
            </w:tcBorders>
            <w:tcMar>
              <w:bottom w:w="28" w:type="dxa"/>
            </w:tcMar>
            <w:vAlign w:val="bottom"/>
          </w:tcPr>
          <w:p>
            <w:pPr>
              <w:pStyle w:val="TableContents"/>
              <w:bidi w:val="0"/>
              <w:spacing w:before="0" w:after="0"/>
              <w:jc w:val="right"/>
              <w:rPr>
                <w:sz w:val="20"/>
              </w:rPr>
            </w:pPr>
            <w:r>
              <w:rPr>
                <w:sz w:val="20"/>
              </w:rPr>
              <w:t>(1,074</w:t>
            </w:r>
          </w:p>
        </w:tc>
        <w:tc>
          <w:tcPr>
            <w:tcW w:w="80" w:type="dxa"/>
            <w:tcBorders/>
            <w:vAlign w:val="bottom"/>
          </w:tcPr>
          <w:p>
            <w:pPr>
              <w:pStyle w:val="TableContents"/>
              <w:bidi w:val="0"/>
              <w:spacing w:before="0" w:after="0"/>
              <w:jc w:val="left"/>
              <w:rPr>
                <w:sz w:val="20"/>
              </w:rPr>
            </w:pPr>
            <w:r>
              <w:rPr>
                <w:sz w:val="20"/>
              </w:rPr>
              <w:t>)</w:t>
            </w:r>
          </w:p>
        </w:tc>
        <w:tc>
          <w:tcPr>
            <w:tcW w:w="60" w:type="dxa"/>
            <w:tcBorders/>
            <w:vAlign w:val="bottom"/>
          </w:tcPr>
          <w:p>
            <w:pPr>
              <w:pStyle w:val="TableContents"/>
              <w:bidi w:val="0"/>
              <w:spacing w:before="0" w:after="283"/>
              <w:jc w:val="left"/>
              <w:rPr/>
            </w:pPr>
            <w:r>
              <w:rPr/>
              <w:t> </w:t>
            </w:r>
          </w:p>
        </w:tc>
        <w:tc>
          <w:tcPr>
            <w:tcW w:w="131" w:type="dxa"/>
            <w:tcBorders>
              <w:bottom w:val="single" w:sz="12" w:space="0" w:color="000000"/>
            </w:tcBorders>
            <w:tcMar>
              <w:bottom w:w="28" w:type="dxa"/>
            </w:tcMar>
            <w:vAlign w:val="bottom"/>
          </w:tcPr>
          <w:p>
            <w:pPr>
              <w:pStyle w:val="TableContents"/>
              <w:bidi w:val="0"/>
              <w:spacing w:before="0" w:after="283"/>
              <w:jc w:val="left"/>
              <w:rPr/>
            </w:pPr>
            <w:r>
              <w:rPr/>
              <w:t> </w:t>
            </w:r>
          </w:p>
        </w:tc>
        <w:tc>
          <w:tcPr>
            <w:tcW w:w="886" w:type="dxa"/>
            <w:tcBorders>
              <w:bottom w:val="single" w:sz="12" w:space="0" w:color="000000"/>
            </w:tcBorders>
            <w:tcMar>
              <w:bottom w:w="28" w:type="dxa"/>
            </w:tcMar>
            <w:vAlign w:val="bottom"/>
          </w:tcPr>
          <w:p>
            <w:pPr>
              <w:pStyle w:val="TableContents"/>
              <w:bidi w:val="0"/>
              <w:spacing w:before="0" w:after="0"/>
              <w:jc w:val="right"/>
              <w:rPr>
                <w:sz w:val="20"/>
              </w:rPr>
            </w:pPr>
            <w:r>
              <w:rPr>
                <w:sz w:val="20"/>
              </w:rPr>
              <w:t>537,072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 w:type="dxa"/>
            <w:tcBorders>
              <w:bottom w:val="single" w:sz="12" w:space="0" w:color="000000"/>
            </w:tcBorders>
            <w:tcMar>
              <w:bottom w:w="28" w:type="dxa"/>
            </w:tcMar>
            <w:vAlign w:val="bottom"/>
          </w:tcPr>
          <w:p>
            <w:pPr>
              <w:pStyle w:val="TableContents"/>
              <w:bidi w:val="0"/>
              <w:spacing w:before="0" w:after="283"/>
              <w:jc w:val="left"/>
              <w:rPr/>
            </w:pPr>
            <w:r>
              <w:rPr/>
              <w:t> </w:t>
            </w:r>
          </w:p>
        </w:tc>
        <w:tc>
          <w:tcPr>
            <w:tcW w:w="721" w:type="dxa"/>
            <w:tcBorders>
              <w:bottom w:val="single" w:sz="12" w:space="0" w:color="000000"/>
            </w:tcBorders>
            <w:tcMar>
              <w:bottom w:w="28" w:type="dxa"/>
            </w:tcMar>
            <w:vAlign w:val="bottom"/>
          </w:tcPr>
          <w:p>
            <w:pPr>
              <w:pStyle w:val="TableContents"/>
              <w:bidi w:val="0"/>
              <w:spacing w:before="0" w:after="0"/>
              <w:jc w:val="right"/>
              <w:rPr>
                <w:sz w:val="20"/>
              </w:rPr>
            </w:pPr>
            <w:r>
              <w:rPr>
                <w:sz w:val="20"/>
              </w:rPr>
              <w:t>51</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center"/>
              <w:rPr>
                <w:sz w:val="20"/>
              </w:rPr>
            </w:pPr>
            <w:r>
              <w:rPr>
                <w:sz w:val="20"/>
              </w:rPr>
              <w:t>(B)</w:t>
            </w:r>
          </w:p>
        </w:tc>
        <w:tc>
          <w:tcPr>
            <w:tcW w:w="60" w:type="dxa"/>
            <w:tcBorders/>
            <w:vAlign w:val="bottom"/>
          </w:tcPr>
          <w:p>
            <w:pPr>
              <w:pStyle w:val="TableContents"/>
              <w:bidi w:val="0"/>
              <w:spacing w:before="0" w:after="283"/>
              <w:jc w:val="left"/>
              <w:rPr/>
            </w:pPr>
            <w:r>
              <w:rPr/>
              <w:t> </w:t>
            </w:r>
          </w:p>
        </w:tc>
        <w:tc>
          <w:tcPr>
            <w:tcW w:w="92" w:type="dxa"/>
            <w:tcBorders>
              <w:bottom w:val="single" w:sz="12" w:space="0" w:color="000000"/>
            </w:tcBorders>
            <w:tcMar>
              <w:bottom w:w="28" w:type="dxa"/>
            </w:tcMar>
            <w:vAlign w:val="bottom"/>
          </w:tcPr>
          <w:p>
            <w:pPr>
              <w:pStyle w:val="TableContents"/>
              <w:bidi w:val="0"/>
              <w:spacing w:before="0" w:after="283"/>
              <w:jc w:val="left"/>
              <w:rPr/>
            </w:pPr>
            <w:r>
              <w:rPr/>
              <w:t> </w:t>
            </w:r>
          </w:p>
        </w:tc>
        <w:tc>
          <w:tcPr>
            <w:tcW w:w="588" w:type="dxa"/>
            <w:tcBorders>
              <w:bottom w:val="single" w:sz="12" w:space="0" w:color="000000"/>
            </w:tcBorders>
            <w:tcMar>
              <w:bottom w:w="28" w:type="dxa"/>
            </w:tcMar>
            <w:vAlign w:val="bottom"/>
          </w:tcPr>
          <w:p>
            <w:pPr>
              <w:pStyle w:val="TableContents"/>
              <w:bidi w:val="0"/>
              <w:spacing w:before="0" w:after="0"/>
              <w:jc w:val="right"/>
              <w:rPr>
                <w:sz w:val="20"/>
              </w:rPr>
            </w:pPr>
            <w:r>
              <w:rPr>
                <w:sz w:val="20"/>
              </w:rPr>
              <w:t>5.13</w:t>
            </w:r>
          </w:p>
        </w:tc>
        <w:tc>
          <w:tcPr>
            <w:tcW w:w="215" w:type="dxa"/>
            <w:tcBorders/>
            <w:vAlign w:val="bottom"/>
          </w:tcPr>
          <w:p>
            <w:pPr>
              <w:pStyle w:val="TableContents"/>
              <w:bidi w:val="0"/>
              <w:spacing w:before="0" w:after="0"/>
              <w:jc w:val="left"/>
              <w:rPr>
                <w:color w:val="000000"/>
                <w:sz w:val="20"/>
              </w:rPr>
            </w:pPr>
            <w:r>
              <w:rPr>
                <w:color w:val="000000"/>
                <w:sz w:val="20"/>
              </w:rPr>
              <w:t>%</w:t>
            </w:r>
          </w:p>
        </w:tc>
        <w:tc>
          <w:tcPr>
            <w:tcW w:w="60" w:type="dxa"/>
            <w:tcBorders/>
            <w:vAlign w:val="bottom"/>
          </w:tcPr>
          <w:p>
            <w:pPr>
              <w:pStyle w:val="TableContents"/>
              <w:bidi w:val="0"/>
              <w:spacing w:before="0" w:after="283"/>
              <w:jc w:val="left"/>
              <w:rPr/>
            </w:pPr>
            <w:r>
              <w:rPr/>
              <w:t> </w:t>
            </w:r>
          </w:p>
        </w:tc>
        <w:tc>
          <w:tcPr>
            <w:tcW w:w="73" w:type="dxa"/>
            <w:tcBorders>
              <w:bottom w:val="single" w:sz="12" w:space="0" w:color="000000"/>
            </w:tcBorders>
            <w:tcMar>
              <w:bottom w:w="28" w:type="dxa"/>
            </w:tcMar>
            <w:vAlign w:val="bottom"/>
          </w:tcPr>
          <w:p>
            <w:pPr>
              <w:pStyle w:val="TableContents"/>
              <w:bidi w:val="0"/>
              <w:spacing w:before="0" w:after="283"/>
              <w:jc w:val="left"/>
              <w:rPr/>
            </w:pPr>
            <w:r>
              <w:rPr/>
              <w:t> </w:t>
            </w:r>
          </w:p>
        </w:tc>
        <w:tc>
          <w:tcPr>
            <w:tcW w:w="470" w:type="dxa"/>
            <w:tcBorders>
              <w:bottom w:val="single" w:sz="12" w:space="0" w:color="000000"/>
            </w:tcBorders>
            <w:tcMar>
              <w:bottom w:w="28" w:type="dxa"/>
            </w:tcMar>
            <w:vAlign w:val="bottom"/>
          </w:tcPr>
          <w:p>
            <w:pPr>
              <w:pStyle w:val="TableContents"/>
              <w:bidi w:val="0"/>
              <w:spacing w:before="0" w:after="0"/>
              <w:jc w:val="right"/>
              <w:rPr>
                <w:sz w:val="20"/>
              </w:rPr>
            </w:pPr>
            <w:r>
              <w:rPr>
                <w:sz w:val="20"/>
              </w:rPr>
              <w:t>5.21</w:t>
            </w:r>
          </w:p>
        </w:tc>
        <w:tc>
          <w:tcPr>
            <w:tcW w:w="215" w:type="dxa"/>
            <w:tcBorders/>
            <w:vAlign w:val="bottom"/>
          </w:tcPr>
          <w:p>
            <w:pPr>
              <w:pStyle w:val="TableContents"/>
              <w:bidi w:val="0"/>
              <w:spacing w:before="0" w:after="0"/>
              <w:jc w:val="left"/>
              <w:rPr>
                <w:color w:val="000000"/>
                <w:sz w:val="20"/>
              </w:rPr>
            </w:pPr>
            <w:r>
              <w:rPr>
                <w:color w:val="000000"/>
                <w:sz w:val="20"/>
              </w:rPr>
              <w:t>%</w:t>
            </w:r>
          </w:p>
        </w:tc>
        <w:tc>
          <w:tcPr>
            <w:tcW w:w="60" w:type="dxa"/>
            <w:tcBorders/>
            <w:vAlign w:val="bottom"/>
          </w:tcPr>
          <w:p>
            <w:pPr>
              <w:pStyle w:val="TableContents"/>
              <w:bidi w:val="0"/>
              <w:spacing w:before="0" w:after="283"/>
              <w:jc w:val="left"/>
              <w:rPr/>
            </w:pPr>
            <w:r>
              <w:rPr/>
              <w:t> </w:t>
            </w:r>
          </w:p>
        </w:tc>
        <w:tc>
          <w:tcPr>
            <w:tcW w:w="162" w:type="dxa"/>
            <w:tcBorders>
              <w:bottom w:val="single" w:sz="12" w:space="0" w:color="000000"/>
            </w:tcBorders>
            <w:tcMar>
              <w:bottom w:w="28" w:type="dxa"/>
            </w:tcMar>
            <w:vAlign w:val="bottom"/>
          </w:tcPr>
          <w:p>
            <w:pPr>
              <w:pStyle w:val="TableContents"/>
              <w:bidi w:val="0"/>
              <w:spacing w:before="0" w:after="283"/>
              <w:jc w:val="left"/>
              <w:rPr/>
            </w:pPr>
            <w:r>
              <w:rPr/>
              <w:t> </w:t>
            </w:r>
          </w:p>
        </w:tc>
        <w:tc>
          <w:tcPr>
            <w:tcW w:w="623" w:type="dxa"/>
            <w:tcBorders>
              <w:bottom w:val="single" w:sz="12" w:space="0" w:color="000000"/>
            </w:tcBorders>
            <w:tcMar>
              <w:bottom w:w="28" w:type="dxa"/>
            </w:tcMar>
            <w:vAlign w:val="bottom"/>
          </w:tcPr>
          <w:p>
            <w:pPr>
              <w:pStyle w:val="TableContents"/>
              <w:bidi w:val="0"/>
              <w:spacing w:before="0" w:after="0"/>
              <w:jc w:val="right"/>
              <w:rPr>
                <w:sz w:val="20"/>
              </w:rPr>
            </w:pPr>
            <w:r>
              <w:rPr>
                <w:sz w:val="20"/>
              </w:rPr>
              <w:t>27</w:t>
            </w:r>
          </w:p>
        </w:tc>
        <w:tc>
          <w:tcPr>
            <w:tcW w:w="79" w:type="dxa"/>
            <w:tcBorders/>
            <w:vAlign w:val="bottom"/>
          </w:tcPr>
          <w:p>
            <w:pPr>
              <w:pStyle w:val="TableContents"/>
              <w:bidi w:val="0"/>
              <w:spacing w:before="0" w:after="283"/>
              <w:jc w:val="left"/>
              <w:rPr/>
            </w:pPr>
            <w:r>
              <w:rPr/>
              <w:t> </w:t>
            </w:r>
          </w:p>
        </w:tc>
      </w:tr>
      <w:tr>
        <w:trPr/>
        <w:tc>
          <w:tcPr>
            <w:tcW w:w="987" w:type="dxa"/>
            <w:tcBorders/>
            <w:shd w:fill="CCEEFF" w:val="clear"/>
            <w:vAlign w:val="bottom"/>
          </w:tcPr>
          <w:p>
            <w:pPr>
              <w:pStyle w:val="TableContents"/>
              <w:bidi w:val="0"/>
              <w:spacing w:before="0" w:after="0"/>
              <w:ind w:left="144" w:right="0" w:hanging="144"/>
              <w:jc w:val="left"/>
              <w:rPr>
                <w:b/>
                <w:color w:val="000000"/>
                <w:sz w:val="20"/>
              </w:rPr>
            </w:pPr>
            <w:r>
              <w:rPr>
                <w:b/>
                <w:color w:val="000000"/>
                <w:sz w:val="20"/>
              </w:rPr>
              <w:t>Total/weighted average RMBS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b/>
                <w:color w:val="000000"/>
                <w:sz w:val="20"/>
              </w:rPr>
            </w:pPr>
            <w:r>
              <w:rPr>
                <w:b/>
                <w:color w:val="000000"/>
                <w:sz w:val="20"/>
              </w:rPr>
              <w:t>$</w:t>
            </w:r>
          </w:p>
        </w:tc>
        <w:tc>
          <w:tcPr>
            <w:tcW w:w="845" w:type="dxa"/>
            <w:tcBorders/>
            <w:shd w:fill="CCEEFF" w:val="clear"/>
            <w:vAlign w:val="bottom"/>
          </w:tcPr>
          <w:p>
            <w:pPr>
              <w:pStyle w:val="TableContents"/>
              <w:bidi w:val="0"/>
              <w:spacing w:before="0" w:after="0"/>
              <w:jc w:val="right"/>
              <w:rPr>
                <w:b/>
                <w:color w:val="000000"/>
                <w:sz w:val="20"/>
              </w:rPr>
            </w:pPr>
            <w:r>
              <w:rPr>
                <w:b/>
                <w:color w:val="000000"/>
                <w:sz w:val="20"/>
              </w:rPr>
              <w:t>1,337,579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b/>
                <w:color w:val="000000"/>
                <w:sz w:val="20"/>
              </w:rPr>
            </w:pPr>
            <w:r>
              <w:rPr>
                <w:b/>
                <w:color w:val="000000"/>
                <w:sz w:val="20"/>
              </w:rPr>
              <w:t>$</w:t>
            </w:r>
          </w:p>
        </w:tc>
        <w:tc>
          <w:tcPr>
            <w:tcW w:w="845" w:type="dxa"/>
            <w:tcBorders/>
            <w:shd w:fill="CCEEFF" w:val="clear"/>
            <w:vAlign w:val="bottom"/>
          </w:tcPr>
          <w:p>
            <w:pPr>
              <w:pStyle w:val="TableContents"/>
              <w:bidi w:val="0"/>
              <w:spacing w:before="0" w:after="0"/>
              <w:jc w:val="right"/>
              <w:rPr>
                <w:b/>
                <w:color w:val="000000"/>
                <w:sz w:val="20"/>
              </w:rPr>
            </w:pPr>
            <w:r>
              <w:rPr>
                <w:b/>
                <w:color w:val="000000"/>
                <w:sz w:val="20"/>
              </w:rPr>
              <w:t>1,065,399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b/>
                <w:color w:val="000000"/>
                <w:sz w:val="20"/>
              </w:rPr>
            </w:pPr>
            <w:r>
              <w:rPr>
                <w:b/>
                <w:color w:val="000000"/>
                <w:sz w:val="20"/>
              </w:rPr>
              <w:t>$</w:t>
            </w:r>
          </w:p>
        </w:tc>
        <w:tc>
          <w:tcPr>
            <w:tcW w:w="590" w:type="dxa"/>
            <w:tcBorders/>
            <w:shd w:fill="CCEEFF" w:val="clear"/>
            <w:vAlign w:val="bottom"/>
          </w:tcPr>
          <w:p>
            <w:pPr>
              <w:pStyle w:val="TableContents"/>
              <w:bidi w:val="0"/>
              <w:spacing w:before="0" w:after="0"/>
              <w:jc w:val="right"/>
              <w:rPr>
                <w:b/>
                <w:color w:val="000000"/>
                <w:sz w:val="20"/>
              </w:rPr>
            </w:pPr>
            <w:r>
              <w:rPr>
                <w:b/>
                <w:color w:val="000000"/>
                <w:sz w:val="20"/>
              </w:rPr>
              <w:t>17,384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b/>
                <w:color w:val="000000"/>
                <w:sz w:val="20"/>
              </w:rPr>
            </w:pPr>
            <w:r>
              <w:rPr>
                <w:b/>
                <w:color w:val="000000"/>
                <w:sz w:val="20"/>
              </w:rPr>
              <w:t>$</w:t>
            </w:r>
          </w:p>
        </w:tc>
        <w:tc>
          <w:tcPr>
            <w:tcW w:w="545" w:type="dxa"/>
            <w:tcBorders/>
            <w:shd w:fill="CCEEFF" w:val="clear"/>
            <w:vAlign w:val="bottom"/>
          </w:tcPr>
          <w:p>
            <w:pPr>
              <w:pStyle w:val="TableContents"/>
              <w:bidi w:val="0"/>
              <w:spacing w:before="0" w:after="0"/>
              <w:jc w:val="right"/>
              <w:rPr>
                <w:b/>
                <w:color w:val="000000"/>
                <w:sz w:val="20"/>
              </w:rPr>
            </w:pPr>
            <w:r>
              <w:rPr>
                <w:b/>
                <w:color w:val="000000"/>
                <w:sz w:val="20"/>
              </w:rPr>
              <w:t>(2,981</w:t>
            </w:r>
          </w:p>
        </w:tc>
        <w:tc>
          <w:tcPr>
            <w:tcW w:w="80" w:type="dxa"/>
            <w:tcBorders/>
            <w:shd w:fill="CCEEFF" w:val="clear"/>
            <w:vAlign w:val="bottom"/>
          </w:tcPr>
          <w:p>
            <w:pPr>
              <w:pStyle w:val="TableContents"/>
              <w:bidi w:val="0"/>
              <w:spacing w:before="0" w:after="0"/>
              <w:jc w:val="left"/>
              <w:rPr>
                <w:b/>
                <w:color w:val="000000"/>
                <w:sz w:val="20"/>
              </w:rPr>
            </w:pPr>
            <w:r>
              <w:rPr>
                <w:b/>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0"/>
              <w:jc w:val="left"/>
              <w:rPr>
                <w:b/>
                <w:color w:val="000000"/>
                <w:sz w:val="20"/>
              </w:rPr>
            </w:pPr>
            <w:r>
              <w:rPr>
                <w:b/>
                <w:color w:val="000000"/>
                <w:sz w:val="20"/>
              </w:rPr>
              <w:t>$</w:t>
            </w:r>
          </w:p>
        </w:tc>
        <w:tc>
          <w:tcPr>
            <w:tcW w:w="886" w:type="dxa"/>
            <w:tcBorders/>
            <w:shd w:fill="CCEEFF" w:val="clear"/>
            <w:vAlign w:val="bottom"/>
          </w:tcPr>
          <w:p>
            <w:pPr>
              <w:pStyle w:val="TableContents"/>
              <w:bidi w:val="0"/>
              <w:spacing w:before="0" w:after="0"/>
              <w:jc w:val="right"/>
              <w:rPr>
                <w:b/>
                <w:color w:val="000000"/>
                <w:sz w:val="20"/>
              </w:rPr>
            </w:pPr>
            <w:r>
              <w:rPr>
                <w:b/>
                <w:color w:val="000000"/>
                <w:sz w:val="20"/>
              </w:rPr>
              <w:t>1,079,802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0"/>
              <w:jc w:val="right"/>
              <w:rPr>
                <w:b/>
                <w:color w:val="000000"/>
                <w:sz w:val="20"/>
              </w:rPr>
            </w:pPr>
            <w:r>
              <w:rPr>
                <w:b/>
                <w:color w:val="000000"/>
                <w:sz w:val="20"/>
              </w:rPr>
              <w:t>102</w:t>
            </w:r>
          </w:p>
        </w:tc>
        <w:tc>
          <w:tcPr>
            <w:tcW w:w="6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left"/>
              <w:rPr>
                <w:color w:val="000000"/>
              </w:rPr>
            </w:pPr>
            <w:r>
              <w:rPr>
                <w:color w:val="000000"/>
              </w:rPr>
              <w:t> </w:t>
            </w:r>
          </w:p>
        </w:tc>
        <w:tc>
          <w:tcPr>
            <w:tcW w:w="60"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588" w:type="dxa"/>
            <w:tcBorders/>
            <w:shd w:fill="CCEEFF" w:val="clear"/>
            <w:vAlign w:val="bottom"/>
          </w:tcPr>
          <w:p>
            <w:pPr>
              <w:pStyle w:val="TableContents"/>
              <w:bidi w:val="0"/>
              <w:spacing w:before="0" w:after="0"/>
              <w:jc w:val="right"/>
              <w:rPr>
                <w:b/>
                <w:color w:val="000000"/>
                <w:sz w:val="20"/>
              </w:rPr>
            </w:pPr>
            <w:r>
              <w:rPr>
                <w:b/>
                <w:color w:val="000000"/>
                <w:sz w:val="20"/>
              </w:rPr>
              <w:t>5.08</w:t>
            </w:r>
          </w:p>
        </w:tc>
        <w:tc>
          <w:tcPr>
            <w:tcW w:w="215" w:type="dxa"/>
            <w:tcBorders/>
            <w:shd w:fill="CCEEFF" w:val="clear"/>
            <w:vAlign w:val="bottom"/>
          </w:tcPr>
          <w:p>
            <w:pPr>
              <w:pStyle w:val="TableContents"/>
              <w:bidi w:val="0"/>
              <w:spacing w:before="0" w:after="0"/>
              <w:jc w:val="left"/>
              <w:rPr>
                <w:b/>
                <w:color w:val="000000"/>
                <w:sz w:val="20"/>
              </w:rPr>
            </w:pPr>
            <w:r>
              <w:rPr>
                <w:b/>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0"/>
              <w:jc w:val="right"/>
              <w:rPr>
                <w:b/>
                <w:color w:val="000000"/>
                <w:sz w:val="20"/>
              </w:rPr>
            </w:pPr>
            <w:r>
              <w:rPr>
                <w:b/>
                <w:color w:val="000000"/>
                <w:sz w:val="20"/>
              </w:rPr>
              <w:t>5.16</w:t>
            </w:r>
          </w:p>
        </w:tc>
        <w:tc>
          <w:tcPr>
            <w:tcW w:w="215" w:type="dxa"/>
            <w:tcBorders/>
            <w:shd w:fill="CCEEFF" w:val="clear"/>
            <w:vAlign w:val="bottom"/>
          </w:tcPr>
          <w:p>
            <w:pPr>
              <w:pStyle w:val="TableContents"/>
              <w:bidi w:val="0"/>
              <w:spacing w:before="0" w:after="0"/>
              <w:jc w:val="left"/>
              <w:rPr>
                <w:b/>
                <w:color w:val="000000"/>
                <w:sz w:val="20"/>
              </w:rPr>
            </w:pPr>
            <w:r>
              <w:rPr>
                <w:b/>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623" w:type="dxa"/>
            <w:tcBorders/>
            <w:shd w:fill="CCEEFF" w:val="clear"/>
            <w:vAlign w:val="bottom"/>
          </w:tcPr>
          <w:p>
            <w:pPr>
              <w:pStyle w:val="TableContents"/>
              <w:bidi w:val="0"/>
              <w:spacing w:before="0" w:after="0"/>
              <w:jc w:val="right"/>
              <w:rPr>
                <w:b/>
                <w:color w:val="000000"/>
                <w:sz w:val="20"/>
              </w:rPr>
            </w:pPr>
            <w:r>
              <w:rPr>
                <w:b/>
                <w:color w:val="000000"/>
                <w:sz w:val="20"/>
              </w:rPr>
              <w:t>27</w:t>
            </w:r>
          </w:p>
        </w:tc>
        <w:tc>
          <w:tcPr>
            <w:tcW w:w="79"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As of December 31, 2025</w:t>
      </w:r>
    </w:p>
    <w:p>
      <w:pPr>
        <w:pStyle w:val="TextBody"/>
        <w:bidi w:val="0"/>
        <w:spacing w:before="0" w:after="0"/>
        <w:jc w:val="left"/>
        <w:rPr>
          <w:sz w:val="20"/>
        </w:rPr>
      </w:pPr>
      <w:r>
        <w:rPr>
          <w:sz w:val="20"/>
        </w:rPr>
      </w:r>
    </w:p>
    <w:tbl>
      <w:tblPr>
        <w:tblW w:w="10205" w:type="dxa"/>
        <w:jc w:val="left"/>
        <w:tblInd w:w="0" w:type="dxa"/>
        <w:tblLayout w:type="fixed"/>
        <w:tblCellMar>
          <w:top w:w="0" w:type="dxa"/>
          <w:left w:w="0" w:type="dxa"/>
          <w:bottom w:w="0" w:type="dxa"/>
          <w:right w:w="0" w:type="dxa"/>
        </w:tblCellMar>
      </w:tblPr>
      <w:tblGrid>
        <w:gridCol w:w="1061"/>
        <w:gridCol w:w="60"/>
        <w:gridCol w:w="125"/>
        <w:gridCol w:w="845"/>
        <w:gridCol w:w="60"/>
        <w:gridCol w:w="60"/>
        <w:gridCol w:w="125"/>
        <w:gridCol w:w="845"/>
        <w:gridCol w:w="60"/>
        <w:gridCol w:w="60"/>
        <w:gridCol w:w="126"/>
        <w:gridCol w:w="595"/>
        <w:gridCol w:w="60"/>
        <w:gridCol w:w="60"/>
        <w:gridCol w:w="138"/>
        <w:gridCol w:w="437"/>
        <w:gridCol w:w="80"/>
        <w:gridCol w:w="60"/>
        <w:gridCol w:w="132"/>
        <w:gridCol w:w="895"/>
        <w:gridCol w:w="60"/>
        <w:gridCol w:w="60"/>
        <w:gridCol w:w="128"/>
        <w:gridCol w:w="722"/>
        <w:gridCol w:w="60"/>
        <w:gridCol w:w="590"/>
        <w:gridCol w:w="60"/>
        <w:gridCol w:w="92"/>
        <w:gridCol w:w="588"/>
        <w:gridCol w:w="215"/>
        <w:gridCol w:w="60"/>
        <w:gridCol w:w="74"/>
        <w:gridCol w:w="473"/>
        <w:gridCol w:w="215"/>
        <w:gridCol w:w="60"/>
        <w:gridCol w:w="162"/>
        <w:gridCol w:w="623"/>
        <w:gridCol w:w="79"/>
      </w:tblGrid>
      <w:tr>
        <w:trPr/>
        <w:tc>
          <w:tcPr>
            <w:tcW w:w="1061" w:type="dxa"/>
            <w:tcBorders/>
            <w:vAlign w:val="bottom"/>
          </w:tcPr>
          <w:p>
            <w:pPr>
              <w:pStyle w:val="TableContents"/>
              <w:bidi w:val="0"/>
              <w:spacing w:before="0" w:after="283"/>
              <w:jc w:val="left"/>
              <w:rPr/>
            </w:pPr>
            <w:r>
              <w:rPr/>
            </w:r>
          </w:p>
        </w:tc>
        <w:tc>
          <w:tcPr>
            <w:tcW w:w="60" w:type="dxa"/>
            <w:tcBorders/>
            <w:vAlign w:val="bottom"/>
          </w:tcPr>
          <w:p>
            <w:pPr>
              <w:pStyle w:val="TableContents"/>
              <w:bidi w:val="0"/>
              <w:spacing w:before="0" w:after="283"/>
              <w:jc w:val="left"/>
              <w:rPr/>
            </w:pPr>
            <w:r>
              <w:rPr/>
              <w:t> </w:t>
            </w:r>
          </w:p>
        </w:tc>
        <w:tc>
          <w:tcPr>
            <w:tcW w:w="97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vAlign w:val="bottom"/>
          </w:tcPr>
          <w:p>
            <w:pPr>
              <w:pStyle w:val="TableContents"/>
              <w:bidi w:val="0"/>
              <w:spacing w:before="0" w:after="283"/>
              <w:jc w:val="left"/>
              <w:rPr/>
            </w:pPr>
            <w:r>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6" w:type="dxa"/>
            <w:gridSpan w:val="6"/>
            <w:tcBorders>
              <w:bottom w:val="single" w:sz="12" w:space="0" w:color="000000"/>
            </w:tcBorders>
            <w:tcMar>
              <w:bottom w:w="28" w:type="dxa"/>
            </w:tcMar>
            <w:vAlign w:val="bottom"/>
          </w:tcPr>
          <w:p>
            <w:pPr>
              <w:pStyle w:val="TableContents"/>
              <w:bidi w:val="0"/>
              <w:spacing w:before="0" w:after="0"/>
              <w:jc w:val="center"/>
              <w:rPr>
                <w:b/>
                <w:color w:val="000000"/>
                <w:sz w:val="20"/>
              </w:rPr>
            </w:pPr>
            <w:r>
              <w:rPr>
                <w:b/>
                <w:color w:val="000000"/>
                <w:sz w:val="20"/>
              </w:rPr>
              <w:t>Gross Unrealized</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7" w:type="dxa"/>
            <w:gridSpan w:val="2"/>
            <w:tcBorders/>
            <w:vAlign w:val="bottom"/>
          </w:tcPr>
          <w:p>
            <w:pPr>
              <w:pStyle w:val="TableContents"/>
              <w:bidi w:val="0"/>
              <w:spacing w:before="0" w:after="283"/>
              <w:jc w:val="left"/>
              <w:rPr/>
            </w:pPr>
            <w:r>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0" w:type="dxa"/>
            <w:gridSpan w:val="2"/>
            <w:tcBorders/>
            <w:vAlign w:val="bottom"/>
          </w:tcPr>
          <w:p>
            <w:pPr>
              <w:pStyle w:val="TableContents"/>
              <w:bidi w:val="0"/>
              <w:spacing w:before="0" w:after="283"/>
              <w:jc w:val="left"/>
              <w:rPr/>
            </w:pPr>
            <w:r>
              <w:rPr/>
            </w:r>
          </w:p>
        </w:tc>
        <w:tc>
          <w:tcPr>
            <w:tcW w:w="60" w:type="dxa"/>
            <w:tcBorders/>
            <w:vAlign w:val="bottom"/>
          </w:tcPr>
          <w:p>
            <w:pPr>
              <w:pStyle w:val="TableContents"/>
              <w:bidi w:val="0"/>
              <w:spacing w:before="0" w:after="283"/>
              <w:jc w:val="left"/>
              <w:rPr/>
            </w:pPr>
            <w:r>
              <w:rPr/>
              <w:t> </w:t>
            </w:r>
          </w:p>
        </w:tc>
        <w:tc>
          <w:tcPr>
            <w:tcW w:w="3212" w:type="dxa"/>
            <w:gridSpan w:val="12"/>
            <w:tcBorders>
              <w:bottom w:val="single" w:sz="12" w:space="0" w:color="000000"/>
            </w:tcBorders>
            <w:tcMar>
              <w:bottom w:w="28" w:type="dxa"/>
            </w:tcMar>
            <w:vAlign w:val="bottom"/>
          </w:tcPr>
          <w:p>
            <w:pPr>
              <w:pStyle w:val="TableContents"/>
              <w:bidi w:val="0"/>
              <w:spacing w:before="0" w:after="0"/>
              <w:jc w:val="center"/>
              <w:rPr>
                <w:b/>
                <w:color w:val="000000"/>
                <w:sz w:val="20"/>
              </w:rPr>
            </w:pPr>
            <w:r>
              <w:rPr>
                <w:b/>
                <w:color w:val="000000"/>
                <w:sz w:val="20"/>
              </w:rPr>
              <w:t>Weighted Average</w:t>
            </w:r>
          </w:p>
        </w:tc>
        <w:tc>
          <w:tcPr>
            <w:tcW w:w="79" w:type="dxa"/>
            <w:tcBorders/>
            <w:vAlign w:val="bottom"/>
          </w:tcPr>
          <w:p>
            <w:pPr>
              <w:pStyle w:val="TableContents"/>
              <w:bidi w:val="0"/>
              <w:spacing w:before="0" w:after="283"/>
              <w:jc w:val="left"/>
              <w:rPr/>
            </w:pPr>
            <w:r>
              <w:rPr/>
              <w:t> </w:t>
            </w:r>
          </w:p>
        </w:tc>
      </w:tr>
      <w:tr>
        <w:trPr/>
        <w:tc>
          <w:tcPr>
            <w:tcW w:w="1061" w:type="dxa"/>
            <w:tcBorders>
              <w:bottom w:val="single" w:sz="12" w:space="0" w:color="000000"/>
            </w:tcBorders>
            <w:tcMar>
              <w:bottom w:w="28" w:type="dxa"/>
            </w:tcMar>
            <w:vAlign w:val="bottom"/>
          </w:tcPr>
          <w:p>
            <w:pPr>
              <w:pStyle w:val="TableContents"/>
              <w:bidi w:val="0"/>
              <w:spacing w:before="0" w:after="0"/>
              <w:jc w:val="center"/>
              <w:rPr>
                <w:b/>
                <w:color w:val="000000"/>
                <w:sz w:val="20"/>
              </w:rPr>
            </w:pPr>
            <w:r>
              <w:rPr>
                <w:b/>
                <w:color w:val="000000"/>
                <w:sz w:val="20"/>
              </w:rPr>
              <w:t>Asset Type</w:t>
            </w:r>
          </w:p>
        </w:tc>
        <w:tc>
          <w:tcPr>
            <w:tcW w:w="60" w:type="dxa"/>
            <w:tcBorders/>
            <w:vAlign w:val="bottom"/>
          </w:tcPr>
          <w:p>
            <w:pPr>
              <w:pStyle w:val="TableContents"/>
              <w:bidi w:val="0"/>
              <w:spacing w:before="0" w:after="283"/>
              <w:jc w:val="left"/>
              <w:rPr/>
            </w:pPr>
            <w:r>
              <w:rPr/>
              <w:t> </w:t>
            </w:r>
          </w:p>
        </w:tc>
        <w:tc>
          <w:tcPr>
            <w:tcW w:w="970" w:type="dxa"/>
            <w:gridSpan w:val="2"/>
            <w:tcBorders>
              <w:bottom w:val="single" w:sz="12" w:space="0" w:color="000000"/>
            </w:tcBorders>
            <w:tcMar>
              <w:bottom w:w="28" w:type="dxa"/>
            </w:tcMar>
            <w:vAlign w:val="bottom"/>
          </w:tcPr>
          <w:p>
            <w:pPr>
              <w:pStyle w:val="TableContents"/>
              <w:bidi w:val="0"/>
              <w:spacing w:before="0" w:after="0"/>
              <w:jc w:val="center"/>
              <w:rPr>
                <w:b/>
                <w:color w:val="000000"/>
                <w:sz w:val="20"/>
              </w:rPr>
            </w:pPr>
            <w:r>
              <w:rPr>
                <w:b/>
                <w:color w:val="000000"/>
                <w:sz w:val="20"/>
              </w:rPr>
              <w:t>Original</w:t>
              <w:br/>
              <w:t>Face</w:t>
              <w:br/>
              <w:t>Value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bottom w:val="single" w:sz="12" w:space="0" w:color="000000"/>
            </w:tcBorders>
            <w:tcMar>
              <w:bottom w:w="28" w:type="dxa"/>
            </w:tcMar>
            <w:vAlign w:val="bottom"/>
          </w:tcPr>
          <w:p>
            <w:pPr>
              <w:pStyle w:val="TableContents"/>
              <w:bidi w:val="0"/>
              <w:spacing w:before="0" w:after="0"/>
              <w:jc w:val="center"/>
              <w:rPr>
                <w:b/>
                <w:color w:val="000000"/>
                <w:sz w:val="20"/>
              </w:rPr>
            </w:pPr>
            <w:r>
              <w:rPr>
                <w:b/>
                <w:color w:val="000000"/>
                <w:sz w:val="20"/>
              </w:rPr>
              <w:t>Book</w:t>
              <w:br/>
              <w:t>Value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1" w:type="dxa"/>
            <w:gridSpan w:val="2"/>
            <w:tcBorders>
              <w:bottom w:val="single" w:sz="12" w:space="0" w:color="000000"/>
            </w:tcBorders>
            <w:tcMar>
              <w:bottom w:w="28" w:type="dxa"/>
            </w:tcMar>
            <w:vAlign w:val="bottom"/>
          </w:tcPr>
          <w:p>
            <w:pPr>
              <w:pStyle w:val="TableContents"/>
              <w:bidi w:val="0"/>
              <w:spacing w:before="0" w:after="0"/>
              <w:jc w:val="center"/>
              <w:rPr>
                <w:b/>
                <w:color w:val="000000"/>
                <w:sz w:val="20"/>
              </w:rPr>
            </w:pPr>
            <w:r>
              <w:rPr>
                <w:b/>
                <w:color w:val="000000"/>
                <w:sz w:val="20"/>
              </w:rPr>
              <w:t>Gains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5" w:type="dxa"/>
            <w:gridSpan w:val="2"/>
            <w:tcBorders>
              <w:bottom w:val="single" w:sz="12" w:space="0" w:color="000000"/>
            </w:tcBorders>
            <w:tcMar>
              <w:bottom w:w="28" w:type="dxa"/>
            </w:tcMar>
            <w:vAlign w:val="bottom"/>
          </w:tcPr>
          <w:p>
            <w:pPr>
              <w:pStyle w:val="TableContents"/>
              <w:bidi w:val="0"/>
              <w:spacing w:before="0" w:after="0"/>
              <w:jc w:val="center"/>
              <w:rPr>
                <w:b/>
                <w:color w:val="000000"/>
                <w:sz w:val="20"/>
              </w:rPr>
            </w:pPr>
            <w:r>
              <w:rPr>
                <w:b/>
                <w:color w:val="000000"/>
                <w:sz w:val="20"/>
              </w:rPr>
              <w:t>Losses</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7" w:type="dxa"/>
            <w:gridSpan w:val="2"/>
            <w:tcBorders>
              <w:bottom w:val="single" w:sz="12" w:space="0" w:color="000000"/>
            </w:tcBorders>
            <w:tcMar>
              <w:bottom w:w="28" w:type="dxa"/>
            </w:tcMar>
            <w:vAlign w:val="bottom"/>
          </w:tcPr>
          <w:p>
            <w:pPr>
              <w:pStyle w:val="TableContents"/>
              <w:bidi w:val="0"/>
              <w:spacing w:lineRule="auto" w:line="240" w:before="0" w:after="0"/>
              <w:jc w:val="center"/>
              <w:rPr>
                <w:b/>
                <w:color w:val="000000"/>
                <w:sz w:val="20"/>
              </w:rPr>
            </w:pPr>
            <w:r>
              <w:rPr>
                <w:b/>
                <w:color w:val="000000"/>
                <w:sz w:val="20"/>
              </w:rPr>
              <w:t>Carrying Value(A)</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0" w:type="dxa"/>
            <w:gridSpan w:val="2"/>
            <w:tcBorders>
              <w:bottom w:val="single" w:sz="12" w:space="0" w:color="000000"/>
            </w:tcBorders>
            <w:tcMar>
              <w:bottom w:w="28" w:type="dxa"/>
            </w:tcMar>
            <w:vAlign w:val="bottom"/>
          </w:tcPr>
          <w:p>
            <w:pPr>
              <w:pStyle w:val="TableContents"/>
              <w:bidi w:val="0"/>
              <w:spacing w:before="0" w:after="0"/>
              <w:jc w:val="center"/>
              <w:rPr>
                <w:b/>
                <w:color w:val="000000"/>
                <w:sz w:val="20"/>
              </w:rPr>
            </w:pPr>
            <w:r>
              <w:rPr>
                <w:b/>
                <w:color w:val="000000"/>
                <w:sz w:val="20"/>
              </w:rPr>
              <w:t>Number of</w:t>
            </w:r>
          </w:p>
          <w:p>
            <w:pPr>
              <w:pStyle w:val="TableContents"/>
              <w:bidi w:val="0"/>
              <w:spacing w:before="0" w:after="0"/>
              <w:jc w:val="center"/>
              <w:rPr>
                <w:b/>
                <w:color w:val="000000"/>
                <w:sz w:val="20"/>
              </w:rPr>
            </w:pPr>
            <w:r>
              <w:rPr>
                <w:b/>
                <w:color w:val="000000"/>
                <w:sz w:val="20"/>
              </w:rPr>
              <w:t>Securities</w:t>
            </w:r>
          </w:p>
        </w:tc>
        <w:tc>
          <w:tcPr>
            <w:tcW w:w="60" w:type="dxa"/>
            <w:tcBorders/>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center"/>
              <w:rPr>
                <w:b/>
                <w:color w:val="000000"/>
                <w:sz w:val="20"/>
              </w:rPr>
            </w:pPr>
            <w:r>
              <w:rPr>
                <w:b/>
                <w:color w:val="000000"/>
                <w:sz w:val="20"/>
              </w:rPr>
              <w:t>Rating</w:t>
            </w:r>
          </w:p>
        </w:tc>
        <w:tc>
          <w:tcPr>
            <w:tcW w:w="60" w:type="dxa"/>
            <w:tcBorders/>
            <w:vAlign w:val="bottom"/>
          </w:tcPr>
          <w:p>
            <w:pPr>
              <w:pStyle w:val="TableContents"/>
              <w:bidi w:val="0"/>
              <w:spacing w:before="0" w:after="283"/>
              <w:jc w:val="left"/>
              <w:rPr/>
            </w:pPr>
            <w:r>
              <w:rPr/>
              <w:t> </w:t>
            </w:r>
          </w:p>
        </w:tc>
        <w:tc>
          <w:tcPr>
            <w:tcW w:w="680" w:type="dxa"/>
            <w:gridSpan w:val="2"/>
            <w:tcBorders>
              <w:bottom w:val="single" w:sz="12" w:space="0" w:color="000000"/>
            </w:tcBorders>
            <w:tcMar>
              <w:bottom w:w="28" w:type="dxa"/>
            </w:tcMar>
            <w:vAlign w:val="bottom"/>
          </w:tcPr>
          <w:p>
            <w:pPr>
              <w:pStyle w:val="TableContents"/>
              <w:bidi w:val="0"/>
              <w:spacing w:before="0" w:after="0"/>
              <w:jc w:val="center"/>
              <w:rPr>
                <w:b/>
                <w:color w:val="000000"/>
                <w:sz w:val="20"/>
              </w:rPr>
            </w:pPr>
            <w:r>
              <w:rPr>
                <w:b/>
                <w:color w:val="000000"/>
                <w:sz w:val="20"/>
              </w:rPr>
              <w:t>Coupon</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47" w:type="dxa"/>
            <w:gridSpan w:val="2"/>
            <w:tcBorders>
              <w:bottom w:val="single" w:sz="12" w:space="0" w:color="000000"/>
            </w:tcBorders>
            <w:tcMar>
              <w:bottom w:w="28" w:type="dxa"/>
            </w:tcMar>
            <w:vAlign w:val="bottom"/>
          </w:tcPr>
          <w:p>
            <w:pPr>
              <w:pStyle w:val="TableContents"/>
              <w:bidi w:val="0"/>
              <w:spacing w:lineRule="auto" w:line="240" w:before="0" w:after="0"/>
              <w:jc w:val="center"/>
              <w:rPr>
                <w:b/>
                <w:color w:val="000000"/>
                <w:sz w:val="20"/>
              </w:rPr>
            </w:pPr>
            <w:r>
              <w:rPr>
                <w:b/>
                <w:color w:val="000000"/>
                <w:sz w:val="20"/>
              </w:rPr>
              <w:t>Yield(C)</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5" w:type="dxa"/>
            <w:gridSpan w:val="2"/>
            <w:tcBorders>
              <w:bottom w:val="single" w:sz="12" w:space="0" w:color="000000"/>
            </w:tcBorders>
            <w:tcMar>
              <w:bottom w:w="28" w:type="dxa"/>
            </w:tcMar>
            <w:vAlign w:val="bottom"/>
          </w:tcPr>
          <w:p>
            <w:pPr>
              <w:pStyle w:val="TableContents"/>
              <w:bidi w:val="0"/>
              <w:spacing w:before="0" w:after="0"/>
              <w:jc w:val="center"/>
              <w:rPr>
                <w:b/>
                <w:color w:val="000000"/>
                <w:sz w:val="20"/>
              </w:rPr>
            </w:pPr>
            <w:r>
              <w:rPr>
                <w:b/>
                <w:color w:val="000000"/>
                <w:sz w:val="20"/>
              </w:rPr>
              <w:t>Maturity</w:t>
            </w:r>
          </w:p>
          <w:p>
            <w:pPr>
              <w:pStyle w:val="TableContents"/>
              <w:bidi w:val="0"/>
              <w:spacing w:before="0" w:after="0"/>
              <w:jc w:val="center"/>
              <w:rPr>
                <w:b/>
                <w:color w:val="000000"/>
                <w:sz w:val="20"/>
              </w:rPr>
            </w:pPr>
            <w:r>
              <w:rPr>
                <w:b/>
                <w:color w:val="000000"/>
                <w:sz w:val="20"/>
              </w:rPr>
              <w:t>(Years)</w:t>
            </w:r>
          </w:p>
        </w:tc>
        <w:tc>
          <w:tcPr>
            <w:tcW w:w="79" w:type="dxa"/>
            <w:tcBorders/>
            <w:vAlign w:val="bottom"/>
          </w:tcPr>
          <w:p>
            <w:pPr>
              <w:pStyle w:val="TableContents"/>
              <w:bidi w:val="0"/>
              <w:spacing w:before="0" w:after="283"/>
              <w:jc w:val="left"/>
              <w:rPr/>
            </w:pPr>
            <w:r>
              <w:rPr/>
              <w:t> </w:t>
            </w:r>
          </w:p>
        </w:tc>
      </w:tr>
      <w:tr>
        <w:trPr/>
        <w:tc>
          <w:tcPr>
            <w:tcW w:w="1061" w:type="dxa"/>
            <w:tcBorders/>
            <w:shd w:fill="CCEEFF" w:val="clear"/>
            <w:vAlign w:val="bottom"/>
          </w:tcPr>
          <w:p>
            <w:pPr>
              <w:pStyle w:val="TableContents"/>
              <w:bidi w:val="0"/>
              <w:spacing w:before="0" w:after="0"/>
              <w:ind w:left="144" w:right="0" w:hanging="144"/>
              <w:jc w:val="left"/>
              <w:rPr>
                <w:b/>
                <w:color w:val="000000"/>
                <w:sz w:val="20"/>
              </w:rPr>
            </w:pPr>
            <w:r>
              <w:rPr>
                <w:b/>
                <w:color w:val="000000"/>
                <w:sz w:val="20"/>
              </w:rPr>
              <w:t>RMBS, available-for-sale, measured at fair value through OCI</w:t>
            </w:r>
          </w:p>
        </w:tc>
        <w:tc>
          <w:tcPr>
            <w:tcW w:w="60" w:type="dxa"/>
            <w:tcBorders/>
            <w:shd w:fill="CCEEFF" w:val="clear"/>
            <w:vAlign w:val="bottom"/>
          </w:tcPr>
          <w:p>
            <w:pPr>
              <w:pStyle w:val="TableContents"/>
              <w:bidi w:val="0"/>
              <w:spacing w:before="0" w:after="283"/>
              <w:jc w:val="left"/>
              <w:rPr/>
            </w:pPr>
            <w:r>
              <w:rPr/>
              <w:t> </w:t>
            </w:r>
          </w:p>
        </w:tc>
        <w:tc>
          <w:tcPr>
            <w:tcW w:w="970" w:type="dxa"/>
            <w:gridSpan w:val="2"/>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70" w:type="dxa"/>
            <w:gridSpan w:val="2"/>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1" w:type="dxa"/>
            <w:gridSpan w:val="2"/>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5" w:type="dxa"/>
            <w:gridSpan w:val="2"/>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27" w:type="dxa"/>
            <w:gridSpan w:val="2"/>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50" w:type="dxa"/>
            <w:gridSpan w:val="2"/>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gridSpan w:val="2"/>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47" w:type="dxa"/>
            <w:gridSpan w:val="2"/>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5" w:type="dxa"/>
            <w:gridSpan w:val="2"/>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r>
      <w:tr>
        <w:trPr/>
        <w:tc>
          <w:tcPr>
            <w:tcW w:w="1061" w:type="dxa"/>
            <w:tcBorders/>
            <w:vAlign w:val="bottom"/>
          </w:tcPr>
          <w:p>
            <w:pPr>
              <w:pStyle w:val="TableContents"/>
              <w:bidi w:val="0"/>
              <w:spacing w:before="0" w:after="0"/>
              <w:ind w:left="324" w:right="0" w:hanging="144"/>
              <w:jc w:val="left"/>
              <w:rPr>
                <w:color w:val="000000"/>
                <w:sz w:val="20"/>
              </w:rPr>
            </w:pPr>
            <w:r>
              <w:rPr>
                <w:color w:val="000000"/>
                <w:sz w:val="20"/>
              </w:rPr>
              <w:t>Fannie Mae</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sz w:val="20"/>
              </w:rPr>
            </w:pPr>
            <w:r>
              <w:rPr>
                <w:sz w:val="20"/>
              </w:rPr>
              <w:t>$</w:t>
            </w:r>
          </w:p>
        </w:tc>
        <w:tc>
          <w:tcPr>
            <w:tcW w:w="845" w:type="dxa"/>
            <w:tcBorders/>
            <w:vAlign w:val="bottom"/>
          </w:tcPr>
          <w:p>
            <w:pPr>
              <w:pStyle w:val="TableContents"/>
              <w:bidi w:val="0"/>
              <w:spacing w:before="0" w:after="0"/>
              <w:jc w:val="right"/>
              <w:rPr>
                <w:sz w:val="20"/>
              </w:rPr>
            </w:pPr>
            <w:r>
              <w:rPr>
                <w:sz w:val="20"/>
              </w:rPr>
              <w:t>150,782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sz w:val="20"/>
              </w:rPr>
            </w:pPr>
            <w:r>
              <w:rPr>
                <w:sz w:val="20"/>
              </w:rPr>
              <w:t>$</w:t>
            </w:r>
          </w:p>
        </w:tc>
        <w:tc>
          <w:tcPr>
            <w:tcW w:w="845" w:type="dxa"/>
            <w:tcBorders/>
            <w:vAlign w:val="bottom"/>
          </w:tcPr>
          <w:p>
            <w:pPr>
              <w:pStyle w:val="TableContents"/>
              <w:bidi w:val="0"/>
              <w:spacing w:before="0" w:after="0"/>
              <w:jc w:val="right"/>
              <w:rPr>
                <w:sz w:val="20"/>
              </w:rPr>
            </w:pPr>
            <w:r>
              <w:rPr>
                <w:sz w:val="20"/>
              </w:rPr>
              <w:t>110,321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0"/>
              <w:jc w:val="left"/>
              <w:rPr>
                <w:sz w:val="20"/>
              </w:rPr>
            </w:pPr>
            <w:r>
              <w:rPr>
                <w:sz w:val="20"/>
              </w:rPr>
              <w:t>$</w:t>
            </w:r>
          </w:p>
        </w:tc>
        <w:tc>
          <w:tcPr>
            <w:tcW w:w="595" w:type="dxa"/>
            <w:tcBorders/>
            <w:vAlign w:val="bottom"/>
          </w:tcPr>
          <w:p>
            <w:pPr>
              <w:pStyle w:val="TableContents"/>
              <w:bidi w:val="0"/>
              <w:spacing w:before="0" w:after="0"/>
              <w:jc w:val="right"/>
              <w:rPr>
                <w:sz w:val="20"/>
              </w:rPr>
            </w:pPr>
            <w:r>
              <w:rPr>
                <w:sz w:val="20"/>
              </w:rPr>
              <w:t>3,094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0"/>
              <w:jc w:val="left"/>
              <w:rPr>
                <w:sz w:val="20"/>
              </w:rPr>
            </w:pPr>
            <w:r>
              <w:rPr>
                <w:sz w:val="20"/>
              </w:rPr>
              <w:t>$</w:t>
            </w:r>
          </w:p>
        </w:tc>
        <w:tc>
          <w:tcPr>
            <w:tcW w:w="437" w:type="dxa"/>
            <w:tcBorders/>
            <w:vAlign w:val="bottom"/>
          </w:tcPr>
          <w:p>
            <w:pPr>
              <w:pStyle w:val="TableContents"/>
              <w:bidi w:val="0"/>
              <w:spacing w:before="0" w:after="0"/>
              <w:jc w:val="right"/>
              <w:rPr>
                <w:sz w:val="20"/>
              </w:rPr>
            </w:pPr>
            <w:r>
              <w:rPr>
                <w:sz w:val="20"/>
              </w:rPr>
              <w:t>(232</w:t>
            </w:r>
          </w:p>
        </w:tc>
        <w:tc>
          <w:tcPr>
            <w:tcW w:w="80" w:type="dxa"/>
            <w:tcBorders/>
            <w:vAlign w:val="bottom"/>
          </w:tcPr>
          <w:p>
            <w:pPr>
              <w:pStyle w:val="TableContents"/>
              <w:bidi w:val="0"/>
              <w:spacing w:before="0" w:after="0"/>
              <w:jc w:val="left"/>
              <w:rPr>
                <w:sz w:val="20"/>
              </w:rPr>
            </w:pPr>
            <w:r>
              <w:rPr>
                <w:sz w:val="20"/>
              </w:rPr>
              <w:t>)</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0"/>
              <w:jc w:val="left"/>
              <w:rPr>
                <w:sz w:val="20"/>
              </w:rPr>
            </w:pPr>
            <w:r>
              <w:rPr>
                <w:sz w:val="20"/>
              </w:rPr>
              <w:t>$</w:t>
            </w:r>
          </w:p>
        </w:tc>
        <w:tc>
          <w:tcPr>
            <w:tcW w:w="895" w:type="dxa"/>
            <w:tcBorders/>
            <w:vAlign w:val="bottom"/>
          </w:tcPr>
          <w:p>
            <w:pPr>
              <w:pStyle w:val="TableContents"/>
              <w:bidi w:val="0"/>
              <w:spacing w:before="0" w:after="0"/>
              <w:jc w:val="right"/>
              <w:rPr>
                <w:sz w:val="20"/>
              </w:rPr>
            </w:pPr>
            <w:r>
              <w:rPr>
                <w:sz w:val="20"/>
              </w:rPr>
              <w:t>113,183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722" w:type="dxa"/>
            <w:tcBorders/>
            <w:vAlign w:val="bottom"/>
          </w:tcPr>
          <w:p>
            <w:pPr>
              <w:pStyle w:val="TableContents"/>
              <w:bidi w:val="0"/>
              <w:spacing w:before="0" w:after="0"/>
              <w:jc w:val="right"/>
              <w:rPr>
                <w:sz w:val="20"/>
              </w:rPr>
            </w:pPr>
            <w:r>
              <w:rPr>
                <w:sz w:val="20"/>
              </w:rPr>
              <w:t>10</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center"/>
              <w:rPr>
                <w:sz w:val="20"/>
              </w:rPr>
            </w:pPr>
            <w:r>
              <w:rPr>
                <w:sz w:val="20"/>
              </w:rPr>
              <w:t>(B)</w:t>
            </w:r>
          </w:p>
        </w:tc>
        <w:tc>
          <w:tcPr>
            <w:tcW w:w="60"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0"/>
              <w:jc w:val="right"/>
              <w:rPr>
                <w:sz w:val="20"/>
              </w:rPr>
            </w:pPr>
            <w:r>
              <w:rPr>
                <w:sz w:val="20"/>
              </w:rPr>
              <w:t>4.67</w:t>
            </w:r>
          </w:p>
        </w:tc>
        <w:tc>
          <w:tcPr>
            <w:tcW w:w="215" w:type="dxa"/>
            <w:tcBorders/>
            <w:vAlign w:val="bottom"/>
          </w:tcPr>
          <w:p>
            <w:pPr>
              <w:pStyle w:val="TableContents"/>
              <w:bidi w:val="0"/>
              <w:spacing w:before="0" w:after="0"/>
              <w:jc w:val="left"/>
              <w:rPr>
                <w:color w:val="000000"/>
                <w:sz w:val="20"/>
              </w:rPr>
            </w:pPr>
            <w:r>
              <w:rPr>
                <w:color w:val="000000"/>
                <w:sz w:val="20"/>
              </w:rPr>
              <w:t>%</w:t>
            </w:r>
          </w:p>
        </w:tc>
        <w:tc>
          <w:tcPr>
            <w:tcW w:w="6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473" w:type="dxa"/>
            <w:tcBorders/>
            <w:vAlign w:val="bottom"/>
          </w:tcPr>
          <w:p>
            <w:pPr>
              <w:pStyle w:val="TableContents"/>
              <w:bidi w:val="0"/>
              <w:spacing w:before="0" w:after="0"/>
              <w:jc w:val="right"/>
              <w:rPr>
                <w:sz w:val="20"/>
              </w:rPr>
            </w:pPr>
            <w:r>
              <w:rPr>
                <w:sz w:val="20"/>
              </w:rPr>
              <w:t>4.83</w:t>
            </w:r>
          </w:p>
        </w:tc>
        <w:tc>
          <w:tcPr>
            <w:tcW w:w="215" w:type="dxa"/>
            <w:tcBorders/>
            <w:vAlign w:val="bottom"/>
          </w:tcPr>
          <w:p>
            <w:pPr>
              <w:pStyle w:val="TableContents"/>
              <w:bidi w:val="0"/>
              <w:spacing w:before="0" w:after="0"/>
              <w:jc w:val="left"/>
              <w:rPr>
                <w:color w:val="000000"/>
                <w:sz w:val="20"/>
              </w:rPr>
            </w:pPr>
            <w:r>
              <w:rPr>
                <w:color w:val="000000"/>
                <w:sz w:val="20"/>
              </w:rPr>
              <w:t>%</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623" w:type="dxa"/>
            <w:tcBorders/>
            <w:vAlign w:val="bottom"/>
          </w:tcPr>
          <w:p>
            <w:pPr>
              <w:pStyle w:val="TableContents"/>
              <w:bidi w:val="0"/>
              <w:spacing w:before="0" w:after="0"/>
              <w:jc w:val="right"/>
              <w:rPr>
                <w:sz w:val="20"/>
              </w:rPr>
            </w:pPr>
            <w:r>
              <w:rPr>
                <w:sz w:val="20"/>
              </w:rPr>
              <w:t>26</w:t>
            </w:r>
          </w:p>
        </w:tc>
        <w:tc>
          <w:tcPr>
            <w:tcW w:w="79" w:type="dxa"/>
            <w:tcBorders/>
            <w:vAlign w:val="bottom"/>
          </w:tcPr>
          <w:p>
            <w:pPr>
              <w:pStyle w:val="TableContents"/>
              <w:bidi w:val="0"/>
              <w:spacing w:before="0" w:after="283"/>
              <w:jc w:val="left"/>
              <w:rPr/>
            </w:pPr>
            <w:r>
              <w:rPr/>
              <w:t> </w:t>
            </w:r>
          </w:p>
        </w:tc>
      </w:tr>
      <w:tr>
        <w:trPr/>
        <w:tc>
          <w:tcPr>
            <w:tcW w:w="1061" w:type="dxa"/>
            <w:tcBorders/>
            <w:shd w:fill="CCEEFF" w:val="clear"/>
            <w:vAlign w:val="bottom"/>
          </w:tcPr>
          <w:p>
            <w:pPr>
              <w:pStyle w:val="TableContents"/>
              <w:bidi w:val="0"/>
              <w:spacing w:before="0" w:after="0"/>
              <w:ind w:left="324" w:right="0" w:hanging="144"/>
              <w:jc w:val="left"/>
              <w:rPr>
                <w:color w:val="000000"/>
                <w:sz w:val="20"/>
              </w:rPr>
            </w:pPr>
            <w:r>
              <w:rPr>
                <w:color w:val="000000"/>
                <w:sz w:val="20"/>
              </w:rPr>
              <w:t>Freddie Mac</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sz w:val="20"/>
              </w:rPr>
            </w:pPr>
            <w:r>
              <w:rPr>
                <w:sz w:val="20"/>
              </w:rPr>
              <w:t>125,240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sz w:val="20"/>
              </w:rPr>
            </w:pPr>
            <w:r>
              <w:rPr>
                <w:sz w:val="20"/>
              </w:rPr>
              <w:t>92,829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595" w:type="dxa"/>
            <w:tcBorders/>
            <w:shd w:fill="CCEEFF" w:val="clear"/>
            <w:vAlign w:val="bottom"/>
          </w:tcPr>
          <w:p>
            <w:pPr>
              <w:pStyle w:val="TableContents"/>
              <w:bidi w:val="0"/>
              <w:spacing w:before="0" w:after="0"/>
              <w:jc w:val="right"/>
              <w:rPr>
                <w:sz w:val="20"/>
              </w:rPr>
            </w:pPr>
            <w:r>
              <w:rPr>
                <w:sz w:val="20"/>
              </w:rPr>
              <w:t>1,149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0"/>
              <w:jc w:val="right"/>
              <w:rPr>
                <w:sz w:val="20"/>
              </w:rPr>
            </w:pPr>
            <w:r>
              <w:rPr>
                <w:sz w:val="20"/>
              </w:rPr>
              <w:t>(259</w:t>
            </w:r>
          </w:p>
        </w:tc>
        <w:tc>
          <w:tcPr>
            <w:tcW w:w="80" w:type="dxa"/>
            <w:tcBorders/>
            <w:shd w:fill="CCEEFF" w:val="clear"/>
            <w:vAlign w:val="bottom"/>
          </w:tcPr>
          <w:p>
            <w:pPr>
              <w:pStyle w:val="TableContents"/>
              <w:bidi w:val="0"/>
              <w:spacing w:before="0" w:after="0"/>
              <w:jc w:val="left"/>
              <w:rPr>
                <w:sz w:val="20"/>
              </w:rPr>
            </w:pPr>
            <w:r>
              <w:rPr>
                <w:sz w:val="20"/>
              </w:rPr>
              <w:t>)</w:t>
            </w:r>
          </w:p>
        </w:tc>
        <w:tc>
          <w:tcPr>
            <w:tcW w:w="6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895" w:type="dxa"/>
            <w:tcBorders/>
            <w:shd w:fill="CCEEFF" w:val="clear"/>
            <w:vAlign w:val="bottom"/>
          </w:tcPr>
          <w:p>
            <w:pPr>
              <w:pStyle w:val="TableContents"/>
              <w:bidi w:val="0"/>
              <w:spacing w:before="0" w:after="0"/>
              <w:jc w:val="right"/>
              <w:rPr>
                <w:sz w:val="20"/>
              </w:rPr>
            </w:pPr>
            <w:r>
              <w:rPr>
                <w:sz w:val="20"/>
              </w:rPr>
              <w:t>93,719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722" w:type="dxa"/>
            <w:tcBorders/>
            <w:shd w:fill="CCEEFF" w:val="clear"/>
            <w:vAlign w:val="bottom"/>
          </w:tcPr>
          <w:p>
            <w:pPr>
              <w:pStyle w:val="TableContents"/>
              <w:bidi w:val="0"/>
              <w:spacing w:before="0" w:after="0"/>
              <w:jc w:val="right"/>
              <w:rPr>
                <w:sz w:val="20"/>
              </w:rPr>
            </w:pPr>
            <w:r>
              <w:rPr>
                <w:sz w:val="20"/>
              </w:rPr>
              <w:t>10</w:t>
            </w:r>
          </w:p>
        </w:tc>
        <w:tc>
          <w:tcPr>
            <w:tcW w:w="6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center"/>
              <w:rPr>
                <w:sz w:val="20"/>
              </w:rPr>
            </w:pPr>
            <w:r>
              <w:rPr>
                <w:sz w:val="20"/>
              </w:rPr>
              <w:t>(B)</w:t>
            </w:r>
          </w:p>
        </w:tc>
        <w:tc>
          <w:tcPr>
            <w:tcW w:w="60"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588" w:type="dxa"/>
            <w:tcBorders/>
            <w:shd w:fill="CCEEFF" w:val="clear"/>
            <w:vAlign w:val="bottom"/>
          </w:tcPr>
          <w:p>
            <w:pPr>
              <w:pStyle w:val="TableContents"/>
              <w:bidi w:val="0"/>
              <w:spacing w:before="0" w:after="0"/>
              <w:jc w:val="right"/>
              <w:rPr>
                <w:sz w:val="20"/>
              </w:rPr>
            </w:pPr>
            <w:r>
              <w:rPr>
                <w:sz w:val="20"/>
              </w:rPr>
              <w:t>4.67</w:t>
            </w:r>
          </w:p>
        </w:tc>
        <w:tc>
          <w:tcPr>
            <w:tcW w:w="215" w:type="dxa"/>
            <w:tcBorders/>
            <w:shd w:fill="CCEEFF" w:val="clear"/>
            <w:vAlign w:val="bottom"/>
          </w:tcPr>
          <w:p>
            <w:pPr>
              <w:pStyle w:val="TableContents"/>
              <w:bidi w:val="0"/>
              <w:spacing w:before="0" w:after="0"/>
              <w:jc w:val="left"/>
              <w:rPr>
                <w:color w:val="000000"/>
                <w:sz w:val="20"/>
              </w:rPr>
            </w:pPr>
            <w:r>
              <w:rPr>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473" w:type="dxa"/>
            <w:tcBorders/>
            <w:shd w:fill="CCEEFF" w:val="clear"/>
            <w:vAlign w:val="bottom"/>
          </w:tcPr>
          <w:p>
            <w:pPr>
              <w:pStyle w:val="TableContents"/>
              <w:bidi w:val="0"/>
              <w:spacing w:before="0" w:after="0"/>
              <w:jc w:val="right"/>
              <w:rPr>
                <w:sz w:val="20"/>
              </w:rPr>
            </w:pPr>
            <w:r>
              <w:rPr>
                <w:sz w:val="20"/>
              </w:rPr>
              <w:t>4.76</w:t>
            </w:r>
          </w:p>
        </w:tc>
        <w:tc>
          <w:tcPr>
            <w:tcW w:w="215" w:type="dxa"/>
            <w:tcBorders/>
            <w:shd w:fill="CCEEFF" w:val="clear"/>
            <w:vAlign w:val="bottom"/>
          </w:tcPr>
          <w:p>
            <w:pPr>
              <w:pStyle w:val="TableContents"/>
              <w:bidi w:val="0"/>
              <w:spacing w:before="0" w:after="0"/>
              <w:jc w:val="left"/>
              <w:rPr>
                <w:color w:val="000000"/>
                <w:sz w:val="20"/>
              </w:rPr>
            </w:pPr>
            <w:r>
              <w:rPr>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623" w:type="dxa"/>
            <w:tcBorders/>
            <w:shd w:fill="CCEEFF" w:val="clear"/>
            <w:vAlign w:val="bottom"/>
          </w:tcPr>
          <w:p>
            <w:pPr>
              <w:pStyle w:val="TableContents"/>
              <w:bidi w:val="0"/>
              <w:spacing w:before="0" w:after="0"/>
              <w:jc w:val="right"/>
              <w:rPr>
                <w:sz w:val="20"/>
              </w:rPr>
            </w:pPr>
            <w:r>
              <w:rPr>
                <w:sz w:val="20"/>
              </w:rPr>
              <w:t>26</w:t>
            </w:r>
          </w:p>
        </w:tc>
        <w:tc>
          <w:tcPr>
            <w:tcW w:w="79" w:type="dxa"/>
            <w:tcBorders/>
            <w:shd w:fill="CCEEFF" w:val="clear"/>
            <w:vAlign w:val="bottom"/>
          </w:tcPr>
          <w:p>
            <w:pPr>
              <w:pStyle w:val="TableContents"/>
              <w:bidi w:val="0"/>
              <w:spacing w:before="0" w:after="283"/>
              <w:jc w:val="left"/>
              <w:rPr/>
            </w:pPr>
            <w:r>
              <w:rPr/>
              <w:t> </w:t>
            </w:r>
          </w:p>
        </w:tc>
      </w:tr>
      <w:tr>
        <w:trPr/>
        <w:tc>
          <w:tcPr>
            <w:tcW w:w="1061" w:type="dxa"/>
            <w:tcBorders/>
            <w:vAlign w:val="bottom"/>
          </w:tcPr>
          <w:p>
            <w:pPr>
              <w:pStyle w:val="TableContents"/>
              <w:bidi w:val="0"/>
              <w:spacing w:before="0" w:after="0"/>
              <w:ind w:left="144" w:right="0" w:hanging="144"/>
              <w:jc w:val="left"/>
              <w:rPr>
                <w:b/>
                <w:color w:val="000000"/>
                <w:sz w:val="20"/>
              </w:rPr>
            </w:pPr>
            <w:r>
              <w:rPr>
                <w:b/>
                <w:color w:val="000000"/>
                <w:sz w:val="20"/>
              </w:rPr>
              <w:t>RMBS, measured at fair value through earnings</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59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89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72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588"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473"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623" w:type="dxa"/>
            <w:tcBorders/>
            <w:vAlign w:val="bottom"/>
          </w:tcPr>
          <w:p>
            <w:pPr>
              <w:pStyle w:val="TableContents"/>
              <w:bidi w:val="0"/>
              <w:spacing w:before="0" w:after="283"/>
              <w:jc w:val="right"/>
              <w:rPr/>
            </w:pPr>
            <w:r>
              <w:rPr/>
              <w:t> </w:t>
            </w:r>
          </w:p>
        </w:tc>
        <w:tc>
          <w:tcPr>
            <w:tcW w:w="79" w:type="dxa"/>
            <w:tcBorders/>
            <w:vAlign w:val="bottom"/>
          </w:tcPr>
          <w:p>
            <w:pPr>
              <w:pStyle w:val="TableContents"/>
              <w:bidi w:val="0"/>
              <w:spacing w:before="0" w:after="283"/>
              <w:jc w:val="left"/>
              <w:rPr/>
            </w:pPr>
            <w:r>
              <w:rPr/>
              <w:t> </w:t>
            </w:r>
          </w:p>
        </w:tc>
      </w:tr>
      <w:tr>
        <w:trPr/>
        <w:tc>
          <w:tcPr>
            <w:tcW w:w="1061" w:type="dxa"/>
            <w:tcBorders/>
            <w:shd w:fill="CCEEFF" w:val="clear"/>
            <w:vAlign w:val="bottom"/>
          </w:tcPr>
          <w:p>
            <w:pPr>
              <w:pStyle w:val="TableContents"/>
              <w:bidi w:val="0"/>
              <w:spacing w:before="0" w:after="0"/>
              <w:ind w:left="324" w:right="0" w:hanging="144"/>
              <w:jc w:val="left"/>
              <w:rPr>
                <w:color w:val="000000"/>
                <w:sz w:val="20"/>
              </w:rPr>
            </w:pPr>
            <w:r>
              <w:rPr>
                <w:color w:val="000000"/>
                <w:sz w:val="20"/>
              </w:rPr>
              <w:t>Fannie Mae</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sz w:val="20"/>
              </w:rPr>
            </w:pPr>
            <w:r>
              <w:rPr>
                <w:sz w:val="20"/>
              </w:rPr>
              <w:t>469,667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sz w:val="20"/>
              </w:rPr>
            </w:pPr>
            <w:r>
              <w:rPr>
                <w:sz w:val="20"/>
              </w:rPr>
              <w:t>408,260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595" w:type="dxa"/>
            <w:tcBorders/>
            <w:shd w:fill="CCEEFF" w:val="clear"/>
            <w:vAlign w:val="bottom"/>
          </w:tcPr>
          <w:p>
            <w:pPr>
              <w:pStyle w:val="TableContents"/>
              <w:bidi w:val="0"/>
              <w:spacing w:before="0" w:after="0"/>
              <w:jc w:val="right"/>
              <w:rPr>
                <w:sz w:val="20"/>
              </w:rPr>
            </w:pPr>
            <w:r>
              <w:rPr>
                <w:sz w:val="20"/>
              </w:rPr>
              <w:t>10,506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0"/>
              <w:jc w:val="right"/>
              <w:rPr>
                <w:sz w:val="20"/>
              </w:rPr>
            </w:pPr>
            <w:r>
              <w:rPr>
                <w:sz w:val="20"/>
              </w:rPr>
              <w:t>(121</w:t>
            </w:r>
          </w:p>
        </w:tc>
        <w:tc>
          <w:tcPr>
            <w:tcW w:w="80" w:type="dxa"/>
            <w:tcBorders/>
            <w:shd w:fill="CCEEFF" w:val="clear"/>
            <w:vAlign w:val="bottom"/>
          </w:tcPr>
          <w:p>
            <w:pPr>
              <w:pStyle w:val="TableContents"/>
              <w:bidi w:val="0"/>
              <w:spacing w:before="0" w:after="0"/>
              <w:jc w:val="left"/>
              <w:rPr>
                <w:sz w:val="20"/>
              </w:rPr>
            </w:pPr>
            <w:r>
              <w:rPr>
                <w:sz w:val="20"/>
              </w:rPr>
              <w:t>)</w:t>
            </w:r>
          </w:p>
        </w:tc>
        <w:tc>
          <w:tcPr>
            <w:tcW w:w="6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895" w:type="dxa"/>
            <w:tcBorders/>
            <w:shd w:fill="CCEEFF" w:val="clear"/>
            <w:vAlign w:val="bottom"/>
          </w:tcPr>
          <w:p>
            <w:pPr>
              <w:pStyle w:val="TableContents"/>
              <w:bidi w:val="0"/>
              <w:spacing w:before="0" w:after="0"/>
              <w:jc w:val="right"/>
              <w:rPr>
                <w:sz w:val="20"/>
              </w:rPr>
            </w:pPr>
            <w:r>
              <w:rPr>
                <w:sz w:val="20"/>
              </w:rPr>
              <w:t>418,645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722" w:type="dxa"/>
            <w:tcBorders/>
            <w:shd w:fill="CCEEFF" w:val="clear"/>
            <w:vAlign w:val="bottom"/>
          </w:tcPr>
          <w:p>
            <w:pPr>
              <w:pStyle w:val="TableContents"/>
              <w:bidi w:val="0"/>
              <w:spacing w:before="0" w:after="0"/>
              <w:jc w:val="right"/>
              <w:rPr>
                <w:sz w:val="20"/>
              </w:rPr>
            </w:pPr>
            <w:r>
              <w:rPr>
                <w:sz w:val="20"/>
              </w:rPr>
              <w:t>35</w:t>
            </w:r>
          </w:p>
        </w:tc>
        <w:tc>
          <w:tcPr>
            <w:tcW w:w="6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center"/>
              <w:rPr>
                <w:sz w:val="20"/>
              </w:rPr>
            </w:pPr>
            <w:r>
              <w:rPr>
                <w:sz w:val="20"/>
              </w:rPr>
              <w:t>(B)</w:t>
            </w:r>
          </w:p>
        </w:tc>
        <w:tc>
          <w:tcPr>
            <w:tcW w:w="60"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588" w:type="dxa"/>
            <w:tcBorders/>
            <w:shd w:fill="CCEEFF" w:val="clear"/>
            <w:vAlign w:val="bottom"/>
          </w:tcPr>
          <w:p>
            <w:pPr>
              <w:pStyle w:val="TableContents"/>
              <w:bidi w:val="0"/>
              <w:spacing w:before="0" w:after="0"/>
              <w:jc w:val="right"/>
              <w:rPr>
                <w:sz w:val="20"/>
              </w:rPr>
            </w:pPr>
            <w:r>
              <w:rPr>
                <w:sz w:val="20"/>
              </w:rPr>
              <w:t>5.04</w:t>
            </w:r>
          </w:p>
        </w:tc>
        <w:tc>
          <w:tcPr>
            <w:tcW w:w="215" w:type="dxa"/>
            <w:tcBorders/>
            <w:shd w:fill="CCEEFF" w:val="clear"/>
            <w:vAlign w:val="bottom"/>
          </w:tcPr>
          <w:p>
            <w:pPr>
              <w:pStyle w:val="TableContents"/>
              <w:bidi w:val="0"/>
              <w:spacing w:before="0" w:after="0"/>
              <w:jc w:val="left"/>
              <w:rPr>
                <w:color w:val="000000"/>
                <w:sz w:val="20"/>
              </w:rPr>
            </w:pPr>
            <w:r>
              <w:rPr>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473" w:type="dxa"/>
            <w:tcBorders/>
            <w:shd w:fill="CCEEFF" w:val="clear"/>
            <w:vAlign w:val="bottom"/>
          </w:tcPr>
          <w:p>
            <w:pPr>
              <w:pStyle w:val="TableContents"/>
              <w:bidi w:val="0"/>
              <w:spacing w:before="0" w:after="0"/>
              <w:jc w:val="right"/>
              <w:rPr>
                <w:sz w:val="20"/>
              </w:rPr>
            </w:pPr>
            <w:r>
              <w:rPr>
                <w:sz w:val="20"/>
              </w:rPr>
              <w:t>5.14</w:t>
            </w:r>
          </w:p>
        </w:tc>
        <w:tc>
          <w:tcPr>
            <w:tcW w:w="215" w:type="dxa"/>
            <w:tcBorders/>
            <w:shd w:fill="CCEEFF" w:val="clear"/>
            <w:vAlign w:val="bottom"/>
          </w:tcPr>
          <w:p>
            <w:pPr>
              <w:pStyle w:val="TableContents"/>
              <w:bidi w:val="0"/>
              <w:spacing w:before="0" w:after="0"/>
              <w:jc w:val="left"/>
              <w:rPr>
                <w:color w:val="000000"/>
                <w:sz w:val="20"/>
              </w:rPr>
            </w:pPr>
            <w:r>
              <w:rPr>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623" w:type="dxa"/>
            <w:tcBorders/>
            <w:shd w:fill="CCEEFF" w:val="clear"/>
            <w:vAlign w:val="bottom"/>
          </w:tcPr>
          <w:p>
            <w:pPr>
              <w:pStyle w:val="TableContents"/>
              <w:bidi w:val="0"/>
              <w:spacing w:before="0" w:after="0"/>
              <w:jc w:val="right"/>
              <w:rPr>
                <w:sz w:val="20"/>
              </w:rPr>
            </w:pPr>
            <w:r>
              <w:rPr>
                <w:sz w:val="20"/>
              </w:rPr>
              <w:t>28</w:t>
            </w:r>
          </w:p>
        </w:tc>
        <w:tc>
          <w:tcPr>
            <w:tcW w:w="79" w:type="dxa"/>
            <w:tcBorders/>
            <w:shd w:fill="CCEEFF" w:val="clear"/>
            <w:vAlign w:val="bottom"/>
          </w:tcPr>
          <w:p>
            <w:pPr>
              <w:pStyle w:val="TableContents"/>
              <w:bidi w:val="0"/>
              <w:spacing w:before="0" w:after="283"/>
              <w:jc w:val="left"/>
              <w:rPr/>
            </w:pPr>
            <w:r>
              <w:rPr/>
              <w:t> </w:t>
            </w:r>
          </w:p>
        </w:tc>
      </w:tr>
      <w:tr>
        <w:trPr/>
        <w:tc>
          <w:tcPr>
            <w:tcW w:w="1061" w:type="dxa"/>
            <w:tcBorders/>
            <w:vAlign w:val="bottom"/>
          </w:tcPr>
          <w:p>
            <w:pPr>
              <w:pStyle w:val="TableContents"/>
              <w:bidi w:val="0"/>
              <w:spacing w:before="0" w:after="0"/>
              <w:ind w:left="324" w:right="0" w:hanging="144"/>
              <w:jc w:val="left"/>
              <w:rPr>
                <w:color w:val="000000"/>
                <w:sz w:val="20"/>
              </w:rPr>
            </w:pPr>
            <w:r>
              <w:rPr>
                <w:color w:val="000000"/>
                <w:sz w:val="20"/>
              </w:rPr>
              <w:t>Freddie Mac</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0"/>
              <w:jc w:val="right"/>
              <w:rPr>
                <w:sz w:val="20"/>
              </w:rPr>
            </w:pPr>
            <w:r>
              <w:rPr>
                <w:sz w:val="20"/>
              </w:rPr>
              <w:t>676,854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0"/>
              <w:jc w:val="right"/>
              <w:rPr>
                <w:sz w:val="20"/>
              </w:rPr>
            </w:pPr>
            <w:r>
              <w:rPr>
                <w:sz w:val="20"/>
              </w:rPr>
              <w:t>572,802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6" w:type="dxa"/>
            <w:tcBorders>
              <w:bottom w:val="single" w:sz="12" w:space="0" w:color="000000"/>
            </w:tcBorders>
            <w:tcMar>
              <w:bottom w:w="28" w:type="dxa"/>
            </w:tcMar>
            <w:vAlign w:val="bottom"/>
          </w:tcPr>
          <w:p>
            <w:pPr>
              <w:pStyle w:val="TableContents"/>
              <w:bidi w:val="0"/>
              <w:spacing w:before="0" w:after="283"/>
              <w:jc w:val="left"/>
              <w:rPr/>
            </w:pPr>
            <w:r>
              <w:rPr/>
              <w:t> </w:t>
            </w:r>
          </w:p>
        </w:tc>
        <w:tc>
          <w:tcPr>
            <w:tcW w:w="595" w:type="dxa"/>
            <w:tcBorders>
              <w:bottom w:val="single" w:sz="12" w:space="0" w:color="000000"/>
            </w:tcBorders>
            <w:tcMar>
              <w:bottom w:w="28" w:type="dxa"/>
            </w:tcMar>
            <w:vAlign w:val="bottom"/>
          </w:tcPr>
          <w:p>
            <w:pPr>
              <w:pStyle w:val="TableContents"/>
              <w:bidi w:val="0"/>
              <w:spacing w:before="0" w:after="0"/>
              <w:jc w:val="right"/>
              <w:rPr>
                <w:sz w:val="20"/>
              </w:rPr>
            </w:pPr>
            <w:r>
              <w:rPr>
                <w:sz w:val="20"/>
              </w:rPr>
              <w:t>15,578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8" w:type="dxa"/>
            <w:tcBorders>
              <w:bottom w:val="single" w:sz="12" w:space="0" w:color="000000"/>
            </w:tcBorders>
            <w:tcMar>
              <w:bottom w:w="28" w:type="dxa"/>
            </w:tcMar>
            <w:vAlign w:val="bottom"/>
          </w:tcPr>
          <w:p>
            <w:pPr>
              <w:pStyle w:val="TableContents"/>
              <w:bidi w:val="0"/>
              <w:spacing w:before="0" w:after="283"/>
              <w:jc w:val="left"/>
              <w:rPr/>
            </w:pPr>
            <w:r>
              <w:rPr/>
              <w:t> </w:t>
            </w:r>
          </w:p>
        </w:tc>
        <w:tc>
          <w:tcPr>
            <w:tcW w:w="437" w:type="dxa"/>
            <w:tcBorders>
              <w:bottom w:val="single" w:sz="12" w:space="0" w:color="000000"/>
            </w:tcBorders>
            <w:tcMar>
              <w:bottom w:w="28" w:type="dxa"/>
            </w:tcMar>
            <w:vAlign w:val="bottom"/>
          </w:tcPr>
          <w:p>
            <w:pPr>
              <w:pStyle w:val="TableContents"/>
              <w:bidi w:val="0"/>
              <w:spacing w:before="0" w:after="0"/>
              <w:jc w:val="right"/>
              <w:rPr>
                <w:sz w:val="20"/>
              </w:rPr>
            </w:pPr>
            <w:r>
              <w:rPr>
                <w:sz w:val="20"/>
              </w:rPr>
              <w:t>(76</w:t>
            </w:r>
          </w:p>
        </w:tc>
        <w:tc>
          <w:tcPr>
            <w:tcW w:w="80" w:type="dxa"/>
            <w:tcBorders/>
            <w:vAlign w:val="bottom"/>
          </w:tcPr>
          <w:p>
            <w:pPr>
              <w:pStyle w:val="TableContents"/>
              <w:bidi w:val="0"/>
              <w:spacing w:before="0" w:after="0"/>
              <w:jc w:val="left"/>
              <w:rPr>
                <w:sz w:val="20"/>
              </w:rPr>
            </w:pPr>
            <w:r>
              <w:rPr>
                <w:sz w:val="20"/>
              </w:rPr>
              <w:t>)</w:t>
            </w:r>
          </w:p>
        </w:tc>
        <w:tc>
          <w:tcPr>
            <w:tcW w:w="60" w:type="dxa"/>
            <w:tcBorders/>
            <w:vAlign w:val="bottom"/>
          </w:tcPr>
          <w:p>
            <w:pPr>
              <w:pStyle w:val="TableContents"/>
              <w:bidi w:val="0"/>
              <w:spacing w:before="0" w:after="283"/>
              <w:jc w:val="left"/>
              <w:rPr/>
            </w:pPr>
            <w:r>
              <w:rPr/>
              <w:t> </w:t>
            </w:r>
          </w:p>
        </w:tc>
        <w:tc>
          <w:tcPr>
            <w:tcW w:w="132" w:type="dxa"/>
            <w:tcBorders>
              <w:bottom w:val="single" w:sz="12" w:space="0" w:color="000000"/>
            </w:tcBorders>
            <w:tcMar>
              <w:bottom w:w="28" w:type="dxa"/>
            </w:tcMar>
            <w:vAlign w:val="bottom"/>
          </w:tcPr>
          <w:p>
            <w:pPr>
              <w:pStyle w:val="TableContents"/>
              <w:bidi w:val="0"/>
              <w:spacing w:before="0" w:after="283"/>
              <w:jc w:val="left"/>
              <w:rPr/>
            </w:pPr>
            <w:r>
              <w:rPr/>
              <w:t> </w:t>
            </w:r>
          </w:p>
        </w:tc>
        <w:tc>
          <w:tcPr>
            <w:tcW w:w="895" w:type="dxa"/>
            <w:tcBorders>
              <w:bottom w:val="single" w:sz="12" w:space="0" w:color="000000"/>
            </w:tcBorders>
            <w:tcMar>
              <w:bottom w:w="28" w:type="dxa"/>
            </w:tcMar>
            <w:vAlign w:val="bottom"/>
          </w:tcPr>
          <w:p>
            <w:pPr>
              <w:pStyle w:val="TableContents"/>
              <w:bidi w:val="0"/>
              <w:spacing w:before="0" w:after="0"/>
              <w:jc w:val="right"/>
              <w:rPr>
                <w:sz w:val="20"/>
              </w:rPr>
            </w:pPr>
            <w:r>
              <w:rPr>
                <w:sz w:val="20"/>
              </w:rPr>
              <w:t>588,304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8" w:type="dxa"/>
            <w:tcBorders>
              <w:bottom w:val="single" w:sz="12" w:space="0" w:color="000000"/>
            </w:tcBorders>
            <w:tcMar>
              <w:bottom w:w="28" w:type="dxa"/>
            </w:tcMar>
            <w:vAlign w:val="bottom"/>
          </w:tcPr>
          <w:p>
            <w:pPr>
              <w:pStyle w:val="TableContents"/>
              <w:bidi w:val="0"/>
              <w:spacing w:before="0" w:after="283"/>
              <w:jc w:val="left"/>
              <w:rPr/>
            </w:pPr>
            <w:r>
              <w:rPr/>
              <w:t> </w:t>
            </w:r>
          </w:p>
        </w:tc>
        <w:tc>
          <w:tcPr>
            <w:tcW w:w="722" w:type="dxa"/>
            <w:tcBorders>
              <w:bottom w:val="single" w:sz="12" w:space="0" w:color="000000"/>
            </w:tcBorders>
            <w:tcMar>
              <w:bottom w:w="28" w:type="dxa"/>
            </w:tcMar>
            <w:vAlign w:val="bottom"/>
          </w:tcPr>
          <w:p>
            <w:pPr>
              <w:pStyle w:val="TableContents"/>
              <w:bidi w:val="0"/>
              <w:spacing w:before="0" w:after="0"/>
              <w:jc w:val="right"/>
              <w:rPr>
                <w:sz w:val="20"/>
              </w:rPr>
            </w:pPr>
            <w:r>
              <w:rPr>
                <w:sz w:val="20"/>
              </w:rPr>
              <w:t>52</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center"/>
              <w:rPr>
                <w:sz w:val="20"/>
              </w:rPr>
            </w:pPr>
            <w:r>
              <w:rPr>
                <w:sz w:val="20"/>
              </w:rPr>
              <w:t>(B)</w:t>
            </w:r>
          </w:p>
        </w:tc>
        <w:tc>
          <w:tcPr>
            <w:tcW w:w="60" w:type="dxa"/>
            <w:tcBorders/>
            <w:vAlign w:val="bottom"/>
          </w:tcPr>
          <w:p>
            <w:pPr>
              <w:pStyle w:val="TableContents"/>
              <w:bidi w:val="0"/>
              <w:spacing w:before="0" w:after="283"/>
              <w:jc w:val="left"/>
              <w:rPr/>
            </w:pPr>
            <w:r>
              <w:rPr/>
              <w:t> </w:t>
            </w:r>
          </w:p>
        </w:tc>
        <w:tc>
          <w:tcPr>
            <w:tcW w:w="92" w:type="dxa"/>
            <w:tcBorders>
              <w:bottom w:val="single" w:sz="12" w:space="0" w:color="000000"/>
            </w:tcBorders>
            <w:tcMar>
              <w:bottom w:w="28" w:type="dxa"/>
            </w:tcMar>
            <w:vAlign w:val="bottom"/>
          </w:tcPr>
          <w:p>
            <w:pPr>
              <w:pStyle w:val="TableContents"/>
              <w:bidi w:val="0"/>
              <w:spacing w:before="0" w:after="283"/>
              <w:jc w:val="left"/>
              <w:rPr/>
            </w:pPr>
            <w:r>
              <w:rPr/>
              <w:t> </w:t>
            </w:r>
          </w:p>
        </w:tc>
        <w:tc>
          <w:tcPr>
            <w:tcW w:w="588" w:type="dxa"/>
            <w:tcBorders>
              <w:bottom w:val="single" w:sz="12" w:space="0" w:color="000000"/>
            </w:tcBorders>
            <w:tcMar>
              <w:bottom w:w="28" w:type="dxa"/>
            </w:tcMar>
            <w:vAlign w:val="bottom"/>
          </w:tcPr>
          <w:p>
            <w:pPr>
              <w:pStyle w:val="TableContents"/>
              <w:bidi w:val="0"/>
              <w:spacing w:before="0" w:after="0"/>
              <w:jc w:val="right"/>
              <w:rPr>
                <w:sz w:val="20"/>
              </w:rPr>
            </w:pPr>
            <w:r>
              <w:rPr>
                <w:sz w:val="20"/>
              </w:rPr>
              <w:t>5.05</w:t>
            </w:r>
          </w:p>
        </w:tc>
        <w:tc>
          <w:tcPr>
            <w:tcW w:w="215" w:type="dxa"/>
            <w:tcBorders/>
            <w:vAlign w:val="bottom"/>
          </w:tcPr>
          <w:p>
            <w:pPr>
              <w:pStyle w:val="TableContents"/>
              <w:bidi w:val="0"/>
              <w:spacing w:before="0" w:after="0"/>
              <w:jc w:val="left"/>
              <w:rPr>
                <w:color w:val="000000"/>
                <w:sz w:val="20"/>
              </w:rPr>
            </w:pPr>
            <w:r>
              <w:rPr>
                <w:color w:val="000000"/>
                <w:sz w:val="20"/>
              </w:rPr>
              <w:t>%</w:t>
            </w:r>
          </w:p>
        </w:tc>
        <w:tc>
          <w:tcPr>
            <w:tcW w:w="60" w:type="dxa"/>
            <w:tcBorders/>
            <w:vAlign w:val="bottom"/>
          </w:tcPr>
          <w:p>
            <w:pPr>
              <w:pStyle w:val="TableContents"/>
              <w:bidi w:val="0"/>
              <w:spacing w:before="0" w:after="283"/>
              <w:jc w:val="left"/>
              <w:rPr/>
            </w:pPr>
            <w:r>
              <w:rPr/>
              <w:t> </w:t>
            </w:r>
          </w:p>
        </w:tc>
        <w:tc>
          <w:tcPr>
            <w:tcW w:w="74" w:type="dxa"/>
            <w:tcBorders>
              <w:bottom w:val="single" w:sz="12" w:space="0" w:color="000000"/>
            </w:tcBorders>
            <w:tcMar>
              <w:bottom w:w="28" w:type="dxa"/>
            </w:tcMar>
            <w:vAlign w:val="bottom"/>
          </w:tcPr>
          <w:p>
            <w:pPr>
              <w:pStyle w:val="TableContents"/>
              <w:bidi w:val="0"/>
              <w:spacing w:before="0" w:after="283"/>
              <w:jc w:val="left"/>
              <w:rPr/>
            </w:pPr>
            <w:r>
              <w:rPr/>
              <w:t> </w:t>
            </w:r>
          </w:p>
        </w:tc>
        <w:tc>
          <w:tcPr>
            <w:tcW w:w="473" w:type="dxa"/>
            <w:tcBorders>
              <w:bottom w:val="single" w:sz="12" w:space="0" w:color="000000"/>
            </w:tcBorders>
            <w:tcMar>
              <w:bottom w:w="28" w:type="dxa"/>
            </w:tcMar>
            <w:vAlign w:val="bottom"/>
          </w:tcPr>
          <w:p>
            <w:pPr>
              <w:pStyle w:val="TableContents"/>
              <w:bidi w:val="0"/>
              <w:spacing w:before="0" w:after="0"/>
              <w:jc w:val="right"/>
              <w:rPr>
                <w:sz w:val="20"/>
              </w:rPr>
            </w:pPr>
            <w:r>
              <w:rPr>
                <w:sz w:val="20"/>
              </w:rPr>
              <w:t>5.14</w:t>
            </w:r>
          </w:p>
        </w:tc>
        <w:tc>
          <w:tcPr>
            <w:tcW w:w="215" w:type="dxa"/>
            <w:tcBorders/>
            <w:vAlign w:val="bottom"/>
          </w:tcPr>
          <w:p>
            <w:pPr>
              <w:pStyle w:val="TableContents"/>
              <w:bidi w:val="0"/>
              <w:spacing w:before="0" w:after="0"/>
              <w:jc w:val="left"/>
              <w:rPr>
                <w:color w:val="000000"/>
                <w:sz w:val="20"/>
              </w:rPr>
            </w:pPr>
            <w:r>
              <w:rPr>
                <w:color w:val="000000"/>
                <w:sz w:val="20"/>
              </w:rPr>
              <w:t>%</w:t>
            </w:r>
          </w:p>
        </w:tc>
        <w:tc>
          <w:tcPr>
            <w:tcW w:w="60" w:type="dxa"/>
            <w:tcBorders/>
            <w:vAlign w:val="bottom"/>
          </w:tcPr>
          <w:p>
            <w:pPr>
              <w:pStyle w:val="TableContents"/>
              <w:bidi w:val="0"/>
              <w:spacing w:before="0" w:after="283"/>
              <w:jc w:val="left"/>
              <w:rPr/>
            </w:pPr>
            <w:r>
              <w:rPr/>
              <w:t> </w:t>
            </w:r>
          </w:p>
        </w:tc>
        <w:tc>
          <w:tcPr>
            <w:tcW w:w="162" w:type="dxa"/>
            <w:tcBorders>
              <w:bottom w:val="single" w:sz="12" w:space="0" w:color="000000"/>
            </w:tcBorders>
            <w:tcMar>
              <w:bottom w:w="28" w:type="dxa"/>
            </w:tcMar>
            <w:vAlign w:val="bottom"/>
          </w:tcPr>
          <w:p>
            <w:pPr>
              <w:pStyle w:val="TableContents"/>
              <w:bidi w:val="0"/>
              <w:spacing w:before="0" w:after="283"/>
              <w:jc w:val="left"/>
              <w:rPr/>
            </w:pPr>
            <w:r>
              <w:rPr/>
              <w:t> </w:t>
            </w:r>
          </w:p>
        </w:tc>
        <w:tc>
          <w:tcPr>
            <w:tcW w:w="623" w:type="dxa"/>
            <w:tcBorders>
              <w:bottom w:val="single" w:sz="12" w:space="0" w:color="000000"/>
            </w:tcBorders>
            <w:tcMar>
              <w:bottom w:w="28" w:type="dxa"/>
            </w:tcMar>
            <w:vAlign w:val="bottom"/>
          </w:tcPr>
          <w:p>
            <w:pPr>
              <w:pStyle w:val="TableContents"/>
              <w:bidi w:val="0"/>
              <w:spacing w:before="0" w:after="0"/>
              <w:jc w:val="right"/>
              <w:rPr>
                <w:sz w:val="20"/>
              </w:rPr>
            </w:pPr>
            <w:r>
              <w:rPr>
                <w:sz w:val="20"/>
              </w:rPr>
              <w:t>27</w:t>
            </w:r>
          </w:p>
        </w:tc>
        <w:tc>
          <w:tcPr>
            <w:tcW w:w="79" w:type="dxa"/>
            <w:tcBorders/>
            <w:vAlign w:val="bottom"/>
          </w:tcPr>
          <w:p>
            <w:pPr>
              <w:pStyle w:val="TableContents"/>
              <w:bidi w:val="0"/>
              <w:spacing w:before="0" w:after="283"/>
              <w:jc w:val="left"/>
              <w:rPr/>
            </w:pPr>
            <w:r>
              <w:rPr/>
              <w:t> </w:t>
            </w:r>
          </w:p>
        </w:tc>
      </w:tr>
      <w:tr>
        <w:trPr/>
        <w:tc>
          <w:tcPr>
            <w:tcW w:w="1061" w:type="dxa"/>
            <w:tcBorders/>
            <w:shd w:fill="CCEEFF" w:val="clear"/>
            <w:vAlign w:val="bottom"/>
          </w:tcPr>
          <w:p>
            <w:pPr>
              <w:pStyle w:val="TableContents"/>
              <w:bidi w:val="0"/>
              <w:spacing w:before="0" w:after="0"/>
              <w:ind w:left="144" w:right="0" w:hanging="144"/>
              <w:jc w:val="left"/>
              <w:rPr>
                <w:b/>
                <w:color w:val="000000"/>
                <w:sz w:val="20"/>
              </w:rPr>
            </w:pPr>
            <w:r>
              <w:rPr>
                <w:b/>
                <w:color w:val="000000"/>
                <w:sz w:val="20"/>
              </w:rPr>
              <w:t>Total/weighted average RMBS</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b/>
                <w:color w:val="000000"/>
                <w:sz w:val="20"/>
              </w:rPr>
            </w:pPr>
            <w:r>
              <w:rPr>
                <w:b/>
                <w:color w:val="000000"/>
                <w:sz w:val="20"/>
              </w:rPr>
              <w:t>$</w:t>
            </w:r>
          </w:p>
        </w:tc>
        <w:tc>
          <w:tcPr>
            <w:tcW w:w="845" w:type="dxa"/>
            <w:tcBorders/>
            <w:shd w:fill="CCEEFF" w:val="clear"/>
            <w:vAlign w:val="bottom"/>
          </w:tcPr>
          <w:p>
            <w:pPr>
              <w:pStyle w:val="TableContents"/>
              <w:bidi w:val="0"/>
              <w:spacing w:before="0" w:after="0"/>
              <w:jc w:val="right"/>
              <w:rPr>
                <w:b/>
                <w:color w:val="000000"/>
                <w:sz w:val="20"/>
              </w:rPr>
            </w:pPr>
            <w:r>
              <w:rPr>
                <w:b/>
                <w:color w:val="000000"/>
                <w:sz w:val="20"/>
              </w:rPr>
              <w:t>1,422,543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b/>
                <w:color w:val="000000"/>
                <w:sz w:val="20"/>
              </w:rPr>
            </w:pPr>
            <w:r>
              <w:rPr>
                <w:b/>
                <w:color w:val="000000"/>
                <w:sz w:val="20"/>
              </w:rPr>
              <w:t>$</w:t>
            </w:r>
          </w:p>
        </w:tc>
        <w:tc>
          <w:tcPr>
            <w:tcW w:w="845" w:type="dxa"/>
            <w:tcBorders/>
            <w:shd w:fill="CCEEFF" w:val="clear"/>
            <w:vAlign w:val="bottom"/>
          </w:tcPr>
          <w:p>
            <w:pPr>
              <w:pStyle w:val="TableContents"/>
              <w:bidi w:val="0"/>
              <w:spacing w:before="0" w:after="0"/>
              <w:jc w:val="right"/>
              <w:rPr>
                <w:b/>
                <w:color w:val="000000"/>
                <w:sz w:val="20"/>
              </w:rPr>
            </w:pPr>
            <w:r>
              <w:rPr>
                <w:b/>
                <w:color w:val="000000"/>
                <w:sz w:val="20"/>
              </w:rPr>
              <w:t>1,184,212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0"/>
              <w:jc w:val="left"/>
              <w:rPr>
                <w:b/>
                <w:color w:val="000000"/>
                <w:sz w:val="20"/>
              </w:rPr>
            </w:pPr>
            <w:r>
              <w:rPr>
                <w:b/>
                <w:color w:val="000000"/>
                <w:sz w:val="20"/>
              </w:rPr>
              <w:t>$</w:t>
            </w:r>
          </w:p>
        </w:tc>
        <w:tc>
          <w:tcPr>
            <w:tcW w:w="595" w:type="dxa"/>
            <w:tcBorders/>
            <w:shd w:fill="CCEEFF" w:val="clear"/>
            <w:vAlign w:val="bottom"/>
          </w:tcPr>
          <w:p>
            <w:pPr>
              <w:pStyle w:val="TableContents"/>
              <w:bidi w:val="0"/>
              <w:spacing w:before="0" w:after="0"/>
              <w:jc w:val="right"/>
              <w:rPr>
                <w:b/>
                <w:color w:val="000000"/>
                <w:sz w:val="20"/>
              </w:rPr>
            </w:pPr>
            <w:r>
              <w:rPr>
                <w:b/>
                <w:color w:val="000000"/>
                <w:sz w:val="20"/>
              </w:rPr>
              <w:t>30,327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0"/>
              <w:jc w:val="left"/>
              <w:rPr>
                <w:b/>
                <w:color w:val="000000"/>
                <w:sz w:val="20"/>
              </w:rPr>
            </w:pPr>
            <w:r>
              <w:rPr>
                <w:b/>
                <w:color w:val="000000"/>
                <w:sz w:val="20"/>
              </w:rPr>
              <w:t>$</w:t>
            </w:r>
          </w:p>
        </w:tc>
        <w:tc>
          <w:tcPr>
            <w:tcW w:w="437" w:type="dxa"/>
            <w:tcBorders/>
            <w:shd w:fill="CCEEFF" w:val="clear"/>
            <w:vAlign w:val="bottom"/>
          </w:tcPr>
          <w:p>
            <w:pPr>
              <w:pStyle w:val="TableContents"/>
              <w:bidi w:val="0"/>
              <w:spacing w:before="0" w:after="0"/>
              <w:jc w:val="right"/>
              <w:rPr>
                <w:b/>
                <w:color w:val="000000"/>
                <w:sz w:val="20"/>
              </w:rPr>
            </w:pPr>
            <w:r>
              <w:rPr>
                <w:b/>
                <w:color w:val="000000"/>
                <w:sz w:val="20"/>
              </w:rPr>
              <w:t>(688</w:t>
            </w:r>
          </w:p>
        </w:tc>
        <w:tc>
          <w:tcPr>
            <w:tcW w:w="80" w:type="dxa"/>
            <w:tcBorders/>
            <w:shd w:fill="CCEEFF" w:val="clear"/>
            <w:vAlign w:val="bottom"/>
          </w:tcPr>
          <w:p>
            <w:pPr>
              <w:pStyle w:val="TableContents"/>
              <w:bidi w:val="0"/>
              <w:spacing w:before="0" w:after="0"/>
              <w:jc w:val="left"/>
              <w:rPr>
                <w:b/>
                <w:color w:val="000000"/>
                <w:sz w:val="20"/>
              </w:rPr>
            </w:pPr>
            <w:r>
              <w:rPr>
                <w:b/>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0"/>
              <w:jc w:val="left"/>
              <w:rPr>
                <w:b/>
                <w:color w:val="000000"/>
                <w:sz w:val="20"/>
              </w:rPr>
            </w:pPr>
            <w:r>
              <w:rPr>
                <w:b/>
                <w:color w:val="000000"/>
                <w:sz w:val="20"/>
              </w:rPr>
              <w:t>$</w:t>
            </w:r>
          </w:p>
        </w:tc>
        <w:tc>
          <w:tcPr>
            <w:tcW w:w="895" w:type="dxa"/>
            <w:tcBorders/>
            <w:shd w:fill="CCEEFF" w:val="clear"/>
            <w:vAlign w:val="bottom"/>
          </w:tcPr>
          <w:p>
            <w:pPr>
              <w:pStyle w:val="TableContents"/>
              <w:bidi w:val="0"/>
              <w:spacing w:before="0" w:after="0"/>
              <w:jc w:val="right"/>
              <w:rPr>
                <w:b/>
                <w:color w:val="000000"/>
                <w:sz w:val="20"/>
              </w:rPr>
            </w:pPr>
            <w:r>
              <w:rPr>
                <w:b/>
                <w:color w:val="000000"/>
                <w:sz w:val="20"/>
              </w:rPr>
              <w:t>1,213,851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722" w:type="dxa"/>
            <w:tcBorders/>
            <w:shd w:fill="CCEEFF" w:val="clear"/>
            <w:vAlign w:val="bottom"/>
          </w:tcPr>
          <w:p>
            <w:pPr>
              <w:pStyle w:val="TableContents"/>
              <w:bidi w:val="0"/>
              <w:spacing w:before="0" w:after="0"/>
              <w:jc w:val="right"/>
              <w:rPr>
                <w:b/>
                <w:color w:val="000000"/>
                <w:sz w:val="20"/>
              </w:rPr>
            </w:pPr>
            <w:r>
              <w:rPr>
                <w:b/>
                <w:color w:val="000000"/>
                <w:sz w:val="20"/>
              </w:rPr>
              <w:t>107</w:t>
            </w:r>
          </w:p>
        </w:tc>
        <w:tc>
          <w:tcPr>
            <w:tcW w:w="6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left"/>
              <w:rPr>
                <w:color w:val="000000"/>
              </w:rPr>
            </w:pPr>
            <w:r>
              <w:rPr>
                <w:color w:val="000000"/>
              </w:rPr>
              <w:t> </w:t>
            </w:r>
          </w:p>
        </w:tc>
        <w:tc>
          <w:tcPr>
            <w:tcW w:w="60"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588" w:type="dxa"/>
            <w:tcBorders/>
            <w:shd w:fill="CCEEFF" w:val="clear"/>
            <w:vAlign w:val="bottom"/>
          </w:tcPr>
          <w:p>
            <w:pPr>
              <w:pStyle w:val="TableContents"/>
              <w:bidi w:val="0"/>
              <w:spacing w:before="0" w:after="0"/>
              <w:jc w:val="right"/>
              <w:rPr>
                <w:b/>
                <w:color w:val="000000"/>
                <w:sz w:val="20"/>
              </w:rPr>
            </w:pPr>
            <w:r>
              <w:rPr>
                <w:b/>
                <w:color w:val="000000"/>
                <w:sz w:val="20"/>
              </w:rPr>
              <w:t>4.98</w:t>
            </w:r>
          </w:p>
        </w:tc>
        <w:tc>
          <w:tcPr>
            <w:tcW w:w="215" w:type="dxa"/>
            <w:tcBorders/>
            <w:shd w:fill="CCEEFF" w:val="clear"/>
            <w:vAlign w:val="bottom"/>
          </w:tcPr>
          <w:p>
            <w:pPr>
              <w:pStyle w:val="TableContents"/>
              <w:bidi w:val="0"/>
              <w:spacing w:before="0" w:after="0"/>
              <w:jc w:val="left"/>
              <w:rPr>
                <w:b/>
                <w:color w:val="000000"/>
                <w:sz w:val="20"/>
              </w:rPr>
            </w:pPr>
            <w:r>
              <w:rPr>
                <w:b/>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473" w:type="dxa"/>
            <w:tcBorders/>
            <w:shd w:fill="CCEEFF" w:val="clear"/>
            <w:vAlign w:val="bottom"/>
          </w:tcPr>
          <w:p>
            <w:pPr>
              <w:pStyle w:val="TableContents"/>
              <w:bidi w:val="0"/>
              <w:spacing w:before="0" w:after="0"/>
              <w:jc w:val="right"/>
              <w:rPr>
                <w:b/>
                <w:color w:val="000000"/>
                <w:sz w:val="20"/>
              </w:rPr>
            </w:pPr>
            <w:r>
              <w:rPr>
                <w:b/>
                <w:color w:val="000000"/>
                <w:sz w:val="20"/>
              </w:rPr>
              <w:t>5.08</w:t>
            </w:r>
          </w:p>
        </w:tc>
        <w:tc>
          <w:tcPr>
            <w:tcW w:w="215" w:type="dxa"/>
            <w:tcBorders/>
            <w:shd w:fill="CCEEFF" w:val="clear"/>
            <w:vAlign w:val="bottom"/>
          </w:tcPr>
          <w:p>
            <w:pPr>
              <w:pStyle w:val="TableContents"/>
              <w:bidi w:val="0"/>
              <w:spacing w:before="0" w:after="0"/>
              <w:jc w:val="left"/>
              <w:rPr>
                <w:b/>
                <w:color w:val="000000"/>
                <w:sz w:val="20"/>
              </w:rPr>
            </w:pPr>
            <w:r>
              <w:rPr>
                <w:b/>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623" w:type="dxa"/>
            <w:tcBorders/>
            <w:shd w:fill="CCEEFF" w:val="clear"/>
            <w:vAlign w:val="bottom"/>
          </w:tcPr>
          <w:p>
            <w:pPr>
              <w:pStyle w:val="TableContents"/>
              <w:bidi w:val="0"/>
              <w:spacing w:before="0" w:after="0"/>
              <w:jc w:val="right"/>
              <w:rPr>
                <w:b/>
                <w:color w:val="000000"/>
                <w:sz w:val="20"/>
              </w:rPr>
            </w:pPr>
            <w:r>
              <w:rPr>
                <w:b/>
                <w:color w:val="000000"/>
                <w:sz w:val="20"/>
              </w:rPr>
              <w:t>27</w:t>
            </w:r>
          </w:p>
        </w:tc>
        <w:tc>
          <w:tcPr>
            <w:tcW w:w="79"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sz w:val="20"/>
        </w:rPr>
      </w:pPr>
      <w:r>
        <w:rPr>
          <w:sz w:val="20"/>
        </w:rPr>
      </w:r>
    </w:p>
    <w:tbl>
      <w:tblPr>
        <w:tblW w:w="10205" w:type="dxa"/>
        <w:jc w:val="left"/>
        <w:tblInd w:w="0" w:type="dxa"/>
        <w:tblLayout w:type="fixed"/>
        <w:tblCellMar>
          <w:top w:w="0" w:type="dxa"/>
          <w:left w:w="0" w:type="dxa"/>
          <w:bottom w:w="0" w:type="dxa"/>
          <w:right w:w="0" w:type="dxa"/>
        </w:tblCellMar>
      </w:tblPr>
      <w:tblGrid>
        <w:gridCol w:w="339"/>
        <w:gridCol w:w="9866"/>
      </w:tblGrid>
      <w:tr>
        <w:trPr/>
        <w:tc>
          <w:tcPr>
            <w:tcW w:w="339" w:type="dxa"/>
            <w:tcBorders/>
            <w:vAlign w:val="center"/>
          </w:tcPr>
          <w:p>
            <w:pPr>
              <w:pStyle w:val="TableContents"/>
              <w:bidi w:val="0"/>
              <w:spacing w:before="0" w:after="283"/>
              <w:jc w:val="left"/>
              <w:rPr>
                <w:color w:val="000000"/>
              </w:rPr>
            </w:pPr>
            <w:r>
              <w:rPr>
                <w:color w:val="000000"/>
              </w:rPr>
              <w:t>(A)</w:t>
            </w:r>
          </w:p>
        </w:tc>
        <w:tc>
          <w:tcPr>
            <w:tcW w:w="9866" w:type="dxa"/>
            <w:tcBorders/>
            <w:vAlign w:val="center"/>
          </w:tcPr>
          <w:p>
            <w:pPr>
              <w:pStyle w:val="TableContents"/>
              <w:bidi w:val="0"/>
              <w:spacing w:before="0" w:after="0"/>
              <w:jc w:val="both"/>
              <w:rPr>
                <w:color w:val="000000"/>
                <w:sz w:val="20"/>
              </w:rPr>
            </w:pPr>
            <w:r>
              <w:rPr>
                <w:color w:val="000000"/>
                <w:sz w:val="20"/>
              </w:rPr>
              <w:t>See “Part I, Item 1. Notes to Consolidated Financial Statements—Note 8. Fair Value” regarding the estimation of fair value, which approximates carrying value for all securities.</w:t>
            </w:r>
          </w:p>
        </w:tc>
      </w:tr>
    </w:tbl>
    <w:tbl>
      <w:tblPr>
        <w:tblW w:w="5710" w:type="dxa"/>
        <w:jc w:val="left"/>
        <w:tblInd w:w="0" w:type="dxa"/>
        <w:tblLayout w:type="fixed"/>
        <w:tblCellMar>
          <w:top w:w="0" w:type="dxa"/>
          <w:left w:w="0" w:type="dxa"/>
          <w:bottom w:w="0" w:type="dxa"/>
          <w:right w:w="0" w:type="dxa"/>
        </w:tblCellMar>
      </w:tblPr>
      <w:tblGrid>
        <w:gridCol w:w="350"/>
        <w:gridCol w:w="5360"/>
      </w:tblGrid>
      <w:tr>
        <w:trPr/>
        <w:tc>
          <w:tcPr>
            <w:tcW w:w="350" w:type="dxa"/>
            <w:tcBorders/>
            <w:vAlign w:val="center"/>
          </w:tcPr>
          <w:p>
            <w:pPr>
              <w:pStyle w:val="TableContents"/>
              <w:bidi w:val="0"/>
              <w:spacing w:before="0" w:after="283"/>
              <w:jc w:val="left"/>
              <w:rPr>
                <w:color w:val="000000"/>
              </w:rPr>
            </w:pPr>
            <w:r>
              <w:rPr>
                <w:color w:val="000000"/>
              </w:rPr>
              <w:t>(B)</w:t>
            </w:r>
          </w:p>
        </w:tc>
        <w:tc>
          <w:tcPr>
            <w:tcW w:w="5360" w:type="dxa"/>
            <w:tcBorders/>
            <w:vAlign w:val="center"/>
          </w:tcPr>
          <w:p>
            <w:pPr>
              <w:pStyle w:val="TableContents"/>
              <w:bidi w:val="0"/>
              <w:spacing w:before="0" w:after="0"/>
              <w:jc w:val="both"/>
              <w:rPr>
                <w:color w:val="000000"/>
                <w:sz w:val="20"/>
              </w:rPr>
            </w:pPr>
            <w:r>
              <w:rPr>
                <w:color w:val="000000"/>
                <w:sz w:val="20"/>
              </w:rPr>
              <w:t>The Company used an implied AA+ rating for the Agency RMBS.</w:t>
            </w:r>
          </w:p>
        </w:tc>
      </w:tr>
    </w:tbl>
    <w:tbl>
      <w:tblPr>
        <w:tblW w:w="10205" w:type="dxa"/>
        <w:jc w:val="left"/>
        <w:tblInd w:w="0" w:type="dxa"/>
        <w:tblLayout w:type="fixed"/>
        <w:tblCellMar>
          <w:top w:w="0" w:type="dxa"/>
          <w:left w:w="0" w:type="dxa"/>
          <w:bottom w:w="0" w:type="dxa"/>
          <w:right w:w="0" w:type="dxa"/>
        </w:tblCellMar>
      </w:tblPr>
      <w:tblGrid>
        <w:gridCol w:w="329"/>
        <w:gridCol w:w="9876"/>
      </w:tblGrid>
      <w:tr>
        <w:trPr/>
        <w:tc>
          <w:tcPr>
            <w:tcW w:w="329" w:type="dxa"/>
            <w:tcBorders/>
            <w:vAlign w:val="center"/>
          </w:tcPr>
          <w:p>
            <w:pPr>
              <w:pStyle w:val="TableContents"/>
              <w:bidi w:val="0"/>
              <w:spacing w:before="0" w:after="283"/>
              <w:jc w:val="left"/>
              <w:rPr>
                <w:color w:val="000000"/>
              </w:rPr>
            </w:pPr>
            <w:r>
              <w:rPr>
                <w:color w:val="000000"/>
              </w:rPr>
              <w:t>(C)</w:t>
            </w:r>
          </w:p>
        </w:tc>
        <w:tc>
          <w:tcPr>
            <w:tcW w:w="9876" w:type="dxa"/>
            <w:tcBorders/>
            <w:vAlign w:val="center"/>
          </w:tcPr>
          <w:p>
            <w:pPr>
              <w:pStyle w:val="TableContents"/>
              <w:bidi w:val="0"/>
              <w:spacing w:before="0" w:after="0"/>
              <w:jc w:val="both"/>
              <w:rPr>
                <w:color w:val="000000"/>
                <w:sz w:val="20"/>
              </w:rPr>
            </w:pPr>
            <w:r>
              <w:rPr>
                <w:color w:val="000000"/>
                <w:sz w:val="20"/>
              </w:rPr>
              <w:t>The weighted average yield is based on the most recent gross monthly interest income, which is then annualized and divided by the book value of settled securities.</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66</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 summarizes the net interest spread of our RMBS portfolio as of the dates indicated:</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Net Interest Spread</w:t>
      </w:r>
    </w:p>
    <w:p>
      <w:pPr>
        <w:pStyle w:val="TextBody"/>
        <w:bidi w:val="0"/>
        <w:spacing w:before="0" w:after="0"/>
        <w:jc w:val="left"/>
        <w:rPr>
          <w:sz w:val="20"/>
        </w:rPr>
      </w:pPr>
      <w:r>
        <w:rPr>
          <w:sz w:val="20"/>
        </w:rPr>
      </w:r>
    </w:p>
    <w:tbl>
      <w:tblPr>
        <w:tblW w:w="6623" w:type="dxa"/>
        <w:jc w:val="left"/>
        <w:tblInd w:w="0" w:type="dxa"/>
        <w:tblLayout w:type="fixed"/>
        <w:tblCellMar>
          <w:top w:w="0" w:type="dxa"/>
          <w:left w:w="0" w:type="dxa"/>
          <w:bottom w:w="0" w:type="dxa"/>
          <w:right w:w="0" w:type="dxa"/>
        </w:tblCellMar>
      </w:tblPr>
      <w:tblGrid>
        <w:gridCol w:w="3230"/>
        <w:gridCol w:w="60"/>
        <w:gridCol w:w="162"/>
        <w:gridCol w:w="1027"/>
        <w:gridCol w:w="215"/>
        <w:gridCol w:w="60"/>
        <w:gridCol w:w="223"/>
        <w:gridCol w:w="1416"/>
        <w:gridCol w:w="230"/>
      </w:tblGrid>
      <w:tr>
        <w:trPr/>
        <w:tc>
          <w:tcPr>
            <w:tcW w:w="32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89" w:type="dxa"/>
            <w:gridSpan w:val="2"/>
            <w:tcBorders>
              <w:bottom w:val="single" w:sz="12" w:space="0" w:color="000000"/>
            </w:tcBorders>
            <w:tcMar>
              <w:bottom w:w="28" w:type="dxa"/>
            </w:tcMar>
            <w:vAlign w:val="bottom"/>
          </w:tcPr>
          <w:p>
            <w:pPr>
              <w:pStyle w:val="TableContents"/>
              <w:bidi w:val="0"/>
              <w:spacing w:before="0" w:after="0"/>
              <w:jc w:val="center"/>
              <w:rPr>
                <w:b/>
                <w:sz w:val="20"/>
              </w:rPr>
            </w:pPr>
            <w:r>
              <w:rPr>
                <w:b/>
                <w:sz w:val="20"/>
              </w:rPr>
              <w:t>June 30, 2026</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9" w:type="dxa"/>
            <w:gridSpan w:val="2"/>
            <w:tcBorders>
              <w:bottom w:val="single" w:sz="12" w:space="0" w:color="000000"/>
            </w:tcBorders>
            <w:tcMar>
              <w:bottom w:w="28" w:type="dxa"/>
            </w:tcMar>
            <w:vAlign w:val="bottom"/>
          </w:tcPr>
          <w:p>
            <w:pPr>
              <w:pStyle w:val="TableContents"/>
              <w:bidi w:val="0"/>
              <w:spacing w:before="0" w:after="0"/>
              <w:jc w:val="center"/>
              <w:rPr>
                <w:b/>
                <w:sz w:val="20"/>
              </w:rPr>
            </w:pPr>
            <w:r>
              <w:rPr>
                <w:b/>
                <w:sz w:val="20"/>
              </w:rPr>
              <w:t>December 31, 2025</w:t>
            </w:r>
          </w:p>
        </w:tc>
        <w:tc>
          <w:tcPr>
            <w:tcW w:w="230" w:type="dxa"/>
            <w:tcBorders/>
            <w:vAlign w:val="bottom"/>
          </w:tcPr>
          <w:p>
            <w:pPr>
              <w:pStyle w:val="TableContents"/>
              <w:bidi w:val="0"/>
              <w:spacing w:before="0" w:after="283"/>
              <w:jc w:val="left"/>
              <w:rPr/>
            </w:pPr>
            <w:r>
              <w:rPr/>
              <w:t> </w:t>
            </w:r>
          </w:p>
        </w:tc>
      </w:tr>
      <w:tr>
        <w:trPr/>
        <w:tc>
          <w:tcPr>
            <w:tcW w:w="3230" w:type="dxa"/>
            <w:tcBorders/>
            <w:shd w:fill="CCEEFF" w:val="clear"/>
            <w:vAlign w:val="bottom"/>
          </w:tcPr>
          <w:p>
            <w:pPr>
              <w:pStyle w:val="TableContents"/>
              <w:bidi w:val="0"/>
              <w:spacing w:before="0" w:after="0"/>
              <w:ind w:left="144" w:right="0" w:hanging="144"/>
              <w:jc w:val="left"/>
              <w:rPr>
                <w:color w:val="000000"/>
                <w:sz w:val="20"/>
              </w:rPr>
            </w:pPr>
            <w:r>
              <w:rPr>
                <w:color w:val="000000"/>
                <w:sz w:val="20"/>
              </w:rPr>
              <w:t>Weighted Average Asset Yield</w:t>
            </w:r>
          </w:p>
        </w:tc>
        <w:tc>
          <w:tcPr>
            <w:tcW w:w="6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27" w:type="dxa"/>
            <w:tcBorders/>
            <w:shd w:fill="CCEEFF" w:val="clear"/>
            <w:vAlign w:val="bottom"/>
          </w:tcPr>
          <w:p>
            <w:pPr>
              <w:pStyle w:val="TableContents"/>
              <w:bidi w:val="0"/>
              <w:spacing w:before="0" w:after="0"/>
              <w:jc w:val="right"/>
              <w:rPr>
                <w:sz w:val="20"/>
              </w:rPr>
            </w:pPr>
            <w:r>
              <w:rPr>
                <w:sz w:val="20"/>
              </w:rPr>
              <w:t>5.76</w:t>
            </w:r>
          </w:p>
        </w:tc>
        <w:tc>
          <w:tcPr>
            <w:tcW w:w="215" w:type="dxa"/>
            <w:tcBorders/>
            <w:shd w:fill="CCEEFF" w:val="clear"/>
            <w:vAlign w:val="bottom"/>
          </w:tcPr>
          <w:p>
            <w:pPr>
              <w:pStyle w:val="TableContents"/>
              <w:bidi w:val="0"/>
              <w:spacing w:before="0" w:after="0"/>
              <w:jc w:val="left"/>
              <w:rPr>
                <w:color w:val="000000"/>
                <w:sz w:val="20"/>
              </w:rPr>
            </w:pPr>
            <w:r>
              <w:rPr>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1416" w:type="dxa"/>
            <w:tcBorders/>
            <w:shd w:fill="CCEEFF" w:val="clear"/>
            <w:vAlign w:val="bottom"/>
          </w:tcPr>
          <w:p>
            <w:pPr>
              <w:pStyle w:val="TableContents"/>
              <w:bidi w:val="0"/>
              <w:spacing w:before="0" w:after="0"/>
              <w:jc w:val="right"/>
              <w:rPr>
                <w:sz w:val="20"/>
              </w:rPr>
            </w:pPr>
            <w:r>
              <w:rPr>
                <w:sz w:val="20"/>
              </w:rPr>
              <w:t>5.24</w:t>
            </w:r>
          </w:p>
        </w:tc>
        <w:tc>
          <w:tcPr>
            <w:tcW w:w="230" w:type="dxa"/>
            <w:tcBorders/>
            <w:shd w:fill="CCEEFF" w:val="clear"/>
            <w:vAlign w:val="bottom"/>
          </w:tcPr>
          <w:p>
            <w:pPr>
              <w:pStyle w:val="TableContents"/>
              <w:bidi w:val="0"/>
              <w:spacing w:before="0" w:after="0"/>
              <w:jc w:val="left"/>
              <w:rPr>
                <w:color w:val="000000"/>
                <w:sz w:val="20"/>
              </w:rPr>
            </w:pPr>
            <w:r>
              <w:rPr>
                <w:color w:val="000000"/>
                <w:sz w:val="20"/>
              </w:rPr>
              <w:t>%</w:t>
            </w:r>
          </w:p>
        </w:tc>
      </w:tr>
      <w:tr>
        <w:trPr/>
        <w:tc>
          <w:tcPr>
            <w:tcW w:w="3230" w:type="dxa"/>
            <w:tcBorders/>
            <w:vAlign w:val="bottom"/>
          </w:tcPr>
          <w:p>
            <w:pPr>
              <w:pStyle w:val="TableContents"/>
              <w:bidi w:val="0"/>
              <w:spacing w:lineRule="auto" w:line="240" w:before="0" w:after="0"/>
              <w:ind w:left="144" w:right="0" w:hanging="144"/>
              <w:jc w:val="left"/>
              <w:rPr>
                <w:color w:val="000000"/>
                <w:sz w:val="20"/>
              </w:rPr>
            </w:pPr>
            <w:r>
              <w:rPr>
                <w:color w:val="000000"/>
                <w:sz w:val="20"/>
              </w:rPr>
              <w:t>Weighted Average Interest Expense (A)</w:t>
            </w:r>
          </w:p>
        </w:tc>
        <w:tc>
          <w:tcPr>
            <w:tcW w:w="60" w:type="dxa"/>
            <w:tcBorders/>
            <w:vAlign w:val="bottom"/>
          </w:tcPr>
          <w:p>
            <w:pPr>
              <w:pStyle w:val="TableContents"/>
              <w:bidi w:val="0"/>
              <w:spacing w:before="0" w:after="283"/>
              <w:jc w:val="left"/>
              <w:rPr/>
            </w:pPr>
            <w:r>
              <w:rPr/>
              <w:t> </w:t>
            </w:r>
          </w:p>
        </w:tc>
        <w:tc>
          <w:tcPr>
            <w:tcW w:w="162" w:type="dxa"/>
            <w:tcBorders>
              <w:bottom w:val="single" w:sz="12" w:space="0" w:color="000000"/>
            </w:tcBorders>
            <w:tcMar>
              <w:bottom w:w="28" w:type="dxa"/>
            </w:tcMar>
            <w:vAlign w:val="bottom"/>
          </w:tcPr>
          <w:p>
            <w:pPr>
              <w:pStyle w:val="TableContents"/>
              <w:bidi w:val="0"/>
              <w:spacing w:before="0" w:after="283"/>
              <w:jc w:val="left"/>
              <w:rPr/>
            </w:pPr>
            <w:r>
              <w:rPr/>
              <w:t> </w:t>
            </w:r>
          </w:p>
        </w:tc>
        <w:tc>
          <w:tcPr>
            <w:tcW w:w="1027" w:type="dxa"/>
            <w:tcBorders>
              <w:bottom w:val="single" w:sz="12" w:space="0" w:color="000000"/>
            </w:tcBorders>
            <w:tcMar>
              <w:bottom w:w="28" w:type="dxa"/>
            </w:tcMar>
            <w:vAlign w:val="bottom"/>
          </w:tcPr>
          <w:p>
            <w:pPr>
              <w:pStyle w:val="TableContents"/>
              <w:bidi w:val="0"/>
              <w:spacing w:before="0" w:after="0"/>
              <w:jc w:val="right"/>
              <w:rPr>
                <w:sz w:val="20"/>
              </w:rPr>
            </w:pPr>
            <w:r>
              <w:rPr>
                <w:sz w:val="20"/>
              </w:rPr>
              <w:t>2.31</w:t>
            </w:r>
          </w:p>
        </w:tc>
        <w:tc>
          <w:tcPr>
            <w:tcW w:w="215" w:type="dxa"/>
            <w:tcBorders/>
            <w:vAlign w:val="bottom"/>
          </w:tcPr>
          <w:p>
            <w:pPr>
              <w:pStyle w:val="TableContents"/>
              <w:bidi w:val="0"/>
              <w:spacing w:before="0" w:after="0"/>
              <w:jc w:val="left"/>
              <w:rPr>
                <w:color w:val="000000"/>
                <w:sz w:val="20"/>
              </w:rPr>
            </w:pPr>
            <w:r>
              <w:rPr>
                <w:color w:val="000000"/>
                <w:sz w:val="20"/>
              </w:rPr>
              <w:t>%</w:t>
            </w:r>
          </w:p>
        </w:tc>
        <w:tc>
          <w:tcPr>
            <w:tcW w:w="60" w:type="dxa"/>
            <w:tcBorders/>
            <w:vAlign w:val="bottom"/>
          </w:tcPr>
          <w:p>
            <w:pPr>
              <w:pStyle w:val="TableContents"/>
              <w:bidi w:val="0"/>
              <w:spacing w:before="0" w:after="283"/>
              <w:jc w:val="left"/>
              <w:rPr/>
            </w:pPr>
            <w:r>
              <w:rPr/>
              <w:t> </w:t>
            </w:r>
          </w:p>
        </w:tc>
        <w:tc>
          <w:tcPr>
            <w:tcW w:w="223" w:type="dxa"/>
            <w:tcBorders>
              <w:bottom w:val="single" w:sz="12" w:space="0" w:color="000000"/>
            </w:tcBorders>
            <w:tcMar>
              <w:bottom w:w="28" w:type="dxa"/>
            </w:tcMar>
            <w:vAlign w:val="bottom"/>
          </w:tcPr>
          <w:p>
            <w:pPr>
              <w:pStyle w:val="TableContents"/>
              <w:bidi w:val="0"/>
              <w:spacing w:before="0" w:after="283"/>
              <w:jc w:val="left"/>
              <w:rPr/>
            </w:pPr>
            <w:r>
              <w:rPr/>
              <w:t> </w:t>
            </w:r>
          </w:p>
        </w:tc>
        <w:tc>
          <w:tcPr>
            <w:tcW w:w="1416" w:type="dxa"/>
            <w:tcBorders>
              <w:bottom w:val="single" w:sz="12" w:space="0" w:color="000000"/>
            </w:tcBorders>
            <w:tcMar>
              <w:bottom w:w="28" w:type="dxa"/>
            </w:tcMar>
            <w:vAlign w:val="bottom"/>
          </w:tcPr>
          <w:p>
            <w:pPr>
              <w:pStyle w:val="TableContents"/>
              <w:bidi w:val="0"/>
              <w:spacing w:before="0" w:after="0"/>
              <w:jc w:val="right"/>
              <w:rPr>
                <w:sz w:val="20"/>
              </w:rPr>
            </w:pPr>
            <w:r>
              <w:rPr>
                <w:sz w:val="20"/>
              </w:rPr>
              <w:t>2.72</w:t>
            </w:r>
          </w:p>
        </w:tc>
        <w:tc>
          <w:tcPr>
            <w:tcW w:w="230" w:type="dxa"/>
            <w:tcBorders/>
            <w:vAlign w:val="bottom"/>
          </w:tcPr>
          <w:p>
            <w:pPr>
              <w:pStyle w:val="TableContents"/>
              <w:bidi w:val="0"/>
              <w:spacing w:before="0" w:after="0"/>
              <w:jc w:val="left"/>
              <w:rPr>
                <w:color w:val="000000"/>
                <w:sz w:val="20"/>
              </w:rPr>
            </w:pPr>
            <w:r>
              <w:rPr>
                <w:color w:val="000000"/>
                <w:sz w:val="20"/>
              </w:rPr>
              <w:t>%</w:t>
            </w:r>
          </w:p>
        </w:tc>
      </w:tr>
      <w:tr>
        <w:trPr/>
        <w:tc>
          <w:tcPr>
            <w:tcW w:w="3230" w:type="dxa"/>
            <w:tcBorders/>
            <w:shd w:fill="CCEEFF" w:val="clear"/>
            <w:vAlign w:val="bottom"/>
          </w:tcPr>
          <w:p>
            <w:pPr>
              <w:pStyle w:val="TableContents"/>
              <w:bidi w:val="0"/>
              <w:spacing w:before="0" w:after="0"/>
              <w:ind w:left="144" w:right="0" w:hanging="144"/>
              <w:jc w:val="left"/>
              <w:rPr>
                <w:b/>
                <w:color w:val="000000"/>
                <w:sz w:val="20"/>
              </w:rPr>
            </w:pPr>
            <w:r>
              <w:rPr>
                <w:b/>
                <w:color w:val="000000"/>
                <w:sz w:val="20"/>
              </w:rPr>
              <w:t>Net Interest Spread</w:t>
            </w:r>
          </w:p>
        </w:tc>
        <w:tc>
          <w:tcPr>
            <w:tcW w:w="60"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027" w:type="dxa"/>
            <w:tcBorders/>
            <w:shd w:fill="CCEEFF" w:val="clear"/>
            <w:vAlign w:val="bottom"/>
          </w:tcPr>
          <w:p>
            <w:pPr>
              <w:pStyle w:val="TableContents"/>
              <w:bidi w:val="0"/>
              <w:spacing w:before="0" w:after="0"/>
              <w:jc w:val="right"/>
              <w:rPr>
                <w:b/>
                <w:color w:val="000000"/>
                <w:sz w:val="20"/>
              </w:rPr>
            </w:pPr>
            <w:r>
              <w:rPr>
                <w:b/>
                <w:color w:val="000000"/>
                <w:sz w:val="20"/>
              </w:rPr>
              <w:t>3.45</w:t>
            </w:r>
          </w:p>
        </w:tc>
        <w:tc>
          <w:tcPr>
            <w:tcW w:w="215" w:type="dxa"/>
            <w:tcBorders/>
            <w:shd w:fill="CCEEFF" w:val="clear"/>
            <w:vAlign w:val="bottom"/>
          </w:tcPr>
          <w:p>
            <w:pPr>
              <w:pStyle w:val="TableContents"/>
              <w:bidi w:val="0"/>
              <w:spacing w:before="0" w:after="0"/>
              <w:jc w:val="left"/>
              <w:rPr>
                <w:b/>
                <w:color w:val="000000"/>
                <w:sz w:val="20"/>
              </w:rPr>
            </w:pPr>
            <w:r>
              <w:rPr>
                <w:b/>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1416" w:type="dxa"/>
            <w:tcBorders/>
            <w:shd w:fill="CCEEFF" w:val="clear"/>
            <w:vAlign w:val="bottom"/>
          </w:tcPr>
          <w:p>
            <w:pPr>
              <w:pStyle w:val="TableContents"/>
              <w:bidi w:val="0"/>
              <w:spacing w:before="0" w:after="0"/>
              <w:jc w:val="right"/>
              <w:rPr>
                <w:b/>
                <w:color w:val="000000"/>
                <w:sz w:val="20"/>
              </w:rPr>
            </w:pPr>
            <w:r>
              <w:rPr>
                <w:b/>
                <w:color w:val="000000"/>
                <w:sz w:val="20"/>
              </w:rPr>
              <w:t>2.52</w:t>
            </w:r>
          </w:p>
        </w:tc>
        <w:tc>
          <w:tcPr>
            <w:tcW w:w="230" w:type="dxa"/>
            <w:tcBorders/>
            <w:shd w:fill="CCEEFF" w:val="clear"/>
            <w:vAlign w:val="bottom"/>
          </w:tcPr>
          <w:p>
            <w:pPr>
              <w:pStyle w:val="TableContents"/>
              <w:bidi w:val="0"/>
              <w:spacing w:before="0" w:after="0"/>
              <w:jc w:val="left"/>
              <w:rPr>
                <w:b/>
                <w:color w:val="000000"/>
                <w:sz w:val="20"/>
              </w:rPr>
            </w:pPr>
            <w:r>
              <w:rPr>
                <w:b/>
                <w:color w:val="000000"/>
                <w:sz w:val="20"/>
              </w:rPr>
              <w:t>%</w:t>
            </w:r>
          </w:p>
        </w:tc>
      </w:tr>
    </w:tbl>
    <w:p>
      <w:pPr>
        <w:pStyle w:val="TextBody"/>
        <w:bidi w:val="0"/>
        <w:spacing w:before="0" w:after="0"/>
        <w:jc w:val="left"/>
        <w:rPr/>
      </w:pPr>
      <w:r>
        <w:rPr/>
      </w:r>
    </w:p>
    <w:tbl>
      <w:tblPr>
        <w:tblW w:w="6325" w:type="dxa"/>
        <w:jc w:val="left"/>
        <w:tblInd w:w="0" w:type="dxa"/>
        <w:tblLayout w:type="fixed"/>
        <w:tblCellMar>
          <w:top w:w="0" w:type="dxa"/>
          <w:left w:w="0" w:type="dxa"/>
          <w:bottom w:w="0" w:type="dxa"/>
          <w:right w:w="0" w:type="dxa"/>
        </w:tblCellMar>
      </w:tblPr>
      <w:tblGrid>
        <w:gridCol w:w="365"/>
        <w:gridCol w:w="5960"/>
      </w:tblGrid>
      <w:tr>
        <w:trPr/>
        <w:tc>
          <w:tcPr>
            <w:tcW w:w="365" w:type="dxa"/>
            <w:tcBorders/>
            <w:vAlign w:val="center"/>
          </w:tcPr>
          <w:p>
            <w:pPr>
              <w:pStyle w:val="TableContents"/>
              <w:bidi w:val="0"/>
              <w:spacing w:before="0" w:after="283"/>
              <w:jc w:val="left"/>
              <w:rPr>
                <w:color w:val="000000"/>
              </w:rPr>
            </w:pPr>
            <w:r>
              <w:rPr>
                <w:color w:val="000000"/>
              </w:rPr>
              <w:t>(A)</w:t>
            </w:r>
          </w:p>
        </w:tc>
        <w:tc>
          <w:tcPr>
            <w:tcW w:w="5960" w:type="dxa"/>
            <w:tcBorders/>
            <w:vAlign w:val="center"/>
          </w:tcPr>
          <w:p>
            <w:pPr>
              <w:pStyle w:val="TableContents"/>
              <w:bidi w:val="0"/>
              <w:spacing w:before="0" w:after="0"/>
              <w:jc w:val="both"/>
              <w:rPr>
                <w:color w:val="000000"/>
                <w:sz w:val="20"/>
              </w:rPr>
            </w:pPr>
            <w:r>
              <w:rPr>
                <w:color w:val="000000"/>
                <w:sz w:val="20"/>
              </w:rPr>
              <w:t>Weighted average interest expense includes the benefits of related swaps.</w:t>
            </w:r>
          </w:p>
        </w:tc>
      </w:tr>
    </w:tbl>
    <w:p>
      <w:pPr>
        <w:pStyle w:val="TextBody"/>
        <w:bidi w:val="0"/>
        <w:spacing w:before="0" w:after="0"/>
        <w:jc w:val="left"/>
        <w:rPr>
          <w:sz w:val="20"/>
        </w:rPr>
      </w:pPr>
      <w:r>
        <w:rPr>
          <w:sz w:val="20"/>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Liquidity and Capital Resources</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Liquidity is a measurement of our ability to meet potential cash requirements, including ongoing commitments to repay borrowings, fund and maintain investments and other general business needs. Additionally, to maintain our status as a REIT under the Code, we must distribute annually at least 90% of our REIT taxable income. In 2017, the Internal Revenue Service issued a revenue procedure permitting “publicly offered” REITs to make elective stock dividends (i.e., dividends paid in a mixture of stock and cash), with at least 20% of the total distribution being paid in cash, to satisfy their REIT distribution requirements. In December 2021, the Internal Revenue Service issued a revenue procedure that temporarily reduces the minimum amount of the total distribution that must be paid in cash to 10% for distributions declared on or after November 1, 2021, and on or before June 30, 2022, provided certain other parameters detailed in the Revenue Procedure are satisfied. Pursuant to these revenue procedures, the Company has in the past elected to make distributions of its taxable income in a mixture of stock and cash.</w:t>
      </w:r>
    </w:p>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67</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Our primary sources of funds for liquidity consist of cash provided by operating activities (primarily income from our investments in RMBS and net servicing income from our MSRs), sales or repayments of RMBS and borrowings under repurchase agreements and our MSR financing arrangements.</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In the future, sources of funds for liquidity may include additional MSR financing, warehouse agreements, securitizations and the issuance of equity or debt securities, when feasible, including, without limitation, the issuance of shares of our common stock pursuant to our Common Stock ATM program or any other ATM program we have in place. For more information regarding issuances of our securities pursuant to our ATM programs, including our Common Stock ATM Program, please refer to “—General” above. In the past we have used, and we anticipate that in the future we will use a significant portion of the paydowns of the RMBS to purchase MSRs. We may also sell certain RMBS and deploy the net proceeds from such sales to the extent necessary to fund the purchase price of MSRs.</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Our primary uses of funds are the payment of interest, compensation and benefits, outstanding commitments, operating expenses, investments in new or replacement assets, margin calls and the repayment of borrowings, as well as dividends. Although we continue to maintain a higher level of unrestricted cash than prior to the pandemic, we expect to invest more of that unrestricted cash in our targeted assets if normalization of the economy continues. We may also use capital resources to repurchase additional shares of common stock under our stock repurchase program when we believe such repurchases are appropriate and/or the stock is trading at a significant discount to net asset value. We seek to maintain adequate cash reserves and other sources of available liquidity to meet any margin calls resulting from decreases in value related to a reasonably possible (in the opinion of management) change in interest rates.</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As of the date of this filing, we believe we have sufficient liquid assets to satisfy all of our short-term recourse liabilities and to satisfy covenants in our financing documents. With respect to the next twelve months, we expect that our cash on hand combined with the cash flow provided by our operations will be sufficient to satisfy our anticipated liquidity needs with respect to our current investment portfolio, including related financings, potential margin calls and operating expenses. While it is inherently more difficult to forecast beyond the next twelve months, we currently expect to meet our long-term liquidity requirements through our cash on hand and, if needed, additional borrowings, proceeds received from repurchase agreements and similar financings, proceeds from equity offerings and the liquidation or refinancing of our assets.</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Our operating cash flow differs from our net income due primarily to: (i) accretion of discount or premium on our RMBS, (ii) unrealized gains or losses on our RMBS and Servicing Related Assets, and (iii) impairment on our securities, if any.</w:t>
      </w:r>
    </w:p>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68</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Repurchase Agreements</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As of June 30, 2026, we had repurchase agreements with multiple counterparties and approximately $1,008.7 million of outstanding repurchase agreement borrowings from 18 of those counterparties, which were used to finance RMBS. As of June 30, 2026, our exposure (defined as the amount of cash and securities pledged as collateral, less the borrowing under the repurchase agreement) to any of the counterparties under the repurchase agreements did not exceed five percent of the Company’s equity. Under these agreements, which are uncommitted facilities, we sell a security to a counterparty and concurrently agree to repurchase the same security at a later date at the same price that we initially sold the security plus the interest charged. The sale price represents financing proceeds and the difference between the sale and repurchase prices represents interest on the financing. The price at which the security is sold generally represents the market value of the security less a discount or “haircut.” The weighted average haircut on our repurchase debt at June 30, 2026 was approximately 4.5%. During the term of the repurchase transaction, which can be as short as a few days, the counterparty holds the security and posts margin as collateral. The counterparty monitors and calculates what it estimates to be the value of the collateral during the term of the transaction. If this value declines by more than a de minimis threshold, the counterparty requires us to post additional collateral (or “margin”) in order to maintain the initial haircut on the collateral. This margin is typically required to be posted in the form of cash and cash equivalents. Furthermore, we are, from time to time, a party to derivative agreements or financing arrangements that may be subject to margin calls based on the value of such instruments.</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Set forth below is the average aggregate balance of borrowings under the Company’s repurchase agreements for each of the periods shown and the aggregate balance as of the end of each such period (dollars in thousands):</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Repurchase Agreement Average and Maximum Amounts</w:t>
      </w:r>
    </w:p>
    <w:p>
      <w:pPr>
        <w:pStyle w:val="TextBody"/>
        <w:bidi w:val="0"/>
        <w:spacing w:before="0" w:after="0"/>
        <w:jc w:val="left"/>
        <w:rPr>
          <w:sz w:val="20"/>
        </w:rPr>
      </w:pPr>
      <w:r>
        <w:rPr>
          <w:sz w:val="20"/>
        </w:rPr>
      </w:r>
    </w:p>
    <w:p>
      <w:pPr>
        <w:pStyle w:val="TextBody"/>
        <w:bidi w:val="0"/>
        <w:spacing w:before="0" w:after="0"/>
        <w:jc w:val="left"/>
        <w:rPr>
          <w:sz w:val="20"/>
        </w:rPr>
      </w:pPr>
      <w:r>
        <w:rPr>
          <w:sz w:val="20"/>
        </w:rPr>
      </w:r>
    </w:p>
    <w:tbl>
      <w:tblPr>
        <w:tblW w:w="8102" w:type="dxa"/>
        <w:jc w:val="left"/>
        <w:tblInd w:w="0" w:type="dxa"/>
        <w:tblLayout w:type="fixed"/>
        <w:tblCellMar>
          <w:top w:w="0" w:type="dxa"/>
          <w:left w:w="0" w:type="dxa"/>
          <w:bottom w:w="28" w:type="dxa"/>
          <w:right w:w="0" w:type="dxa"/>
        </w:tblCellMar>
      </w:tblPr>
      <w:tblGrid>
        <w:gridCol w:w="1940"/>
        <w:gridCol w:w="60"/>
        <w:gridCol w:w="225"/>
        <w:gridCol w:w="1579"/>
        <w:gridCol w:w="60"/>
        <w:gridCol w:w="60"/>
        <w:gridCol w:w="290"/>
        <w:gridCol w:w="2039"/>
        <w:gridCol w:w="60"/>
        <w:gridCol w:w="60"/>
        <w:gridCol w:w="206"/>
        <w:gridCol w:w="1448"/>
        <w:gridCol w:w="75"/>
      </w:tblGrid>
      <w:tr>
        <w:trPr/>
        <w:tc>
          <w:tcPr>
            <w:tcW w:w="1940" w:type="dxa"/>
            <w:tcBorders>
              <w:bottom w:val="single" w:sz="12" w:space="0" w:color="000000"/>
            </w:tcBorders>
            <w:vAlign w:val="bottom"/>
          </w:tcPr>
          <w:p>
            <w:pPr>
              <w:pStyle w:val="TableContents"/>
              <w:bidi w:val="0"/>
              <w:spacing w:before="0" w:after="0"/>
              <w:jc w:val="center"/>
              <w:rPr>
                <w:b/>
                <w:color w:val="000000"/>
              </w:rPr>
            </w:pPr>
            <w:r>
              <w:rPr>
                <w:b/>
                <w:color w:val="000000"/>
              </w:rPr>
              <w:t>Quarter Ended</w:t>
            </w:r>
          </w:p>
        </w:tc>
        <w:tc>
          <w:tcPr>
            <w:tcW w:w="60" w:type="dxa"/>
            <w:tcBorders/>
            <w:tcMar>
              <w:bottom w:w="0" w:type="dxa"/>
            </w:tcMar>
            <w:vAlign w:val="bottom"/>
          </w:tcPr>
          <w:p>
            <w:pPr>
              <w:pStyle w:val="TableContents"/>
              <w:bidi w:val="0"/>
              <w:spacing w:before="0" w:after="283"/>
              <w:jc w:val="left"/>
              <w:rPr/>
            </w:pPr>
            <w:r>
              <w:rPr/>
              <w:t> </w:t>
            </w:r>
          </w:p>
        </w:tc>
        <w:tc>
          <w:tcPr>
            <w:tcW w:w="1804" w:type="dxa"/>
            <w:gridSpan w:val="2"/>
            <w:tcBorders>
              <w:bottom w:val="single" w:sz="12" w:space="0" w:color="000000"/>
            </w:tcBorders>
            <w:vAlign w:val="bottom"/>
          </w:tcPr>
          <w:p>
            <w:pPr>
              <w:pStyle w:val="TableContents"/>
              <w:bidi w:val="0"/>
              <w:spacing w:before="0" w:after="0"/>
              <w:jc w:val="center"/>
              <w:rPr>
                <w:b/>
                <w:color w:val="000000"/>
              </w:rPr>
            </w:pPr>
            <w:r>
              <w:rPr>
                <w:b/>
                <w:color w:val="000000"/>
              </w:rPr>
              <w:t>Average Monthly</w:t>
              <w:br/>
              <w:t>Amount</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2329" w:type="dxa"/>
            <w:gridSpan w:val="2"/>
            <w:tcBorders>
              <w:bottom w:val="single" w:sz="12" w:space="0" w:color="000000"/>
            </w:tcBorders>
            <w:vAlign w:val="bottom"/>
          </w:tcPr>
          <w:p>
            <w:pPr>
              <w:pStyle w:val="TableContents"/>
              <w:bidi w:val="0"/>
              <w:spacing w:before="0" w:after="0"/>
              <w:jc w:val="center"/>
              <w:rPr>
                <w:b/>
                <w:color w:val="000000"/>
              </w:rPr>
            </w:pPr>
            <w:r>
              <w:rPr>
                <w:b/>
                <w:color w:val="000000"/>
              </w:rPr>
              <w:t>Maximum Month-End</w:t>
            </w:r>
          </w:p>
          <w:p>
            <w:pPr>
              <w:pStyle w:val="TableContents"/>
              <w:bidi w:val="0"/>
              <w:spacing w:before="0" w:after="0"/>
              <w:jc w:val="center"/>
              <w:rPr>
                <w:b/>
                <w:color w:val="000000"/>
              </w:rPr>
            </w:pPr>
            <w:r>
              <w:rPr>
                <w:b/>
                <w:color w:val="000000"/>
              </w:rPr>
              <w:t>Amount</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654" w:type="dxa"/>
            <w:gridSpan w:val="2"/>
            <w:tcBorders>
              <w:bottom w:val="single" w:sz="12" w:space="0" w:color="000000"/>
            </w:tcBorders>
            <w:vAlign w:val="bottom"/>
          </w:tcPr>
          <w:p>
            <w:pPr>
              <w:pStyle w:val="TableContents"/>
              <w:bidi w:val="0"/>
              <w:spacing w:before="0" w:after="0"/>
              <w:jc w:val="center"/>
              <w:rPr>
                <w:b/>
                <w:color w:val="000000"/>
              </w:rPr>
            </w:pPr>
            <w:r>
              <w:rPr>
                <w:b/>
                <w:color w:val="000000"/>
              </w:rPr>
              <w:t>Quarter Ending</w:t>
              <w:br/>
              <w:t>Amount</w:t>
            </w:r>
          </w:p>
        </w:tc>
        <w:tc>
          <w:tcPr>
            <w:tcW w:w="75" w:type="dxa"/>
            <w:tcBorders/>
            <w:tcMar>
              <w:bottom w:w="0" w:type="dxa"/>
            </w:tcMar>
            <w:vAlign w:val="bottom"/>
          </w:tcPr>
          <w:p>
            <w:pPr>
              <w:pStyle w:val="TableContents"/>
              <w:bidi w:val="0"/>
              <w:spacing w:before="0" w:after="283"/>
              <w:jc w:val="left"/>
              <w:rPr/>
            </w:pPr>
            <w:r>
              <w:rPr/>
              <w:t> </w:t>
            </w:r>
          </w:p>
        </w:tc>
      </w:tr>
      <w:tr>
        <w:trPr/>
        <w:tc>
          <w:tcPr>
            <w:tcW w:w="1940" w:type="dxa"/>
            <w:tcBorders/>
            <w:shd w:fill="CCEEFF" w:val="clear"/>
            <w:tcMar>
              <w:bottom w:w="0" w:type="dxa"/>
            </w:tcMar>
            <w:vAlign w:val="bottom"/>
          </w:tcPr>
          <w:p>
            <w:pPr>
              <w:pStyle w:val="TableContents"/>
              <w:bidi w:val="0"/>
              <w:spacing w:before="0" w:after="0"/>
              <w:ind w:left="144" w:right="0" w:hanging="144"/>
              <w:jc w:val="left"/>
              <w:rPr/>
            </w:pPr>
            <w:r>
              <w:rPr/>
              <w:t>June 30, 2026</w:t>
            </w:r>
          </w:p>
        </w:tc>
        <w:tc>
          <w:tcPr>
            <w:tcW w:w="60" w:type="dxa"/>
            <w:tcBorders/>
            <w:shd w:fill="CCEEFF" w:val="clear"/>
            <w:tcMar>
              <w:bottom w:w="0" w:type="dxa"/>
            </w:tcMar>
            <w:vAlign w:val="bottom"/>
          </w:tcPr>
          <w:p>
            <w:pPr>
              <w:pStyle w:val="TableContents"/>
              <w:bidi w:val="0"/>
              <w:spacing w:before="0" w:after="283"/>
              <w:jc w:val="left"/>
              <w:rPr/>
            </w:pPr>
            <w:r>
              <w:rPr/>
              <w:t> </w:t>
            </w:r>
          </w:p>
        </w:tc>
        <w:tc>
          <w:tcPr>
            <w:tcW w:w="225" w:type="dxa"/>
            <w:tcBorders/>
            <w:shd w:fill="CCEEFF" w:val="clear"/>
            <w:tcMar>
              <w:bottom w:w="0" w:type="dxa"/>
            </w:tcMar>
            <w:vAlign w:val="bottom"/>
          </w:tcPr>
          <w:p>
            <w:pPr>
              <w:pStyle w:val="TableContents"/>
              <w:bidi w:val="0"/>
              <w:spacing w:before="0" w:after="0"/>
              <w:jc w:val="left"/>
              <w:rPr/>
            </w:pPr>
            <w:r>
              <w:rPr/>
              <w:t>$</w:t>
            </w:r>
          </w:p>
        </w:tc>
        <w:tc>
          <w:tcPr>
            <w:tcW w:w="1579" w:type="dxa"/>
            <w:tcBorders/>
            <w:shd w:fill="CCEEFF" w:val="clear"/>
            <w:tcMar>
              <w:bottom w:w="0" w:type="dxa"/>
            </w:tcMar>
            <w:vAlign w:val="bottom"/>
          </w:tcPr>
          <w:p>
            <w:pPr>
              <w:pStyle w:val="TableContents"/>
              <w:bidi w:val="0"/>
              <w:spacing w:before="0" w:after="0"/>
              <w:jc w:val="right"/>
              <w:rPr/>
            </w:pPr>
            <w:r>
              <w:rPr/>
              <w:t>1,007,558</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290" w:type="dxa"/>
            <w:tcBorders/>
            <w:shd w:fill="CCEEFF" w:val="clear"/>
            <w:tcMar>
              <w:bottom w:w="0" w:type="dxa"/>
            </w:tcMar>
            <w:vAlign w:val="bottom"/>
          </w:tcPr>
          <w:p>
            <w:pPr>
              <w:pStyle w:val="TableContents"/>
              <w:bidi w:val="0"/>
              <w:spacing w:before="0" w:after="0"/>
              <w:jc w:val="left"/>
              <w:rPr/>
            </w:pPr>
            <w:r>
              <w:rPr/>
              <w:t>$</w:t>
            </w:r>
          </w:p>
        </w:tc>
        <w:tc>
          <w:tcPr>
            <w:tcW w:w="2039" w:type="dxa"/>
            <w:tcBorders/>
            <w:shd w:fill="CCEEFF" w:val="clear"/>
            <w:tcMar>
              <w:bottom w:w="0" w:type="dxa"/>
            </w:tcMar>
            <w:vAlign w:val="bottom"/>
          </w:tcPr>
          <w:p>
            <w:pPr>
              <w:pStyle w:val="TableContents"/>
              <w:bidi w:val="0"/>
              <w:spacing w:before="0" w:after="0"/>
              <w:jc w:val="right"/>
              <w:rPr/>
            </w:pPr>
            <w:r>
              <w:rPr/>
              <w:t>1,012,512</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206" w:type="dxa"/>
            <w:tcBorders/>
            <w:shd w:fill="CCEEFF" w:val="clear"/>
            <w:tcMar>
              <w:bottom w:w="0" w:type="dxa"/>
            </w:tcMar>
            <w:vAlign w:val="bottom"/>
          </w:tcPr>
          <w:p>
            <w:pPr>
              <w:pStyle w:val="TableContents"/>
              <w:bidi w:val="0"/>
              <w:spacing w:before="0" w:after="0"/>
              <w:jc w:val="left"/>
              <w:rPr/>
            </w:pPr>
            <w:r>
              <w:rPr/>
              <w:t>$</w:t>
            </w:r>
          </w:p>
        </w:tc>
        <w:tc>
          <w:tcPr>
            <w:tcW w:w="1448" w:type="dxa"/>
            <w:tcBorders/>
            <w:shd w:fill="CCEEFF" w:val="clear"/>
            <w:tcMar>
              <w:bottom w:w="0" w:type="dxa"/>
            </w:tcMar>
            <w:vAlign w:val="bottom"/>
          </w:tcPr>
          <w:p>
            <w:pPr>
              <w:pStyle w:val="TableContents"/>
              <w:bidi w:val="0"/>
              <w:spacing w:before="0" w:after="0"/>
              <w:jc w:val="right"/>
              <w:rPr/>
            </w:pPr>
            <w:r>
              <w:rPr/>
              <w:t>1,008,738</w:t>
            </w:r>
          </w:p>
        </w:tc>
        <w:tc>
          <w:tcPr>
            <w:tcW w:w="75" w:type="dxa"/>
            <w:tcBorders/>
            <w:shd w:fill="CCEEFF" w:val="clear"/>
            <w:tcMar>
              <w:bottom w:w="0" w:type="dxa"/>
            </w:tcMar>
            <w:vAlign w:val="bottom"/>
          </w:tcPr>
          <w:p>
            <w:pPr>
              <w:pStyle w:val="TableContents"/>
              <w:bidi w:val="0"/>
              <w:spacing w:before="0" w:after="283"/>
              <w:jc w:val="left"/>
              <w:rPr/>
            </w:pPr>
            <w:r>
              <w:rPr/>
              <w:t> </w:t>
            </w:r>
          </w:p>
        </w:tc>
      </w:tr>
      <w:tr>
        <w:trPr/>
        <w:tc>
          <w:tcPr>
            <w:tcW w:w="1940" w:type="dxa"/>
            <w:tcBorders/>
            <w:tcMar>
              <w:bottom w:w="0" w:type="dxa"/>
            </w:tcMar>
            <w:vAlign w:val="bottom"/>
          </w:tcPr>
          <w:p>
            <w:pPr>
              <w:pStyle w:val="TableContents"/>
              <w:bidi w:val="0"/>
              <w:spacing w:before="0" w:after="0"/>
              <w:ind w:left="144" w:right="0" w:hanging="144"/>
              <w:jc w:val="left"/>
              <w:rPr/>
            </w:pPr>
            <w:r>
              <w:rPr/>
              <w:t>March 31, 2026</w:t>
            </w:r>
          </w:p>
        </w:tc>
        <w:tc>
          <w:tcPr>
            <w:tcW w:w="60" w:type="dxa"/>
            <w:tcBorders/>
            <w:tcMar>
              <w:bottom w:w="0" w:type="dxa"/>
            </w:tcMar>
            <w:vAlign w:val="bottom"/>
          </w:tcPr>
          <w:p>
            <w:pPr>
              <w:pStyle w:val="TableContents"/>
              <w:bidi w:val="0"/>
              <w:spacing w:before="0" w:after="283"/>
              <w:jc w:val="left"/>
              <w:rPr/>
            </w:pPr>
            <w:r>
              <w:rPr/>
              <w:t> </w:t>
            </w:r>
          </w:p>
        </w:tc>
        <w:tc>
          <w:tcPr>
            <w:tcW w:w="225" w:type="dxa"/>
            <w:tcBorders/>
            <w:tcMar>
              <w:bottom w:w="0" w:type="dxa"/>
            </w:tcMar>
            <w:vAlign w:val="bottom"/>
          </w:tcPr>
          <w:p>
            <w:pPr>
              <w:pStyle w:val="TableContents"/>
              <w:bidi w:val="0"/>
              <w:spacing w:before="0" w:after="0"/>
              <w:jc w:val="left"/>
              <w:rPr/>
            </w:pPr>
            <w:r>
              <w:rPr/>
              <w:t>$</w:t>
            </w:r>
          </w:p>
        </w:tc>
        <w:tc>
          <w:tcPr>
            <w:tcW w:w="1579" w:type="dxa"/>
            <w:tcBorders/>
            <w:tcMar>
              <w:bottom w:w="0" w:type="dxa"/>
            </w:tcMar>
            <w:vAlign w:val="bottom"/>
          </w:tcPr>
          <w:p>
            <w:pPr>
              <w:pStyle w:val="TableContents"/>
              <w:bidi w:val="0"/>
              <w:spacing w:before="0" w:after="0"/>
              <w:jc w:val="right"/>
              <w:rPr/>
            </w:pPr>
            <w:r>
              <w:rPr/>
              <w:t>1,124,644</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290" w:type="dxa"/>
            <w:tcBorders/>
            <w:tcMar>
              <w:bottom w:w="0" w:type="dxa"/>
            </w:tcMar>
            <w:vAlign w:val="bottom"/>
          </w:tcPr>
          <w:p>
            <w:pPr>
              <w:pStyle w:val="TableContents"/>
              <w:bidi w:val="0"/>
              <w:spacing w:before="0" w:after="0"/>
              <w:jc w:val="left"/>
              <w:rPr/>
            </w:pPr>
            <w:r>
              <w:rPr/>
              <w:t>$</w:t>
            </w:r>
          </w:p>
        </w:tc>
        <w:tc>
          <w:tcPr>
            <w:tcW w:w="2039" w:type="dxa"/>
            <w:tcBorders/>
            <w:tcMar>
              <w:bottom w:w="0" w:type="dxa"/>
            </w:tcMar>
            <w:vAlign w:val="bottom"/>
          </w:tcPr>
          <w:p>
            <w:pPr>
              <w:pStyle w:val="TableContents"/>
              <w:bidi w:val="0"/>
              <w:spacing w:before="0" w:after="0"/>
              <w:jc w:val="right"/>
              <w:rPr/>
            </w:pPr>
            <w:r>
              <w:rPr/>
              <w:t>1,131,248</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206" w:type="dxa"/>
            <w:tcBorders/>
            <w:tcMar>
              <w:bottom w:w="0" w:type="dxa"/>
            </w:tcMar>
            <w:vAlign w:val="bottom"/>
          </w:tcPr>
          <w:p>
            <w:pPr>
              <w:pStyle w:val="TableContents"/>
              <w:bidi w:val="0"/>
              <w:spacing w:before="0" w:after="0"/>
              <w:jc w:val="left"/>
              <w:rPr/>
            </w:pPr>
            <w:r>
              <w:rPr/>
              <w:t>$</w:t>
            </w:r>
          </w:p>
        </w:tc>
        <w:tc>
          <w:tcPr>
            <w:tcW w:w="1448" w:type="dxa"/>
            <w:tcBorders/>
            <w:tcMar>
              <w:bottom w:w="0" w:type="dxa"/>
            </w:tcMar>
            <w:vAlign w:val="bottom"/>
          </w:tcPr>
          <w:p>
            <w:pPr>
              <w:pStyle w:val="TableContents"/>
              <w:bidi w:val="0"/>
              <w:spacing w:before="0" w:after="0"/>
              <w:jc w:val="right"/>
              <w:rPr/>
            </w:pPr>
            <w:r>
              <w:rPr/>
              <w:t>1,121,670</w:t>
            </w:r>
          </w:p>
        </w:tc>
        <w:tc>
          <w:tcPr>
            <w:tcW w:w="75" w:type="dxa"/>
            <w:tcBorders/>
            <w:tcMar>
              <w:bottom w:w="0" w:type="dxa"/>
            </w:tcMar>
            <w:vAlign w:val="bottom"/>
          </w:tcPr>
          <w:p>
            <w:pPr>
              <w:pStyle w:val="TableContents"/>
              <w:bidi w:val="0"/>
              <w:spacing w:before="0" w:after="283"/>
              <w:jc w:val="left"/>
              <w:rPr/>
            </w:pPr>
            <w:r>
              <w:rPr/>
              <w:t> </w:t>
            </w:r>
          </w:p>
        </w:tc>
      </w:tr>
      <w:tr>
        <w:trPr/>
        <w:tc>
          <w:tcPr>
            <w:tcW w:w="1940" w:type="dxa"/>
            <w:tcBorders/>
            <w:shd w:fill="CCEEFF" w:val="clear"/>
            <w:tcMar>
              <w:bottom w:w="0" w:type="dxa"/>
            </w:tcMar>
            <w:vAlign w:val="bottom"/>
          </w:tcPr>
          <w:p>
            <w:pPr>
              <w:pStyle w:val="TableContents"/>
              <w:bidi w:val="0"/>
              <w:spacing w:before="0" w:after="0"/>
              <w:ind w:left="144" w:right="0" w:hanging="144"/>
              <w:jc w:val="left"/>
              <w:rPr/>
            </w:pPr>
            <w:r>
              <w:rPr/>
              <w:t>December 31, 2025</w:t>
            </w:r>
          </w:p>
        </w:tc>
        <w:tc>
          <w:tcPr>
            <w:tcW w:w="60" w:type="dxa"/>
            <w:tcBorders/>
            <w:shd w:fill="CCEEFF" w:val="clear"/>
            <w:tcMar>
              <w:bottom w:w="0" w:type="dxa"/>
            </w:tcMar>
            <w:vAlign w:val="bottom"/>
          </w:tcPr>
          <w:p>
            <w:pPr>
              <w:pStyle w:val="TableContents"/>
              <w:bidi w:val="0"/>
              <w:spacing w:before="0" w:after="283"/>
              <w:jc w:val="left"/>
              <w:rPr/>
            </w:pPr>
            <w:r>
              <w:rPr/>
              <w:t> </w:t>
            </w:r>
          </w:p>
        </w:tc>
        <w:tc>
          <w:tcPr>
            <w:tcW w:w="225" w:type="dxa"/>
            <w:tcBorders/>
            <w:shd w:fill="CCEEFF" w:val="clear"/>
            <w:tcMar>
              <w:bottom w:w="0" w:type="dxa"/>
            </w:tcMar>
            <w:vAlign w:val="bottom"/>
          </w:tcPr>
          <w:p>
            <w:pPr>
              <w:pStyle w:val="TableContents"/>
              <w:bidi w:val="0"/>
              <w:spacing w:before="0" w:after="0"/>
              <w:jc w:val="left"/>
              <w:rPr/>
            </w:pPr>
            <w:r>
              <w:rPr/>
              <w:t>$</w:t>
            </w:r>
          </w:p>
        </w:tc>
        <w:tc>
          <w:tcPr>
            <w:tcW w:w="1579" w:type="dxa"/>
            <w:tcBorders/>
            <w:shd w:fill="CCEEFF" w:val="clear"/>
            <w:tcMar>
              <w:bottom w:w="0" w:type="dxa"/>
            </w:tcMar>
            <w:vAlign w:val="bottom"/>
          </w:tcPr>
          <w:p>
            <w:pPr>
              <w:pStyle w:val="TableContents"/>
              <w:bidi w:val="0"/>
              <w:spacing w:before="0" w:after="0"/>
              <w:jc w:val="right"/>
              <w:rPr/>
            </w:pPr>
            <w:r>
              <w:rPr/>
              <w:t>1,135,331</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290" w:type="dxa"/>
            <w:tcBorders/>
            <w:shd w:fill="CCEEFF" w:val="clear"/>
            <w:tcMar>
              <w:bottom w:w="0" w:type="dxa"/>
            </w:tcMar>
            <w:vAlign w:val="bottom"/>
          </w:tcPr>
          <w:p>
            <w:pPr>
              <w:pStyle w:val="TableContents"/>
              <w:bidi w:val="0"/>
              <w:spacing w:before="0" w:after="0"/>
              <w:jc w:val="left"/>
              <w:rPr/>
            </w:pPr>
            <w:r>
              <w:rPr/>
              <w:t>$</w:t>
            </w:r>
          </w:p>
        </w:tc>
        <w:tc>
          <w:tcPr>
            <w:tcW w:w="2039" w:type="dxa"/>
            <w:tcBorders/>
            <w:shd w:fill="CCEEFF" w:val="clear"/>
            <w:tcMar>
              <w:bottom w:w="0" w:type="dxa"/>
            </w:tcMar>
            <w:vAlign w:val="bottom"/>
          </w:tcPr>
          <w:p>
            <w:pPr>
              <w:pStyle w:val="TableContents"/>
              <w:bidi w:val="0"/>
              <w:spacing w:before="0" w:after="0"/>
              <w:jc w:val="right"/>
              <w:rPr/>
            </w:pPr>
            <w:r>
              <w:rPr/>
              <w:t>1,137,200</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206" w:type="dxa"/>
            <w:tcBorders/>
            <w:shd w:fill="CCEEFF" w:val="clear"/>
            <w:tcMar>
              <w:bottom w:w="0" w:type="dxa"/>
            </w:tcMar>
            <w:vAlign w:val="bottom"/>
          </w:tcPr>
          <w:p>
            <w:pPr>
              <w:pStyle w:val="TableContents"/>
              <w:bidi w:val="0"/>
              <w:spacing w:before="0" w:after="0"/>
              <w:jc w:val="left"/>
              <w:rPr/>
            </w:pPr>
            <w:r>
              <w:rPr/>
              <w:t>$</w:t>
            </w:r>
          </w:p>
        </w:tc>
        <w:tc>
          <w:tcPr>
            <w:tcW w:w="1448" w:type="dxa"/>
            <w:tcBorders/>
            <w:shd w:fill="CCEEFF" w:val="clear"/>
            <w:tcMar>
              <w:bottom w:w="0" w:type="dxa"/>
            </w:tcMar>
            <w:vAlign w:val="bottom"/>
          </w:tcPr>
          <w:p>
            <w:pPr>
              <w:pStyle w:val="TableContents"/>
              <w:bidi w:val="0"/>
              <w:spacing w:before="0" w:after="0"/>
              <w:jc w:val="right"/>
              <w:rPr/>
            </w:pPr>
            <w:r>
              <w:rPr/>
              <w:t>1,137,200</w:t>
            </w:r>
          </w:p>
        </w:tc>
        <w:tc>
          <w:tcPr>
            <w:tcW w:w="75" w:type="dxa"/>
            <w:tcBorders/>
            <w:shd w:fill="CCEEFF" w:val="clear"/>
            <w:tcMar>
              <w:bottom w:w="0" w:type="dxa"/>
            </w:tcMar>
            <w:vAlign w:val="bottom"/>
          </w:tcPr>
          <w:p>
            <w:pPr>
              <w:pStyle w:val="TableContents"/>
              <w:bidi w:val="0"/>
              <w:spacing w:before="0" w:after="283"/>
              <w:jc w:val="left"/>
              <w:rPr/>
            </w:pPr>
            <w:r>
              <w:rPr/>
              <w:t> </w:t>
            </w:r>
          </w:p>
        </w:tc>
      </w:tr>
      <w:tr>
        <w:trPr/>
        <w:tc>
          <w:tcPr>
            <w:tcW w:w="1940" w:type="dxa"/>
            <w:tcBorders/>
            <w:tcMar>
              <w:bottom w:w="0" w:type="dxa"/>
            </w:tcMar>
            <w:vAlign w:val="bottom"/>
          </w:tcPr>
          <w:p>
            <w:pPr>
              <w:pStyle w:val="TableContents"/>
              <w:bidi w:val="0"/>
              <w:spacing w:before="0" w:after="0"/>
              <w:ind w:left="144" w:right="0" w:hanging="144"/>
              <w:jc w:val="left"/>
              <w:rPr/>
            </w:pPr>
            <w:r>
              <w:rPr/>
              <w:t>September 30, 2025</w:t>
            </w:r>
          </w:p>
        </w:tc>
        <w:tc>
          <w:tcPr>
            <w:tcW w:w="60" w:type="dxa"/>
            <w:tcBorders/>
            <w:tcMar>
              <w:bottom w:w="0" w:type="dxa"/>
            </w:tcMar>
            <w:vAlign w:val="bottom"/>
          </w:tcPr>
          <w:p>
            <w:pPr>
              <w:pStyle w:val="TableContents"/>
              <w:bidi w:val="0"/>
              <w:spacing w:before="0" w:after="283"/>
              <w:jc w:val="left"/>
              <w:rPr/>
            </w:pPr>
            <w:r>
              <w:rPr/>
              <w:t> </w:t>
            </w:r>
          </w:p>
        </w:tc>
        <w:tc>
          <w:tcPr>
            <w:tcW w:w="225" w:type="dxa"/>
            <w:tcBorders/>
            <w:tcMar>
              <w:bottom w:w="0" w:type="dxa"/>
            </w:tcMar>
            <w:vAlign w:val="bottom"/>
          </w:tcPr>
          <w:p>
            <w:pPr>
              <w:pStyle w:val="TableContents"/>
              <w:bidi w:val="0"/>
              <w:spacing w:before="0" w:after="0"/>
              <w:jc w:val="left"/>
              <w:rPr/>
            </w:pPr>
            <w:r>
              <w:rPr/>
              <w:t>$</w:t>
            </w:r>
          </w:p>
        </w:tc>
        <w:tc>
          <w:tcPr>
            <w:tcW w:w="1579" w:type="dxa"/>
            <w:tcBorders/>
            <w:tcMar>
              <w:bottom w:w="0" w:type="dxa"/>
            </w:tcMar>
            <w:vAlign w:val="bottom"/>
          </w:tcPr>
          <w:p>
            <w:pPr>
              <w:pStyle w:val="TableContents"/>
              <w:bidi w:val="0"/>
              <w:spacing w:before="0" w:after="0"/>
              <w:jc w:val="right"/>
              <w:rPr/>
            </w:pPr>
            <w:r>
              <w:rPr/>
              <w:t>1,086,896</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290" w:type="dxa"/>
            <w:tcBorders/>
            <w:tcMar>
              <w:bottom w:w="0" w:type="dxa"/>
            </w:tcMar>
            <w:vAlign w:val="bottom"/>
          </w:tcPr>
          <w:p>
            <w:pPr>
              <w:pStyle w:val="TableContents"/>
              <w:bidi w:val="0"/>
              <w:spacing w:before="0" w:after="0"/>
              <w:jc w:val="left"/>
              <w:rPr/>
            </w:pPr>
            <w:r>
              <w:rPr/>
              <w:t>$</w:t>
            </w:r>
          </w:p>
        </w:tc>
        <w:tc>
          <w:tcPr>
            <w:tcW w:w="2039" w:type="dxa"/>
            <w:tcBorders/>
            <w:tcMar>
              <w:bottom w:w="0" w:type="dxa"/>
            </w:tcMar>
            <w:vAlign w:val="bottom"/>
          </w:tcPr>
          <w:p>
            <w:pPr>
              <w:pStyle w:val="TableContents"/>
              <w:bidi w:val="0"/>
              <w:spacing w:before="0" w:after="0"/>
              <w:jc w:val="right"/>
              <w:rPr/>
            </w:pPr>
            <w:r>
              <w:rPr/>
              <w:t>1,107,141</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206" w:type="dxa"/>
            <w:tcBorders/>
            <w:tcMar>
              <w:bottom w:w="0" w:type="dxa"/>
            </w:tcMar>
            <w:vAlign w:val="bottom"/>
          </w:tcPr>
          <w:p>
            <w:pPr>
              <w:pStyle w:val="TableContents"/>
              <w:bidi w:val="0"/>
              <w:spacing w:before="0" w:after="0"/>
              <w:jc w:val="left"/>
              <w:rPr/>
            </w:pPr>
            <w:r>
              <w:rPr/>
              <w:t>$</w:t>
            </w:r>
          </w:p>
        </w:tc>
        <w:tc>
          <w:tcPr>
            <w:tcW w:w="1448" w:type="dxa"/>
            <w:tcBorders/>
            <w:tcMar>
              <w:bottom w:w="0" w:type="dxa"/>
            </w:tcMar>
            <w:vAlign w:val="bottom"/>
          </w:tcPr>
          <w:p>
            <w:pPr>
              <w:pStyle w:val="TableContents"/>
              <w:bidi w:val="0"/>
              <w:spacing w:before="0" w:after="0"/>
              <w:jc w:val="right"/>
              <w:rPr/>
            </w:pPr>
            <w:r>
              <w:rPr/>
              <w:t>1,107,141</w:t>
            </w:r>
          </w:p>
        </w:tc>
        <w:tc>
          <w:tcPr>
            <w:tcW w:w="75" w:type="dxa"/>
            <w:tcBorders/>
            <w:tcMar>
              <w:bottom w:w="0" w:type="dxa"/>
            </w:tcMar>
            <w:vAlign w:val="bottom"/>
          </w:tcPr>
          <w:p>
            <w:pPr>
              <w:pStyle w:val="TableContents"/>
              <w:bidi w:val="0"/>
              <w:spacing w:before="0" w:after="283"/>
              <w:jc w:val="left"/>
              <w:rPr/>
            </w:pPr>
            <w:r>
              <w:rPr/>
              <w:t> </w:t>
            </w:r>
          </w:p>
        </w:tc>
      </w:tr>
      <w:tr>
        <w:trPr/>
        <w:tc>
          <w:tcPr>
            <w:tcW w:w="1940" w:type="dxa"/>
            <w:tcBorders/>
            <w:shd w:fill="CCEEFF" w:val="clear"/>
            <w:tcMar>
              <w:bottom w:w="0" w:type="dxa"/>
            </w:tcMar>
            <w:vAlign w:val="bottom"/>
          </w:tcPr>
          <w:p>
            <w:pPr>
              <w:pStyle w:val="TableContents"/>
              <w:bidi w:val="0"/>
              <w:spacing w:before="0" w:after="0"/>
              <w:ind w:left="144" w:right="0" w:hanging="144"/>
              <w:jc w:val="left"/>
              <w:rPr/>
            </w:pPr>
            <w:r>
              <w:rPr/>
              <w:t>June 30, 2025</w:t>
            </w:r>
          </w:p>
        </w:tc>
        <w:tc>
          <w:tcPr>
            <w:tcW w:w="60" w:type="dxa"/>
            <w:tcBorders/>
            <w:shd w:fill="CCEEFF" w:val="clear"/>
            <w:tcMar>
              <w:bottom w:w="0" w:type="dxa"/>
            </w:tcMar>
            <w:vAlign w:val="bottom"/>
          </w:tcPr>
          <w:p>
            <w:pPr>
              <w:pStyle w:val="TableContents"/>
              <w:bidi w:val="0"/>
              <w:spacing w:before="0" w:after="283"/>
              <w:jc w:val="left"/>
              <w:rPr/>
            </w:pPr>
            <w:r>
              <w:rPr/>
              <w:t> </w:t>
            </w:r>
          </w:p>
        </w:tc>
        <w:tc>
          <w:tcPr>
            <w:tcW w:w="225" w:type="dxa"/>
            <w:tcBorders/>
            <w:shd w:fill="CCEEFF" w:val="clear"/>
            <w:tcMar>
              <w:bottom w:w="0" w:type="dxa"/>
            </w:tcMar>
            <w:vAlign w:val="bottom"/>
          </w:tcPr>
          <w:p>
            <w:pPr>
              <w:pStyle w:val="TableContents"/>
              <w:bidi w:val="0"/>
              <w:spacing w:before="0" w:after="0"/>
              <w:jc w:val="left"/>
              <w:rPr/>
            </w:pPr>
            <w:r>
              <w:rPr/>
              <w:t>$</w:t>
            </w:r>
          </w:p>
        </w:tc>
        <w:tc>
          <w:tcPr>
            <w:tcW w:w="1579" w:type="dxa"/>
            <w:tcBorders/>
            <w:shd w:fill="CCEEFF" w:val="clear"/>
            <w:tcMar>
              <w:bottom w:w="0" w:type="dxa"/>
            </w:tcMar>
            <w:vAlign w:val="bottom"/>
          </w:tcPr>
          <w:p>
            <w:pPr>
              <w:pStyle w:val="TableContents"/>
              <w:bidi w:val="0"/>
              <w:spacing w:before="0" w:after="0"/>
              <w:jc w:val="right"/>
              <w:rPr/>
            </w:pPr>
            <w:r>
              <w:rPr/>
              <w:t>1,049,729</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290" w:type="dxa"/>
            <w:tcBorders/>
            <w:shd w:fill="CCEEFF" w:val="clear"/>
            <w:tcMar>
              <w:bottom w:w="0" w:type="dxa"/>
            </w:tcMar>
            <w:vAlign w:val="bottom"/>
          </w:tcPr>
          <w:p>
            <w:pPr>
              <w:pStyle w:val="TableContents"/>
              <w:bidi w:val="0"/>
              <w:spacing w:before="0" w:after="0"/>
              <w:jc w:val="left"/>
              <w:rPr/>
            </w:pPr>
            <w:r>
              <w:rPr/>
              <w:t>$</w:t>
            </w:r>
          </w:p>
        </w:tc>
        <w:tc>
          <w:tcPr>
            <w:tcW w:w="2039" w:type="dxa"/>
            <w:tcBorders/>
            <w:shd w:fill="CCEEFF" w:val="clear"/>
            <w:tcMar>
              <w:bottom w:w="0" w:type="dxa"/>
            </w:tcMar>
            <w:vAlign w:val="bottom"/>
          </w:tcPr>
          <w:p>
            <w:pPr>
              <w:pStyle w:val="TableContents"/>
              <w:bidi w:val="0"/>
              <w:spacing w:before="0" w:after="0"/>
              <w:jc w:val="right"/>
              <w:rPr/>
            </w:pPr>
            <w:r>
              <w:rPr/>
              <w:t>1,072,294</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206" w:type="dxa"/>
            <w:tcBorders/>
            <w:shd w:fill="CCEEFF" w:val="clear"/>
            <w:tcMar>
              <w:bottom w:w="0" w:type="dxa"/>
            </w:tcMar>
            <w:vAlign w:val="bottom"/>
          </w:tcPr>
          <w:p>
            <w:pPr>
              <w:pStyle w:val="TableContents"/>
              <w:bidi w:val="0"/>
              <w:spacing w:before="0" w:after="0"/>
              <w:jc w:val="left"/>
              <w:rPr/>
            </w:pPr>
            <w:r>
              <w:rPr/>
              <w:t>$</w:t>
            </w:r>
          </w:p>
        </w:tc>
        <w:tc>
          <w:tcPr>
            <w:tcW w:w="1448" w:type="dxa"/>
            <w:tcBorders/>
            <w:shd w:fill="CCEEFF" w:val="clear"/>
            <w:tcMar>
              <w:bottom w:w="0" w:type="dxa"/>
            </w:tcMar>
            <w:vAlign w:val="bottom"/>
          </w:tcPr>
          <w:p>
            <w:pPr>
              <w:pStyle w:val="TableContents"/>
              <w:bidi w:val="0"/>
              <w:spacing w:before="0" w:after="0"/>
              <w:jc w:val="right"/>
              <w:rPr/>
            </w:pPr>
            <w:r>
              <w:rPr/>
              <w:t>1,072,294</w:t>
            </w:r>
          </w:p>
        </w:tc>
        <w:tc>
          <w:tcPr>
            <w:tcW w:w="75" w:type="dxa"/>
            <w:tcBorders/>
            <w:shd w:fill="CCEEFF" w:val="clear"/>
            <w:tcMar>
              <w:bottom w:w="0" w:type="dxa"/>
            </w:tcMar>
            <w:vAlign w:val="bottom"/>
          </w:tcPr>
          <w:p>
            <w:pPr>
              <w:pStyle w:val="TableContents"/>
              <w:bidi w:val="0"/>
              <w:spacing w:before="0" w:after="283"/>
              <w:jc w:val="left"/>
              <w:rPr/>
            </w:pPr>
            <w:r>
              <w:rPr/>
              <w:t> </w:t>
            </w:r>
          </w:p>
        </w:tc>
      </w:tr>
      <w:tr>
        <w:trPr/>
        <w:tc>
          <w:tcPr>
            <w:tcW w:w="1940" w:type="dxa"/>
            <w:tcBorders/>
            <w:tcMar>
              <w:bottom w:w="0" w:type="dxa"/>
            </w:tcMar>
            <w:vAlign w:val="bottom"/>
          </w:tcPr>
          <w:p>
            <w:pPr>
              <w:pStyle w:val="TableContents"/>
              <w:bidi w:val="0"/>
              <w:spacing w:before="0" w:after="0"/>
              <w:ind w:left="144" w:right="0" w:hanging="144"/>
              <w:jc w:val="left"/>
              <w:rPr/>
            </w:pPr>
            <w:r>
              <w:rPr/>
              <w:t>March 31, 2025</w:t>
            </w:r>
          </w:p>
        </w:tc>
        <w:tc>
          <w:tcPr>
            <w:tcW w:w="60" w:type="dxa"/>
            <w:tcBorders/>
            <w:tcMar>
              <w:bottom w:w="0" w:type="dxa"/>
            </w:tcMar>
            <w:vAlign w:val="bottom"/>
          </w:tcPr>
          <w:p>
            <w:pPr>
              <w:pStyle w:val="TableContents"/>
              <w:bidi w:val="0"/>
              <w:spacing w:before="0" w:after="283"/>
              <w:jc w:val="left"/>
              <w:rPr/>
            </w:pPr>
            <w:r>
              <w:rPr/>
              <w:t> </w:t>
            </w:r>
          </w:p>
        </w:tc>
        <w:tc>
          <w:tcPr>
            <w:tcW w:w="225" w:type="dxa"/>
            <w:tcBorders/>
            <w:tcMar>
              <w:bottom w:w="0" w:type="dxa"/>
            </w:tcMar>
            <w:vAlign w:val="bottom"/>
          </w:tcPr>
          <w:p>
            <w:pPr>
              <w:pStyle w:val="TableContents"/>
              <w:bidi w:val="0"/>
              <w:spacing w:before="0" w:after="0"/>
              <w:jc w:val="left"/>
              <w:rPr/>
            </w:pPr>
            <w:r>
              <w:rPr/>
              <w:t>$</w:t>
            </w:r>
          </w:p>
        </w:tc>
        <w:tc>
          <w:tcPr>
            <w:tcW w:w="1579" w:type="dxa"/>
            <w:tcBorders/>
            <w:tcMar>
              <w:bottom w:w="0" w:type="dxa"/>
            </w:tcMar>
            <w:vAlign w:val="bottom"/>
          </w:tcPr>
          <w:p>
            <w:pPr>
              <w:pStyle w:val="TableContents"/>
              <w:bidi w:val="0"/>
              <w:spacing w:before="0" w:after="0"/>
              <w:jc w:val="right"/>
              <w:rPr/>
            </w:pPr>
            <w:r>
              <w:rPr/>
              <w:t>1,047,203</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290" w:type="dxa"/>
            <w:tcBorders/>
            <w:tcMar>
              <w:bottom w:w="0" w:type="dxa"/>
            </w:tcMar>
            <w:vAlign w:val="bottom"/>
          </w:tcPr>
          <w:p>
            <w:pPr>
              <w:pStyle w:val="TableContents"/>
              <w:bidi w:val="0"/>
              <w:spacing w:before="0" w:after="0"/>
              <w:jc w:val="left"/>
              <w:rPr/>
            </w:pPr>
            <w:r>
              <w:rPr/>
              <w:t>$</w:t>
            </w:r>
          </w:p>
        </w:tc>
        <w:tc>
          <w:tcPr>
            <w:tcW w:w="2039" w:type="dxa"/>
            <w:tcBorders/>
            <w:tcMar>
              <w:bottom w:w="0" w:type="dxa"/>
            </w:tcMar>
            <w:vAlign w:val="bottom"/>
          </w:tcPr>
          <w:p>
            <w:pPr>
              <w:pStyle w:val="TableContents"/>
              <w:bidi w:val="0"/>
              <w:spacing w:before="0" w:after="0"/>
              <w:jc w:val="right"/>
              <w:rPr/>
            </w:pPr>
            <w:r>
              <w:rPr/>
              <w:t>1,049,867</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206" w:type="dxa"/>
            <w:tcBorders/>
            <w:tcMar>
              <w:bottom w:w="0" w:type="dxa"/>
            </w:tcMar>
            <w:vAlign w:val="bottom"/>
          </w:tcPr>
          <w:p>
            <w:pPr>
              <w:pStyle w:val="TableContents"/>
              <w:bidi w:val="0"/>
              <w:spacing w:before="0" w:after="0"/>
              <w:jc w:val="left"/>
              <w:rPr/>
            </w:pPr>
            <w:r>
              <w:rPr/>
              <w:t>$</w:t>
            </w:r>
          </w:p>
        </w:tc>
        <w:tc>
          <w:tcPr>
            <w:tcW w:w="1448" w:type="dxa"/>
            <w:tcBorders/>
            <w:tcMar>
              <w:bottom w:w="0" w:type="dxa"/>
            </w:tcMar>
            <w:vAlign w:val="bottom"/>
          </w:tcPr>
          <w:p>
            <w:pPr>
              <w:pStyle w:val="TableContents"/>
              <w:bidi w:val="0"/>
              <w:spacing w:before="0" w:after="0"/>
              <w:jc w:val="right"/>
              <w:rPr/>
            </w:pPr>
            <w:r>
              <w:rPr/>
              <w:t>1,049,867</w:t>
            </w:r>
          </w:p>
        </w:tc>
        <w:tc>
          <w:tcPr>
            <w:tcW w:w="75" w:type="dxa"/>
            <w:tcBorders/>
            <w:tcMar>
              <w:bottom w:w="0" w:type="dxa"/>
            </w:tcMar>
            <w:vAlign w:val="bottom"/>
          </w:tcPr>
          <w:p>
            <w:pPr>
              <w:pStyle w:val="TableContents"/>
              <w:bidi w:val="0"/>
              <w:spacing w:before="0" w:after="283"/>
              <w:jc w:val="left"/>
              <w:rPr/>
            </w:pPr>
            <w:r>
              <w:rPr/>
              <w:t> </w:t>
            </w:r>
          </w:p>
        </w:tc>
      </w:tr>
      <w:tr>
        <w:trPr/>
        <w:tc>
          <w:tcPr>
            <w:tcW w:w="1940" w:type="dxa"/>
            <w:tcBorders/>
            <w:shd w:fill="CCEEFF" w:val="clear"/>
            <w:tcMar>
              <w:bottom w:w="0" w:type="dxa"/>
            </w:tcMar>
            <w:vAlign w:val="bottom"/>
          </w:tcPr>
          <w:p>
            <w:pPr>
              <w:pStyle w:val="TableContents"/>
              <w:bidi w:val="0"/>
              <w:spacing w:before="0" w:after="0"/>
              <w:ind w:left="144" w:right="0" w:hanging="144"/>
              <w:jc w:val="left"/>
              <w:rPr/>
            </w:pPr>
            <w:r>
              <w:rPr/>
              <w:t>December 31, 2024</w:t>
            </w:r>
          </w:p>
        </w:tc>
        <w:tc>
          <w:tcPr>
            <w:tcW w:w="60" w:type="dxa"/>
            <w:tcBorders/>
            <w:shd w:fill="CCEEFF" w:val="clear"/>
            <w:tcMar>
              <w:bottom w:w="0" w:type="dxa"/>
            </w:tcMar>
            <w:vAlign w:val="bottom"/>
          </w:tcPr>
          <w:p>
            <w:pPr>
              <w:pStyle w:val="TableContents"/>
              <w:bidi w:val="0"/>
              <w:spacing w:before="0" w:after="283"/>
              <w:jc w:val="left"/>
              <w:rPr/>
            </w:pPr>
            <w:r>
              <w:rPr/>
              <w:t> </w:t>
            </w:r>
          </w:p>
        </w:tc>
        <w:tc>
          <w:tcPr>
            <w:tcW w:w="225" w:type="dxa"/>
            <w:tcBorders/>
            <w:shd w:fill="CCEEFF" w:val="clear"/>
            <w:tcMar>
              <w:bottom w:w="0" w:type="dxa"/>
            </w:tcMar>
            <w:vAlign w:val="bottom"/>
          </w:tcPr>
          <w:p>
            <w:pPr>
              <w:pStyle w:val="TableContents"/>
              <w:bidi w:val="0"/>
              <w:spacing w:before="0" w:after="0"/>
              <w:jc w:val="left"/>
              <w:rPr/>
            </w:pPr>
            <w:r>
              <w:rPr/>
              <w:t>$</w:t>
            </w:r>
          </w:p>
        </w:tc>
        <w:tc>
          <w:tcPr>
            <w:tcW w:w="1579" w:type="dxa"/>
            <w:tcBorders/>
            <w:shd w:fill="CCEEFF" w:val="clear"/>
            <w:tcMar>
              <w:bottom w:w="0" w:type="dxa"/>
            </w:tcMar>
            <w:vAlign w:val="bottom"/>
          </w:tcPr>
          <w:p>
            <w:pPr>
              <w:pStyle w:val="TableContents"/>
              <w:bidi w:val="0"/>
              <w:spacing w:before="0" w:after="0"/>
              <w:jc w:val="right"/>
              <w:rPr/>
            </w:pPr>
            <w:r>
              <w:rPr/>
              <w:t>1,092,320</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290" w:type="dxa"/>
            <w:tcBorders/>
            <w:shd w:fill="CCEEFF" w:val="clear"/>
            <w:tcMar>
              <w:bottom w:w="0" w:type="dxa"/>
            </w:tcMar>
            <w:vAlign w:val="bottom"/>
          </w:tcPr>
          <w:p>
            <w:pPr>
              <w:pStyle w:val="TableContents"/>
              <w:bidi w:val="0"/>
              <w:spacing w:before="0" w:after="0"/>
              <w:jc w:val="left"/>
              <w:rPr/>
            </w:pPr>
            <w:r>
              <w:rPr/>
              <w:t>$</w:t>
            </w:r>
          </w:p>
        </w:tc>
        <w:tc>
          <w:tcPr>
            <w:tcW w:w="2039" w:type="dxa"/>
            <w:tcBorders/>
            <w:shd w:fill="CCEEFF" w:val="clear"/>
            <w:tcMar>
              <w:bottom w:w="0" w:type="dxa"/>
            </w:tcMar>
            <w:vAlign w:val="bottom"/>
          </w:tcPr>
          <w:p>
            <w:pPr>
              <w:pStyle w:val="TableContents"/>
              <w:bidi w:val="0"/>
              <w:spacing w:before="0" w:after="0"/>
              <w:jc w:val="right"/>
              <w:rPr/>
            </w:pPr>
            <w:r>
              <w:rPr/>
              <w:t>1,132,004</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206" w:type="dxa"/>
            <w:tcBorders/>
            <w:shd w:fill="CCEEFF" w:val="clear"/>
            <w:tcMar>
              <w:bottom w:w="0" w:type="dxa"/>
            </w:tcMar>
            <w:vAlign w:val="bottom"/>
          </w:tcPr>
          <w:p>
            <w:pPr>
              <w:pStyle w:val="TableContents"/>
              <w:bidi w:val="0"/>
              <w:spacing w:before="0" w:after="0"/>
              <w:jc w:val="left"/>
              <w:rPr/>
            </w:pPr>
            <w:r>
              <w:rPr/>
              <w:t>$</w:t>
            </w:r>
          </w:p>
        </w:tc>
        <w:tc>
          <w:tcPr>
            <w:tcW w:w="1448" w:type="dxa"/>
            <w:tcBorders/>
            <w:shd w:fill="CCEEFF" w:val="clear"/>
            <w:tcMar>
              <w:bottom w:w="0" w:type="dxa"/>
            </w:tcMar>
            <w:vAlign w:val="bottom"/>
          </w:tcPr>
          <w:p>
            <w:pPr>
              <w:pStyle w:val="TableContents"/>
              <w:bidi w:val="0"/>
              <w:spacing w:before="0" w:after="0"/>
              <w:jc w:val="right"/>
              <w:rPr/>
            </w:pPr>
            <w:r>
              <w:rPr/>
              <w:t>1,077,257</w:t>
            </w:r>
          </w:p>
        </w:tc>
        <w:tc>
          <w:tcPr>
            <w:tcW w:w="75" w:type="dxa"/>
            <w:tcBorders/>
            <w:shd w:fill="CCEEFF" w:val="clear"/>
            <w:tcMar>
              <w:bottom w:w="0" w:type="dxa"/>
            </w:tcMar>
            <w:vAlign w:val="bottom"/>
          </w:tcPr>
          <w:p>
            <w:pPr>
              <w:pStyle w:val="TableContents"/>
              <w:bidi w:val="0"/>
              <w:spacing w:before="0" w:after="283"/>
              <w:jc w:val="left"/>
              <w:rPr/>
            </w:pPr>
            <w:r>
              <w:rPr/>
              <w:t> </w:t>
            </w:r>
          </w:p>
        </w:tc>
      </w:tr>
      <w:tr>
        <w:trPr/>
        <w:tc>
          <w:tcPr>
            <w:tcW w:w="1940" w:type="dxa"/>
            <w:tcBorders/>
            <w:tcMar>
              <w:bottom w:w="0" w:type="dxa"/>
            </w:tcMar>
            <w:vAlign w:val="bottom"/>
          </w:tcPr>
          <w:p>
            <w:pPr>
              <w:pStyle w:val="TableContents"/>
              <w:bidi w:val="0"/>
              <w:spacing w:before="0" w:after="0"/>
              <w:ind w:left="144" w:right="0" w:hanging="144"/>
              <w:jc w:val="left"/>
              <w:rPr/>
            </w:pPr>
            <w:r>
              <w:rPr/>
              <w:t>September 30, 2024</w:t>
            </w:r>
          </w:p>
        </w:tc>
        <w:tc>
          <w:tcPr>
            <w:tcW w:w="60" w:type="dxa"/>
            <w:tcBorders/>
            <w:tcMar>
              <w:bottom w:w="0" w:type="dxa"/>
            </w:tcMar>
            <w:vAlign w:val="bottom"/>
          </w:tcPr>
          <w:p>
            <w:pPr>
              <w:pStyle w:val="TableContents"/>
              <w:bidi w:val="0"/>
              <w:spacing w:before="0" w:after="283"/>
              <w:jc w:val="left"/>
              <w:rPr/>
            </w:pPr>
            <w:r>
              <w:rPr/>
              <w:t> </w:t>
            </w:r>
          </w:p>
        </w:tc>
        <w:tc>
          <w:tcPr>
            <w:tcW w:w="225" w:type="dxa"/>
            <w:tcBorders/>
            <w:tcMar>
              <w:bottom w:w="0" w:type="dxa"/>
            </w:tcMar>
            <w:vAlign w:val="bottom"/>
          </w:tcPr>
          <w:p>
            <w:pPr>
              <w:pStyle w:val="TableContents"/>
              <w:bidi w:val="0"/>
              <w:spacing w:before="0" w:after="0"/>
              <w:jc w:val="left"/>
              <w:rPr/>
            </w:pPr>
            <w:r>
              <w:rPr/>
              <w:t>$</w:t>
            </w:r>
          </w:p>
        </w:tc>
        <w:tc>
          <w:tcPr>
            <w:tcW w:w="1579" w:type="dxa"/>
            <w:tcBorders/>
            <w:tcMar>
              <w:bottom w:w="0" w:type="dxa"/>
            </w:tcMar>
            <w:vAlign w:val="bottom"/>
          </w:tcPr>
          <w:p>
            <w:pPr>
              <w:pStyle w:val="TableContents"/>
              <w:bidi w:val="0"/>
              <w:spacing w:before="0" w:after="0"/>
              <w:jc w:val="right"/>
              <w:rPr/>
            </w:pPr>
            <w:r>
              <w:rPr/>
              <w:t>1,051,750</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290" w:type="dxa"/>
            <w:tcBorders/>
            <w:tcMar>
              <w:bottom w:w="0" w:type="dxa"/>
            </w:tcMar>
            <w:vAlign w:val="bottom"/>
          </w:tcPr>
          <w:p>
            <w:pPr>
              <w:pStyle w:val="TableContents"/>
              <w:bidi w:val="0"/>
              <w:spacing w:before="0" w:after="0"/>
              <w:jc w:val="left"/>
              <w:rPr/>
            </w:pPr>
            <w:r>
              <w:rPr/>
              <w:t>$</w:t>
            </w:r>
          </w:p>
        </w:tc>
        <w:tc>
          <w:tcPr>
            <w:tcW w:w="2039" w:type="dxa"/>
            <w:tcBorders/>
            <w:tcMar>
              <w:bottom w:w="0" w:type="dxa"/>
            </w:tcMar>
            <w:vAlign w:val="bottom"/>
          </w:tcPr>
          <w:p>
            <w:pPr>
              <w:pStyle w:val="TableContents"/>
              <w:bidi w:val="0"/>
              <w:spacing w:before="0" w:after="0"/>
              <w:jc w:val="right"/>
              <w:rPr/>
            </w:pPr>
            <w:r>
              <w:rPr/>
              <w:t>1,108,496</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206" w:type="dxa"/>
            <w:tcBorders/>
            <w:tcMar>
              <w:bottom w:w="0" w:type="dxa"/>
            </w:tcMar>
            <w:vAlign w:val="bottom"/>
          </w:tcPr>
          <w:p>
            <w:pPr>
              <w:pStyle w:val="TableContents"/>
              <w:bidi w:val="0"/>
              <w:spacing w:before="0" w:after="0"/>
              <w:jc w:val="left"/>
              <w:rPr/>
            </w:pPr>
            <w:r>
              <w:rPr/>
              <w:t>$</w:t>
            </w:r>
          </w:p>
        </w:tc>
        <w:tc>
          <w:tcPr>
            <w:tcW w:w="1448" w:type="dxa"/>
            <w:tcBorders/>
            <w:tcMar>
              <w:bottom w:w="0" w:type="dxa"/>
            </w:tcMar>
            <w:vAlign w:val="bottom"/>
          </w:tcPr>
          <w:p>
            <w:pPr>
              <w:pStyle w:val="TableContents"/>
              <w:bidi w:val="0"/>
              <w:spacing w:before="0" w:after="0"/>
              <w:jc w:val="right"/>
              <w:rPr/>
            </w:pPr>
            <w:r>
              <w:rPr/>
              <w:t>1,108,496</w:t>
            </w:r>
          </w:p>
        </w:tc>
        <w:tc>
          <w:tcPr>
            <w:tcW w:w="75" w:type="dxa"/>
            <w:tcBorders/>
            <w:tcMar>
              <w:bottom w:w="0" w:type="dxa"/>
            </w:tcMar>
            <w:vAlign w:val="bottom"/>
          </w:tcPr>
          <w:p>
            <w:pPr>
              <w:pStyle w:val="TableContents"/>
              <w:bidi w:val="0"/>
              <w:spacing w:before="0" w:after="283"/>
              <w:jc w:val="left"/>
              <w:rPr/>
            </w:pPr>
            <w:r>
              <w:rPr/>
              <w:t> </w:t>
            </w:r>
          </w:p>
        </w:tc>
      </w:tr>
    </w:tbl>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decrease in the Company’s borrowings under its repurchase agreements as of June 30, 2026 as compared to December 31, 2025 was primarily due to the sale of RMBS, a large portion of which are financed through repurchase agreements.</w:t>
      </w:r>
    </w:p>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69</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These short-term borrowings were used to finance certain of our investments in RMBS. The RMBS repurchase agreements are guaranteed by the Company. The weighted average difference between the market value of the assets and the face amount of available financing for the RMBS repurchase agreements, or the haircut, was 4.5% as of June 30, 2026 and 4.4% as of December 31, 2025. The following tables provide additional information regarding borrowings under our repurchase agreements (dollars in thousands):</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Repurchase Agreement Characteristics</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As of June 30, 2026</w:t>
      </w:r>
    </w:p>
    <w:p>
      <w:pPr>
        <w:pStyle w:val="TextBody"/>
        <w:bidi w:val="0"/>
        <w:spacing w:before="0" w:after="0"/>
        <w:jc w:val="left"/>
        <w:rPr>
          <w:sz w:val="20"/>
        </w:rPr>
      </w:pPr>
      <w:r>
        <w:rPr>
          <w:sz w:val="20"/>
        </w:rPr>
      </w:r>
    </w:p>
    <w:tbl>
      <w:tblPr>
        <w:tblW w:w="8542" w:type="dxa"/>
        <w:jc w:val="left"/>
        <w:tblInd w:w="0" w:type="dxa"/>
        <w:tblLayout w:type="fixed"/>
        <w:tblCellMar>
          <w:top w:w="0" w:type="dxa"/>
          <w:left w:w="0" w:type="dxa"/>
          <w:bottom w:w="0" w:type="dxa"/>
          <w:right w:w="0" w:type="dxa"/>
        </w:tblCellMar>
      </w:tblPr>
      <w:tblGrid>
        <w:gridCol w:w="2135"/>
        <w:gridCol w:w="60"/>
        <w:gridCol w:w="230"/>
        <w:gridCol w:w="1559"/>
        <w:gridCol w:w="60"/>
        <w:gridCol w:w="60"/>
        <w:gridCol w:w="265"/>
        <w:gridCol w:w="1794"/>
        <w:gridCol w:w="60"/>
        <w:gridCol w:w="60"/>
        <w:gridCol w:w="276"/>
        <w:gridCol w:w="1753"/>
        <w:gridCol w:w="230"/>
      </w:tblGrid>
      <w:tr>
        <w:trPr/>
        <w:tc>
          <w:tcPr>
            <w:tcW w:w="21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89" w:type="dxa"/>
            <w:gridSpan w:val="2"/>
            <w:tcBorders>
              <w:bottom w:val="single" w:sz="12" w:space="0" w:color="000000"/>
            </w:tcBorders>
            <w:tcMar>
              <w:bottom w:w="28" w:type="dxa"/>
            </w:tcMar>
            <w:vAlign w:val="bottom"/>
          </w:tcPr>
          <w:p>
            <w:pPr>
              <w:pStyle w:val="TableContents"/>
              <w:bidi w:val="0"/>
              <w:spacing w:before="0" w:after="0"/>
              <w:jc w:val="center"/>
              <w:rPr>
                <w:b/>
                <w:color w:val="000000"/>
                <w:sz w:val="20"/>
              </w:rPr>
            </w:pPr>
            <w:r>
              <w:rPr>
                <w:b/>
                <w:color w:val="000000"/>
                <w:sz w:val="20"/>
              </w:rPr>
              <w:t>RMBS Market Value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59" w:type="dxa"/>
            <w:gridSpan w:val="2"/>
            <w:tcBorders>
              <w:bottom w:val="single" w:sz="12" w:space="0" w:color="000000"/>
            </w:tcBorders>
            <w:tcMar>
              <w:bottom w:w="28" w:type="dxa"/>
            </w:tcMar>
            <w:vAlign w:val="bottom"/>
          </w:tcPr>
          <w:p>
            <w:pPr>
              <w:pStyle w:val="TableContents"/>
              <w:bidi w:val="0"/>
              <w:spacing w:before="0" w:after="0"/>
              <w:jc w:val="center"/>
              <w:rPr>
                <w:b/>
                <w:color w:val="000000"/>
                <w:sz w:val="20"/>
              </w:rPr>
            </w:pPr>
            <w:r>
              <w:rPr>
                <w:b/>
                <w:color w:val="000000"/>
                <w:sz w:val="20"/>
              </w:rPr>
              <w:t>Repurchase Agreements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29" w:type="dxa"/>
            <w:gridSpan w:val="2"/>
            <w:tcBorders>
              <w:bottom w:val="single" w:sz="12" w:space="0" w:color="000000"/>
            </w:tcBorders>
            <w:tcMar>
              <w:bottom w:w="28" w:type="dxa"/>
            </w:tcMar>
            <w:vAlign w:val="bottom"/>
          </w:tcPr>
          <w:p>
            <w:pPr>
              <w:pStyle w:val="TableContents"/>
              <w:bidi w:val="0"/>
              <w:spacing w:before="0" w:after="0"/>
              <w:jc w:val="center"/>
              <w:rPr>
                <w:b/>
                <w:color w:val="000000"/>
                <w:sz w:val="20"/>
              </w:rPr>
            </w:pPr>
            <w:r>
              <w:rPr>
                <w:b/>
                <w:color w:val="000000"/>
                <w:sz w:val="20"/>
              </w:rPr>
              <w:t>Weighted Average Rate</w:t>
            </w:r>
          </w:p>
        </w:tc>
        <w:tc>
          <w:tcPr>
            <w:tcW w:w="230" w:type="dxa"/>
            <w:tcBorders/>
            <w:vAlign w:val="bottom"/>
          </w:tcPr>
          <w:p>
            <w:pPr>
              <w:pStyle w:val="TableContents"/>
              <w:bidi w:val="0"/>
              <w:spacing w:before="0" w:after="283"/>
              <w:jc w:val="left"/>
              <w:rPr/>
            </w:pPr>
            <w:r>
              <w:rPr/>
              <w:t> </w:t>
            </w:r>
          </w:p>
        </w:tc>
      </w:tr>
      <w:tr>
        <w:trPr/>
        <w:tc>
          <w:tcPr>
            <w:tcW w:w="2135" w:type="dxa"/>
            <w:tcBorders/>
            <w:shd w:fill="CCEEFF" w:val="clear"/>
            <w:vAlign w:val="bottom"/>
          </w:tcPr>
          <w:p>
            <w:pPr>
              <w:pStyle w:val="TableContents"/>
              <w:bidi w:val="0"/>
              <w:spacing w:before="0" w:after="0"/>
              <w:jc w:val="left"/>
              <w:rPr>
                <w:color w:val="000000"/>
                <w:sz w:val="20"/>
              </w:rPr>
            </w:pPr>
            <w:r>
              <w:rPr>
                <w:color w:val="000000"/>
                <w:sz w:val="20"/>
              </w:rPr>
              <w:t>Less than one month</w:t>
            </w:r>
          </w:p>
        </w:tc>
        <w:tc>
          <w:tcPr>
            <w:tcW w:w="60" w:type="dxa"/>
            <w:tcBorders/>
            <w:shd w:fill="CCEEFF" w:val="clear"/>
            <w:vAlign w:val="bottom"/>
          </w:tcPr>
          <w:p>
            <w:pPr>
              <w:pStyle w:val="TableContents"/>
              <w:bidi w:val="0"/>
              <w:spacing w:before="0" w:after="283"/>
              <w:jc w:val="left"/>
              <w:rPr/>
            </w:pPr>
            <w:r>
              <w:rPr/>
              <w:t> </w:t>
            </w:r>
          </w:p>
        </w:tc>
        <w:tc>
          <w:tcPr>
            <w:tcW w:w="230" w:type="dxa"/>
            <w:tcBorders>
              <w:bottom w:val="single" w:sz="12" w:space="0" w:color="000000"/>
            </w:tcBorders>
            <w:shd w:fill="CCEEFF" w:val="clear"/>
            <w:tcMar>
              <w:bottom w:w="28" w:type="dxa"/>
            </w:tcMar>
            <w:vAlign w:val="bottom"/>
          </w:tcPr>
          <w:p>
            <w:pPr>
              <w:pStyle w:val="TableContents"/>
              <w:bidi w:val="0"/>
              <w:spacing w:before="0" w:after="0"/>
              <w:jc w:val="left"/>
              <w:rPr>
                <w:sz w:val="20"/>
              </w:rPr>
            </w:pPr>
            <w:r>
              <w:rPr>
                <w:sz w:val="20"/>
              </w:rPr>
              <w:t>$</w:t>
            </w:r>
          </w:p>
        </w:tc>
        <w:tc>
          <w:tcPr>
            <w:tcW w:w="1559" w:type="dxa"/>
            <w:tcBorders>
              <w:bottom w:val="single" w:sz="12" w:space="0" w:color="000000"/>
            </w:tcBorders>
            <w:shd w:fill="CCEEFF" w:val="clear"/>
            <w:tcMar>
              <w:bottom w:w="28" w:type="dxa"/>
            </w:tcMar>
            <w:vAlign w:val="bottom"/>
          </w:tcPr>
          <w:p>
            <w:pPr>
              <w:pStyle w:val="TableContents"/>
              <w:bidi w:val="0"/>
              <w:spacing w:before="0" w:after="0"/>
              <w:jc w:val="right"/>
              <w:rPr>
                <w:sz w:val="20"/>
              </w:rPr>
            </w:pPr>
            <w:r>
              <w:rPr>
                <w:sz w:val="20"/>
              </w:rPr>
              <w:t>1,054,018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5" w:type="dxa"/>
            <w:tcBorders>
              <w:bottom w:val="single" w:sz="12" w:space="0" w:color="000000"/>
            </w:tcBorders>
            <w:shd w:fill="CCEEFF" w:val="clear"/>
            <w:tcMar>
              <w:bottom w:w="28" w:type="dxa"/>
            </w:tcMar>
            <w:vAlign w:val="bottom"/>
          </w:tcPr>
          <w:p>
            <w:pPr>
              <w:pStyle w:val="TableContents"/>
              <w:bidi w:val="0"/>
              <w:spacing w:before="0" w:after="0"/>
              <w:jc w:val="left"/>
              <w:rPr>
                <w:sz w:val="20"/>
              </w:rPr>
            </w:pPr>
            <w:r>
              <w:rPr>
                <w:sz w:val="20"/>
              </w:rPr>
              <w:t>$</w:t>
            </w:r>
          </w:p>
        </w:tc>
        <w:tc>
          <w:tcPr>
            <w:tcW w:w="1794" w:type="dxa"/>
            <w:tcBorders>
              <w:bottom w:val="single" w:sz="12" w:space="0" w:color="000000"/>
            </w:tcBorders>
            <w:shd w:fill="CCEEFF" w:val="clear"/>
            <w:tcMar>
              <w:bottom w:w="28" w:type="dxa"/>
            </w:tcMar>
            <w:vAlign w:val="bottom"/>
          </w:tcPr>
          <w:p>
            <w:pPr>
              <w:pStyle w:val="TableContents"/>
              <w:bidi w:val="0"/>
              <w:spacing w:before="0" w:after="0"/>
              <w:jc w:val="right"/>
              <w:rPr>
                <w:sz w:val="20"/>
              </w:rPr>
            </w:pPr>
            <w:r>
              <w:rPr>
                <w:sz w:val="20"/>
              </w:rPr>
              <w:t>1,008,738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753" w:type="dxa"/>
            <w:tcBorders>
              <w:bottom w:val="single" w:sz="12" w:space="0" w:color="000000"/>
            </w:tcBorders>
            <w:shd w:fill="CCEEFF" w:val="clear"/>
            <w:tcMar>
              <w:bottom w:w="28" w:type="dxa"/>
            </w:tcMar>
            <w:vAlign w:val="bottom"/>
          </w:tcPr>
          <w:p>
            <w:pPr>
              <w:pStyle w:val="TableContents"/>
              <w:bidi w:val="0"/>
              <w:spacing w:before="0" w:after="0"/>
              <w:jc w:val="right"/>
              <w:rPr>
                <w:sz w:val="20"/>
              </w:rPr>
            </w:pPr>
            <w:r>
              <w:rPr>
                <w:sz w:val="20"/>
              </w:rPr>
              <w:t>3.76</w:t>
            </w:r>
          </w:p>
        </w:tc>
        <w:tc>
          <w:tcPr>
            <w:tcW w:w="230" w:type="dxa"/>
            <w:tcBorders/>
            <w:shd w:fill="CCEEFF" w:val="clear"/>
            <w:vAlign w:val="bottom"/>
          </w:tcPr>
          <w:p>
            <w:pPr>
              <w:pStyle w:val="TableContents"/>
              <w:bidi w:val="0"/>
              <w:spacing w:before="0" w:after="0"/>
              <w:jc w:val="left"/>
              <w:rPr>
                <w:color w:val="000000"/>
                <w:sz w:val="20"/>
              </w:rPr>
            </w:pPr>
            <w:r>
              <w:rPr>
                <w:color w:val="000000"/>
                <w:sz w:val="20"/>
              </w:rPr>
              <w:t>%</w:t>
            </w:r>
          </w:p>
        </w:tc>
      </w:tr>
      <w:tr>
        <w:trPr/>
        <w:tc>
          <w:tcPr>
            <w:tcW w:w="2135" w:type="dxa"/>
            <w:tcBorders/>
            <w:vAlign w:val="bottom"/>
          </w:tcPr>
          <w:p>
            <w:pPr>
              <w:pStyle w:val="TableContents"/>
              <w:bidi w:val="0"/>
              <w:spacing w:before="0" w:after="0"/>
              <w:jc w:val="left"/>
              <w:rPr>
                <w:b/>
                <w:color w:val="000000"/>
                <w:sz w:val="20"/>
              </w:rPr>
            </w:pPr>
            <w:r>
              <w:rPr>
                <w:b/>
                <w:color w:val="000000"/>
                <w:sz w:val="20"/>
              </w:rPr>
              <w:t>Total/Weighted Average</w:t>
            </w:r>
          </w:p>
        </w:tc>
        <w:tc>
          <w:tcPr>
            <w:tcW w:w="60"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0"/>
              <w:jc w:val="left"/>
              <w:rPr>
                <w:b/>
                <w:color w:val="000000"/>
                <w:sz w:val="20"/>
              </w:rPr>
            </w:pPr>
            <w:r>
              <w:rPr>
                <w:b/>
                <w:color w:val="000000"/>
                <w:sz w:val="20"/>
              </w:rPr>
              <w:t>$</w:t>
            </w:r>
          </w:p>
        </w:tc>
        <w:tc>
          <w:tcPr>
            <w:tcW w:w="1559" w:type="dxa"/>
            <w:tcBorders/>
            <w:vAlign w:val="bottom"/>
          </w:tcPr>
          <w:p>
            <w:pPr>
              <w:pStyle w:val="TableContents"/>
              <w:bidi w:val="0"/>
              <w:spacing w:before="0" w:after="0"/>
              <w:jc w:val="right"/>
              <w:rPr>
                <w:b/>
                <w:color w:val="000000"/>
                <w:sz w:val="20"/>
              </w:rPr>
            </w:pPr>
            <w:r>
              <w:rPr>
                <w:b/>
                <w:color w:val="000000"/>
                <w:sz w:val="20"/>
              </w:rPr>
              <w:t>1,054,018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0"/>
              <w:jc w:val="left"/>
              <w:rPr>
                <w:b/>
                <w:color w:val="000000"/>
                <w:sz w:val="20"/>
              </w:rPr>
            </w:pPr>
            <w:r>
              <w:rPr>
                <w:b/>
                <w:color w:val="000000"/>
                <w:sz w:val="20"/>
              </w:rPr>
              <w:t>$</w:t>
            </w:r>
          </w:p>
        </w:tc>
        <w:tc>
          <w:tcPr>
            <w:tcW w:w="1794" w:type="dxa"/>
            <w:tcBorders/>
            <w:vAlign w:val="bottom"/>
          </w:tcPr>
          <w:p>
            <w:pPr>
              <w:pStyle w:val="TableContents"/>
              <w:bidi w:val="0"/>
              <w:spacing w:before="0" w:after="0"/>
              <w:jc w:val="right"/>
              <w:rPr>
                <w:b/>
                <w:color w:val="000000"/>
                <w:sz w:val="20"/>
              </w:rPr>
            </w:pPr>
            <w:r>
              <w:rPr>
                <w:b/>
                <w:color w:val="000000"/>
                <w:sz w:val="20"/>
              </w:rPr>
              <w:t>1,008,738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753" w:type="dxa"/>
            <w:tcBorders/>
            <w:vAlign w:val="bottom"/>
          </w:tcPr>
          <w:p>
            <w:pPr>
              <w:pStyle w:val="TableContents"/>
              <w:bidi w:val="0"/>
              <w:spacing w:before="0" w:after="0"/>
              <w:jc w:val="right"/>
              <w:rPr>
                <w:b/>
                <w:color w:val="000000"/>
                <w:sz w:val="20"/>
              </w:rPr>
            </w:pPr>
            <w:r>
              <w:rPr>
                <w:b/>
                <w:color w:val="000000"/>
                <w:sz w:val="20"/>
              </w:rPr>
              <w:t>3.76</w:t>
            </w:r>
          </w:p>
        </w:tc>
        <w:tc>
          <w:tcPr>
            <w:tcW w:w="230" w:type="dxa"/>
            <w:tcBorders/>
            <w:vAlign w:val="bottom"/>
          </w:tcPr>
          <w:p>
            <w:pPr>
              <w:pStyle w:val="TableContents"/>
              <w:bidi w:val="0"/>
              <w:spacing w:before="0" w:after="0"/>
              <w:jc w:val="left"/>
              <w:rPr>
                <w:b/>
                <w:color w:val="000000"/>
                <w:sz w:val="20"/>
              </w:rPr>
            </w:pPr>
            <w:r>
              <w:rPr>
                <w:b/>
                <w:color w:val="000000"/>
                <w:sz w:val="20"/>
              </w:rPr>
              <w:t>%</w:t>
            </w:r>
          </w:p>
        </w:tc>
      </w:tr>
    </w:tbl>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As of December 31, 2025</w:t>
      </w:r>
    </w:p>
    <w:p>
      <w:pPr>
        <w:pStyle w:val="TextBody"/>
        <w:bidi w:val="0"/>
        <w:spacing w:before="0" w:after="0"/>
        <w:jc w:val="left"/>
        <w:rPr>
          <w:sz w:val="20"/>
        </w:rPr>
      </w:pPr>
      <w:r>
        <w:rPr>
          <w:sz w:val="20"/>
        </w:rPr>
      </w:r>
    </w:p>
    <w:tbl>
      <w:tblPr>
        <w:tblW w:w="8512" w:type="dxa"/>
        <w:jc w:val="left"/>
        <w:tblInd w:w="0" w:type="dxa"/>
        <w:tblLayout w:type="fixed"/>
        <w:tblCellMar>
          <w:top w:w="0" w:type="dxa"/>
          <w:left w:w="0" w:type="dxa"/>
          <w:bottom w:w="0" w:type="dxa"/>
          <w:right w:w="0" w:type="dxa"/>
        </w:tblCellMar>
      </w:tblPr>
      <w:tblGrid>
        <w:gridCol w:w="2120"/>
        <w:gridCol w:w="60"/>
        <w:gridCol w:w="230"/>
        <w:gridCol w:w="1559"/>
        <w:gridCol w:w="60"/>
        <w:gridCol w:w="60"/>
        <w:gridCol w:w="265"/>
        <w:gridCol w:w="1794"/>
        <w:gridCol w:w="60"/>
        <w:gridCol w:w="60"/>
        <w:gridCol w:w="276"/>
        <w:gridCol w:w="1753"/>
        <w:gridCol w:w="215"/>
      </w:tblGrid>
      <w:tr>
        <w:trPr/>
        <w:tc>
          <w:tcPr>
            <w:tcW w:w="2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8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RMBS Market Value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5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Repurchase Agreements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2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Weighted Average Rate</w:t>
            </w:r>
          </w:p>
        </w:tc>
        <w:tc>
          <w:tcPr>
            <w:tcW w:w="215" w:type="dxa"/>
            <w:tcBorders/>
            <w:vAlign w:val="bottom"/>
          </w:tcPr>
          <w:p>
            <w:pPr>
              <w:pStyle w:val="TableContents"/>
              <w:bidi w:val="0"/>
              <w:spacing w:before="0" w:after="283"/>
              <w:jc w:val="left"/>
              <w:rPr/>
            </w:pPr>
            <w:r>
              <w:rPr/>
              <w:t> </w:t>
            </w:r>
          </w:p>
        </w:tc>
      </w:tr>
      <w:tr>
        <w:trPr/>
        <w:tc>
          <w:tcPr>
            <w:tcW w:w="212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Less than one month</w:t>
            </w:r>
          </w:p>
        </w:tc>
        <w:tc>
          <w:tcPr>
            <w:tcW w:w="60" w:type="dxa"/>
            <w:tcBorders/>
            <w:shd w:fill="CCEEFF" w:val="clear"/>
            <w:vAlign w:val="bottom"/>
          </w:tcPr>
          <w:p>
            <w:pPr>
              <w:pStyle w:val="TableContents"/>
              <w:bidi w:val="0"/>
              <w:spacing w:before="0" w:after="283"/>
              <w:jc w:val="right"/>
              <w:rPr/>
            </w:pPr>
            <w:r>
              <w:rPr/>
              <w:t> </w:t>
            </w:r>
          </w:p>
        </w:tc>
        <w:tc>
          <w:tcPr>
            <w:tcW w:w="230"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559"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1,189,714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6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794"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1,137,200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7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75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3.99</w:t>
            </w:r>
          </w:p>
        </w:tc>
        <w:tc>
          <w:tcPr>
            <w:tcW w:w="21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212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Total/Weighted Average</w:t>
            </w:r>
          </w:p>
        </w:tc>
        <w:tc>
          <w:tcPr>
            <w:tcW w:w="60" w:type="dxa"/>
            <w:tcBorders/>
            <w:vAlign w:val="bottom"/>
          </w:tcPr>
          <w:p>
            <w:pPr>
              <w:pStyle w:val="TableContents"/>
              <w:bidi w:val="0"/>
              <w:spacing w:before="0" w:after="283"/>
              <w:jc w:val="right"/>
              <w:rPr/>
            </w:pPr>
            <w:r>
              <w:rPr/>
              <w:t> </w:t>
            </w:r>
          </w:p>
        </w:tc>
        <w:tc>
          <w:tcPr>
            <w:tcW w:w="23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1559"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1,189,714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6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1794"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1,137,200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76" w:type="dxa"/>
            <w:tcBorders/>
            <w:vAlign w:val="bottom"/>
          </w:tcPr>
          <w:p>
            <w:pPr>
              <w:pStyle w:val="TableContents"/>
              <w:bidi w:val="0"/>
              <w:spacing w:before="0" w:after="283"/>
              <w:jc w:val="left"/>
              <w:rPr/>
            </w:pPr>
            <w:r>
              <w:rPr/>
              <w:t> </w:t>
            </w:r>
          </w:p>
        </w:tc>
        <w:tc>
          <w:tcPr>
            <w:tcW w:w="1753"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3.99</w:t>
            </w:r>
          </w:p>
        </w:tc>
        <w:tc>
          <w:tcPr>
            <w:tcW w:w="21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r>
    </w:tbl>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amount of collateral as of June 30, 2026 and December 31, 2025, including cash, was $1,056.3 million and $1,192.6 million, respectively.</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weighted average term to maturity of our borrowings under repurchase agreements as of June 30, 2026 and December 31, 2025 was 20 days and 16 days, respectively.</w:t>
      </w:r>
    </w:p>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70</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MSR Financing</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As of June 30, 2026, the Company had two separate MSR financing facilities: (i) the Freddie Mac MSR Revolver, which is a revolving credit facility for up to $100.0 million that is secured by all Freddie Mac MSRs owned by Aurora; and (ii) the Fannie Mae MSR Revolving Facility, which is a revolving credit facility for up to $100.0 million, that is secured by all Fannie Mae MSRs owned by Aurora. Both financing facilities are available for MSRs as well as certain servicing related advances associated with MSRs.</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i/>
          <w:color w:val="000000"/>
          <w:sz w:val="20"/>
          <w:shd w:fill="FFFFFF" w:val="clear"/>
        </w:rPr>
        <w:t>Freddie Mac MSR Revolver</w:t>
      </w:r>
      <w:r>
        <w:rPr>
          <w:rFonts w:ascii="Times New Roman" w:hAnsi="Times New Roman"/>
          <w:color w:val="000000"/>
          <w:sz w:val="20"/>
          <w:shd w:fill="FFFFFF" w:val="clear"/>
        </w:rPr>
        <w:t>. In July 2018, the Company, Aurora and QRS V (collectively with Aurora and the Company, the “Borrowers”) entered into a $25.0 million revolving credit facility (the “Freddie Mac MSR Revolver”) pursuant to which Aurora pledged all of its existing and future MSRs on loans owned or securitized by Freddie Mac. On April 2, 2019, Aurora and QRS V entered into an amendment that increased the maximum amount of the Freddie Mac MSR Revolver to $100.0 million. In May 2026, the Borrowers entered into an amendment that extended the revolving period for an additional 364 days with the Borrowers’ option for two renewals for similar terms followed by a one-year term out feature with a 24-month amortization schedule. Amounts borrowed bear interest at a weighted average borrowing rate of 6.5%. At June 30, 2026 and December 31, 2025, approximately $54.0 million and $55.5 million, respectively, was outstanding under the Freddie Mac MSR Revolver.</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i/>
          <w:color w:val="000000"/>
          <w:sz w:val="20"/>
          <w:shd w:fill="FFFFFF" w:val="clear"/>
        </w:rPr>
        <w:t>Fannie Mae MSR Revolving Facility</w:t>
      </w:r>
      <w:r>
        <w:rPr>
          <w:rFonts w:ascii="Times New Roman" w:hAnsi="Times New Roman"/>
          <w:color w:val="000000"/>
          <w:sz w:val="20"/>
          <w:shd w:fill="FFFFFF" w:val="clear"/>
        </w:rPr>
        <w:t>. In October 2021, Aurora and QRS III entered into the Fannie Mae MSR Revolving Facility, pursuant to which Aurora and QRS III pledged their respective rights in all existing and future MSRs for loans owned or securitized by Fannie Mae to secure borrowings outstanding from time to time. The original maximum credit amount outstanding at any one time under the Fannie Mae MSR Revolving Facility was $150.0 million. The revolving period is 24 months which may be extended by agreement with the lender. In October 2023, Aurora and QRS III entered into an amendment to the Fannie Mae MSR Revolving Facility that extended the revolving period for an additional 24 months. In October 2025, Aurora and QRS III entered into an amendment to the Fannie Mae MSR which (i) extended the revolving period by an additional 24 months, and (ii) reduced the credit amount to $100 million, with the option for Aurora and QRS III to increase the maximum credit to $150 million at any time during the extended 24-month revolving period. The revolving period may be further extended by a period of 1-year by agreement with the lender. Amounts borrowed bear interest at a weighted average borrowing rate of 6.4%. At the end of the revolving period, the outstanding amount will be converted to a three-year term loan that will bear interest at a rate calculated at a spread over the rate for one-year interest rate swaps. The Company has guaranteed repayment of all indebtedness under the Fannie Mae MSR Revolving Facility. At June 30, 2026 and December 31, 2025, approximately $87.5 million and $90.8 million, respectively, was outstanding under the Fannie Mae MSR Revolving Facility.</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Cash Flows</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Operating and Investing Activities</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Our operating activities provided cash of approximately $4.6 million and $12.6 million for the three-month periods ended June 30, 2026 and March 31, 2026, respectively. Our investing activities provided cash of approximately $114.4 million and $28.5 million for the three-month periods ended June 30, 2026 and March 31, 2026, respectively. The cash provided by our investing activities primarily resulted from principal paydowns of RMBS and proceeds from the sale of RMBS offset by RMBS purchases and payments for settlements of derivatives.</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Our operating activities provided cash of approximately $17.3 million and $13.1 million for the six-month periods ended June 30, 2026 and June 30, 2025, respectively. Our investing activities provided cash of approximately $142.9 million and $0.4 million for the six-month periods ended June 30, 2026 and June 30, 2025, respectively. The cash provided by our investing activities primarily resulted from principal paydowns of RMBS and proceeds from the sale of RMBS offset by RMBS purchases and payments for settlements of derivatives.</w:t>
      </w:r>
    </w:p>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71</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Dividends</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U.S. federal income tax law generally requires that a REIT distribute annually at least 90% of its REIT taxable income, without regard to the deduction for dividends paid and excluding net capital gains, and that it pay tax at regular corporate rates to the extent that it annually distributes less than 100% of its taxable income. We intend to make regular quarterly distributions of all or substantially all of our REIT taxable income to holders of our common and preferred stock out of assets legally available for this purpose, if and to the extent authorized by our board of directors. Before we pay any dividend, whether for U.S. federal income tax purposes or otherwise, we must first meet both our operating requirements and debt service on our repurchase agreements and other debt payable. If our cash available for distribution is less than our REIT taxable income, we could be required to sell assets or borrow funds to make cash distributions, or, with respect to our common stock, we may make a portion of the required distribution in the form of a taxable stock distribution or distribution of debt securities. We will make distributions only upon the authorization of our board of directors. The amount, timing and frequency of distributions will be authorized by our board of directors based upon a variety of factors, including:</w:t>
      </w:r>
    </w:p>
    <w:p>
      <w:pPr>
        <w:pStyle w:val="TextBody"/>
        <w:bidi w:val="0"/>
        <w:spacing w:before="0" w:after="0"/>
        <w:jc w:val="left"/>
        <w:rPr>
          <w:sz w:val="20"/>
        </w:rPr>
      </w:pPr>
      <w:r>
        <w:rPr>
          <w:sz w:val="20"/>
        </w:rPr>
      </w:r>
    </w:p>
    <w:tbl>
      <w:tblPr>
        <w:tblW w:w="2395" w:type="dxa"/>
        <w:jc w:val="left"/>
        <w:tblInd w:w="0" w:type="dxa"/>
        <w:tblLayout w:type="fixed"/>
        <w:tblCellMar>
          <w:top w:w="0" w:type="dxa"/>
          <w:left w:w="0" w:type="dxa"/>
          <w:bottom w:w="0" w:type="dxa"/>
          <w:right w:w="0" w:type="dxa"/>
        </w:tblCellMar>
      </w:tblPr>
      <w:tblGrid>
        <w:gridCol w:w="125"/>
        <w:gridCol w:w="2270"/>
      </w:tblGrid>
      <w:tr>
        <w:trPr/>
        <w:tc>
          <w:tcPr>
            <w:tcW w:w="125" w:type="dxa"/>
            <w:tcBorders/>
            <w:vAlign w:val="center"/>
          </w:tcPr>
          <w:p>
            <w:pPr>
              <w:pStyle w:val="TableContents"/>
              <w:bidi w:val="0"/>
              <w:spacing w:before="0" w:after="283"/>
              <w:jc w:val="left"/>
              <w:rPr>
                <w:color w:val="000000"/>
              </w:rPr>
            </w:pPr>
            <w:r>
              <w:rPr>
                <w:color w:val="000000"/>
              </w:rPr>
              <w:t>•</w:t>
            </w:r>
          </w:p>
        </w:tc>
        <w:tc>
          <w:tcPr>
            <w:tcW w:w="2270" w:type="dxa"/>
            <w:tcBorders/>
            <w:vAlign w:val="center"/>
          </w:tcPr>
          <w:p>
            <w:pPr>
              <w:pStyle w:val="TableContents"/>
              <w:bidi w:val="0"/>
              <w:spacing w:before="0" w:after="0"/>
              <w:jc w:val="both"/>
              <w:rPr>
                <w:color w:val="000000"/>
                <w:sz w:val="20"/>
              </w:rPr>
            </w:pPr>
            <w:r>
              <w:rPr>
                <w:color w:val="000000"/>
                <w:sz w:val="20"/>
              </w:rPr>
              <w:t>actual results of operations;</w:t>
            </w:r>
          </w:p>
        </w:tc>
      </w:tr>
    </w:tbl>
    <w:p>
      <w:pPr>
        <w:pStyle w:val="TextBody"/>
        <w:bidi w:val="0"/>
        <w:spacing w:before="0" w:after="0"/>
        <w:jc w:val="left"/>
        <w:rPr>
          <w:sz w:val="20"/>
        </w:rPr>
      </w:pPr>
      <w:r>
        <w:rPr>
          <w:sz w:val="20"/>
        </w:rPr>
      </w:r>
    </w:p>
    <w:tbl>
      <w:tblPr>
        <w:tblW w:w="2740" w:type="dxa"/>
        <w:jc w:val="left"/>
        <w:tblInd w:w="0" w:type="dxa"/>
        <w:tblLayout w:type="fixed"/>
        <w:tblCellMar>
          <w:top w:w="0" w:type="dxa"/>
          <w:left w:w="0" w:type="dxa"/>
          <w:bottom w:w="0" w:type="dxa"/>
          <w:right w:w="0" w:type="dxa"/>
        </w:tblCellMar>
      </w:tblPr>
      <w:tblGrid>
        <w:gridCol w:w="125"/>
        <w:gridCol w:w="2615"/>
      </w:tblGrid>
      <w:tr>
        <w:trPr/>
        <w:tc>
          <w:tcPr>
            <w:tcW w:w="125" w:type="dxa"/>
            <w:tcBorders/>
            <w:vAlign w:val="center"/>
          </w:tcPr>
          <w:p>
            <w:pPr>
              <w:pStyle w:val="TableContents"/>
              <w:bidi w:val="0"/>
              <w:spacing w:before="0" w:after="283"/>
              <w:jc w:val="left"/>
              <w:rPr>
                <w:color w:val="000000"/>
              </w:rPr>
            </w:pPr>
            <w:r>
              <w:rPr>
                <w:color w:val="000000"/>
              </w:rPr>
              <w:t>•</w:t>
            </w:r>
          </w:p>
        </w:tc>
        <w:tc>
          <w:tcPr>
            <w:tcW w:w="2615" w:type="dxa"/>
            <w:tcBorders/>
            <w:vAlign w:val="center"/>
          </w:tcPr>
          <w:p>
            <w:pPr>
              <w:pStyle w:val="TableContents"/>
              <w:bidi w:val="0"/>
              <w:spacing w:before="0" w:after="0"/>
              <w:jc w:val="both"/>
              <w:rPr>
                <w:color w:val="000000"/>
                <w:sz w:val="20"/>
              </w:rPr>
            </w:pPr>
            <w:r>
              <w:rPr>
                <w:color w:val="000000"/>
                <w:sz w:val="20"/>
              </w:rPr>
              <w:t>our level of retained cash flows;</w:t>
            </w:r>
          </w:p>
        </w:tc>
      </w:tr>
    </w:tbl>
    <w:p>
      <w:pPr>
        <w:pStyle w:val="TextBody"/>
        <w:bidi w:val="0"/>
        <w:spacing w:before="0" w:after="0"/>
        <w:jc w:val="left"/>
        <w:rPr>
          <w:sz w:val="20"/>
        </w:rPr>
      </w:pPr>
      <w:r>
        <w:rPr>
          <w:sz w:val="20"/>
        </w:rPr>
      </w:r>
    </w:p>
    <w:tbl>
      <w:tblPr>
        <w:tblW w:w="5215" w:type="dxa"/>
        <w:jc w:val="left"/>
        <w:tblInd w:w="0" w:type="dxa"/>
        <w:tblLayout w:type="fixed"/>
        <w:tblCellMar>
          <w:top w:w="0" w:type="dxa"/>
          <w:left w:w="0" w:type="dxa"/>
          <w:bottom w:w="0" w:type="dxa"/>
          <w:right w:w="0" w:type="dxa"/>
        </w:tblCellMar>
      </w:tblPr>
      <w:tblGrid>
        <w:gridCol w:w="125"/>
        <w:gridCol w:w="5090"/>
      </w:tblGrid>
      <w:tr>
        <w:trPr/>
        <w:tc>
          <w:tcPr>
            <w:tcW w:w="125" w:type="dxa"/>
            <w:tcBorders/>
            <w:vAlign w:val="center"/>
          </w:tcPr>
          <w:p>
            <w:pPr>
              <w:pStyle w:val="TableContents"/>
              <w:bidi w:val="0"/>
              <w:spacing w:before="0" w:after="283"/>
              <w:jc w:val="left"/>
              <w:rPr>
                <w:color w:val="000000"/>
              </w:rPr>
            </w:pPr>
            <w:r>
              <w:rPr>
                <w:color w:val="000000"/>
              </w:rPr>
              <w:t>•</w:t>
            </w:r>
          </w:p>
        </w:tc>
        <w:tc>
          <w:tcPr>
            <w:tcW w:w="5090" w:type="dxa"/>
            <w:tcBorders/>
            <w:vAlign w:val="center"/>
          </w:tcPr>
          <w:p>
            <w:pPr>
              <w:pStyle w:val="TableContents"/>
              <w:bidi w:val="0"/>
              <w:spacing w:before="0" w:after="0"/>
              <w:jc w:val="both"/>
              <w:rPr>
                <w:color w:val="000000"/>
                <w:sz w:val="20"/>
              </w:rPr>
            </w:pPr>
            <w:r>
              <w:rPr>
                <w:color w:val="000000"/>
                <w:sz w:val="20"/>
              </w:rPr>
              <w:t>our ability to make additional investments in our target assets;</w:t>
            </w:r>
          </w:p>
        </w:tc>
      </w:tr>
    </w:tbl>
    <w:p>
      <w:pPr>
        <w:pStyle w:val="TextBody"/>
        <w:bidi w:val="0"/>
        <w:spacing w:before="0" w:after="0"/>
        <w:jc w:val="left"/>
        <w:rPr>
          <w:sz w:val="20"/>
        </w:rPr>
      </w:pPr>
      <w:r>
        <w:rPr>
          <w:sz w:val="20"/>
        </w:rPr>
      </w:r>
    </w:p>
    <w:tbl>
      <w:tblPr>
        <w:tblW w:w="2800" w:type="dxa"/>
        <w:jc w:val="left"/>
        <w:tblInd w:w="0" w:type="dxa"/>
        <w:tblLayout w:type="fixed"/>
        <w:tblCellMar>
          <w:top w:w="0" w:type="dxa"/>
          <w:left w:w="0" w:type="dxa"/>
          <w:bottom w:w="0" w:type="dxa"/>
          <w:right w:w="0" w:type="dxa"/>
        </w:tblCellMar>
      </w:tblPr>
      <w:tblGrid>
        <w:gridCol w:w="125"/>
        <w:gridCol w:w="2675"/>
      </w:tblGrid>
      <w:tr>
        <w:trPr/>
        <w:tc>
          <w:tcPr>
            <w:tcW w:w="125" w:type="dxa"/>
            <w:tcBorders/>
            <w:vAlign w:val="center"/>
          </w:tcPr>
          <w:p>
            <w:pPr>
              <w:pStyle w:val="TableContents"/>
              <w:bidi w:val="0"/>
              <w:spacing w:before="0" w:after="283"/>
              <w:jc w:val="left"/>
              <w:rPr>
                <w:color w:val="000000"/>
              </w:rPr>
            </w:pPr>
            <w:r>
              <w:rPr>
                <w:color w:val="000000"/>
              </w:rPr>
              <w:t>•</w:t>
            </w:r>
          </w:p>
        </w:tc>
        <w:tc>
          <w:tcPr>
            <w:tcW w:w="2675" w:type="dxa"/>
            <w:tcBorders/>
            <w:vAlign w:val="center"/>
          </w:tcPr>
          <w:p>
            <w:pPr>
              <w:pStyle w:val="TableContents"/>
              <w:bidi w:val="0"/>
              <w:spacing w:before="0" w:after="0"/>
              <w:jc w:val="both"/>
              <w:rPr>
                <w:color w:val="000000"/>
                <w:sz w:val="20"/>
              </w:rPr>
            </w:pPr>
            <w:r>
              <w:rPr>
                <w:color w:val="000000"/>
                <w:sz w:val="20"/>
              </w:rPr>
              <w:t>restrictions under Maryland law;</w:t>
            </w:r>
          </w:p>
        </w:tc>
      </w:tr>
    </w:tbl>
    <w:p>
      <w:pPr>
        <w:pStyle w:val="TextBody"/>
        <w:bidi w:val="0"/>
        <w:spacing w:before="0" w:after="0"/>
        <w:jc w:val="left"/>
        <w:rPr>
          <w:sz w:val="20"/>
        </w:rPr>
      </w:pPr>
      <w:r>
        <w:rPr>
          <w:sz w:val="20"/>
        </w:rPr>
      </w:r>
    </w:p>
    <w:tbl>
      <w:tblPr>
        <w:tblW w:w="2725" w:type="dxa"/>
        <w:jc w:val="left"/>
        <w:tblInd w:w="0" w:type="dxa"/>
        <w:tblLayout w:type="fixed"/>
        <w:tblCellMar>
          <w:top w:w="0" w:type="dxa"/>
          <w:left w:w="0" w:type="dxa"/>
          <w:bottom w:w="0" w:type="dxa"/>
          <w:right w:w="0" w:type="dxa"/>
        </w:tblCellMar>
      </w:tblPr>
      <w:tblGrid>
        <w:gridCol w:w="125"/>
        <w:gridCol w:w="2600"/>
      </w:tblGrid>
      <w:tr>
        <w:trPr/>
        <w:tc>
          <w:tcPr>
            <w:tcW w:w="125" w:type="dxa"/>
            <w:tcBorders/>
            <w:vAlign w:val="center"/>
          </w:tcPr>
          <w:p>
            <w:pPr>
              <w:pStyle w:val="TableContents"/>
              <w:bidi w:val="0"/>
              <w:spacing w:before="0" w:after="283"/>
              <w:jc w:val="left"/>
              <w:rPr>
                <w:color w:val="000000"/>
              </w:rPr>
            </w:pPr>
            <w:r>
              <w:rPr>
                <w:color w:val="000000"/>
              </w:rPr>
              <w:t>•</w:t>
            </w:r>
          </w:p>
        </w:tc>
        <w:tc>
          <w:tcPr>
            <w:tcW w:w="2600" w:type="dxa"/>
            <w:tcBorders/>
            <w:vAlign w:val="center"/>
          </w:tcPr>
          <w:p>
            <w:pPr>
              <w:pStyle w:val="TableContents"/>
              <w:bidi w:val="0"/>
              <w:spacing w:before="0" w:after="0"/>
              <w:jc w:val="both"/>
              <w:rPr>
                <w:color w:val="000000"/>
                <w:sz w:val="20"/>
              </w:rPr>
            </w:pPr>
            <w:r>
              <w:rPr>
                <w:color w:val="000000"/>
                <w:sz w:val="20"/>
              </w:rPr>
              <w:t>the terms of our preferred stock;</w:t>
            </w:r>
          </w:p>
        </w:tc>
      </w:tr>
    </w:tbl>
    <w:p>
      <w:pPr>
        <w:pStyle w:val="TextBody"/>
        <w:bidi w:val="0"/>
        <w:spacing w:before="0" w:after="0"/>
        <w:jc w:val="left"/>
        <w:rPr>
          <w:sz w:val="20"/>
        </w:rPr>
      </w:pPr>
      <w:r>
        <w:rPr>
          <w:sz w:val="20"/>
        </w:rPr>
      </w:r>
    </w:p>
    <w:tbl>
      <w:tblPr>
        <w:tblW w:w="2635" w:type="dxa"/>
        <w:jc w:val="left"/>
        <w:tblInd w:w="0" w:type="dxa"/>
        <w:tblLayout w:type="fixed"/>
        <w:tblCellMar>
          <w:top w:w="0" w:type="dxa"/>
          <w:left w:w="0" w:type="dxa"/>
          <w:bottom w:w="0" w:type="dxa"/>
          <w:right w:w="0" w:type="dxa"/>
        </w:tblCellMar>
      </w:tblPr>
      <w:tblGrid>
        <w:gridCol w:w="125"/>
        <w:gridCol w:w="2510"/>
      </w:tblGrid>
      <w:tr>
        <w:trPr/>
        <w:tc>
          <w:tcPr>
            <w:tcW w:w="125" w:type="dxa"/>
            <w:tcBorders/>
            <w:vAlign w:val="center"/>
          </w:tcPr>
          <w:p>
            <w:pPr>
              <w:pStyle w:val="TableContents"/>
              <w:bidi w:val="0"/>
              <w:spacing w:before="0" w:after="283"/>
              <w:jc w:val="left"/>
              <w:rPr>
                <w:color w:val="000000"/>
              </w:rPr>
            </w:pPr>
            <w:r>
              <w:rPr>
                <w:color w:val="000000"/>
              </w:rPr>
              <w:t>•</w:t>
            </w:r>
          </w:p>
        </w:tc>
        <w:tc>
          <w:tcPr>
            <w:tcW w:w="2510" w:type="dxa"/>
            <w:tcBorders/>
            <w:vAlign w:val="center"/>
          </w:tcPr>
          <w:p>
            <w:pPr>
              <w:pStyle w:val="TableContents"/>
              <w:bidi w:val="0"/>
              <w:spacing w:before="0" w:after="0"/>
              <w:jc w:val="both"/>
              <w:rPr>
                <w:color w:val="000000"/>
                <w:sz w:val="20"/>
              </w:rPr>
            </w:pPr>
            <w:r>
              <w:rPr>
                <w:color w:val="000000"/>
                <w:sz w:val="20"/>
              </w:rPr>
              <w:t>any debt service requirements;</w:t>
            </w:r>
          </w:p>
        </w:tc>
      </w:tr>
    </w:tbl>
    <w:p>
      <w:pPr>
        <w:pStyle w:val="TextBody"/>
        <w:bidi w:val="0"/>
        <w:spacing w:before="0" w:after="0"/>
        <w:jc w:val="left"/>
        <w:rPr>
          <w:sz w:val="20"/>
        </w:rPr>
      </w:pPr>
      <w:r>
        <w:rPr>
          <w:sz w:val="20"/>
        </w:rPr>
      </w:r>
    </w:p>
    <w:tbl>
      <w:tblPr>
        <w:tblW w:w="1780" w:type="dxa"/>
        <w:jc w:val="left"/>
        <w:tblInd w:w="0" w:type="dxa"/>
        <w:tblLayout w:type="fixed"/>
        <w:tblCellMar>
          <w:top w:w="0" w:type="dxa"/>
          <w:left w:w="0" w:type="dxa"/>
          <w:bottom w:w="0" w:type="dxa"/>
          <w:right w:w="0" w:type="dxa"/>
        </w:tblCellMar>
      </w:tblPr>
      <w:tblGrid>
        <w:gridCol w:w="125"/>
        <w:gridCol w:w="1655"/>
      </w:tblGrid>
      <w:tr>
        <w:trPr/>
        <w:tc>
          <w:tcPr>
            <w:tcW w:w="125" w:type="dxa"/>
            <w:tcBorders/>
            <w:vAlign w:val="center"/>
          </w:tcPr>
          <w:p>
            <w:pPr>
              <w:pStyle w:val="TableContents"/>
              <w:bidi w:val="0"/>
              <w:spacing w:before="0" w:after="283"/>
              <w:jc w:val="left"/>
              <w:rPr>
                <w:color w:val="000000"/>
              </w:rPr>
            </w:pPr>
            <w:r>
              <w:rPr>
                <w:color w:val="000000"/>
              </w:rPr>
              <w:t>•</w:t>
            </w:r>
          </w:p>
        </w:tc>
        <w:tc>
          <w:tcPr>
            <w:tcW w:w="1655" w:type="dxa"/>
            <w:tcBorders/>
            <w:vAlign w:val="center"/>
          </w:tcPr>
          <w:p>
            <w:pPr>
              <w:pStyle w:val="TableContents"/>
              <w:bidi w:val="0"/>
              <w:spacing w:before="0" w:after="0"/>
              <w:jc w:val="both"/>
              <w:rPr>
                <w:color w:val="000000"/>
                <w:sz w:val="20"/>
              </w:rPr>
            </w:pPr>
            <w:r>
              <w:rPr>
                <w:color w:val="000000"/>
                <w:sz w:val="20"/>
              </w:rPr>
              <w:t>our taxable income;</w:t>
            </w:r>
          </w:p>
        </w:tc>
      </w:tr>
    </w:tbl>
    <w:p>
      <w:pPr>
        <w:pStyle w:val="TextBody"/>
        <w:bidi w:val="0"/>
        <w:spacing w:before="0" w:after="0"/>
        <w:jc w:val="left"/>
        <w:rPr>
          <w:sz w:val="20"/>
        </w:rPr>
      </w:pPr>
      <w:r>
        <w:rPr>
          <w:sz w:val="20"/>
        </w:rPr>
      </w:r>
    </w:p>
    <w:tbl>
      <w:tblPr>
        <w:tblW w:w="6700" w:type="dxa"/>
        <w:jc w:val="left"/>
        <w:tblInd w:w="0" w:type="dxa"/>
        <w:tblLayout w:type="fixed"/>
        <w:tblCellMar>
          <w:top w:w="0" w:type="dxa"/>
          <w:left w:w="0" w:type="dxa"/>
          <w:bottom w:w="0" w:type="dxa"/>
          <w:right w:w="0" w:type="dxa"/>
        </w:tblCellMar>
      </w:tblPr>
      <w:tblGrid>
        <w:gridCol w:w="125"/>
        <w:gridCol w:w="6575"/>
      </w:tblGrid>
      <w:tr>
        <w:trPr/>
        <w:tc>
          <w:tcPr>
            <w:tcW w:w="125" w:type="dxa"/>
            <w:tcBorders/>
            <w:vAlign w:val="center"/>
          </w:tcPr>
          <w:p>
            <w:pPr>
              <w:pStyle w:val="TableContents"/>
              <w:bidi w:val="0"/>
              <w:spacing w:before="0" w:after="283"/>
              <w:jc w:val="left"/>
              <w:rPr>
                <w:color w:val="000000"/>
              </w:rPr>
            </w:pPr>
            <w:r>
              <w:rPr>
                <w:color w:val="000000"/>
              </w:rPr>
              <w:t>•</w:t>
            </w:r>
          </w:p>
        </w:tc>
        <w:tc>
          <w:tcPr>
            <w:tcW w:w="6575" w:type="dxa"/>
            <w:tcBorders/>
            <w:vAlign w:val="center"/>
          </w:tcPr>
          <w:p>
            <w:pPr>
              <w:pStyle w:val="TableContents"/>
              <w:bidi w:val="0"/>
              <w:spacing w:before="0" w:after="0"/>
              <w:jc w:val="both"/>
              <w:rPr>
                <w:color w:val="000000"/>
                <w:sz w:val="20"/>
              </w:rPr>
            </w:pPr>
            <w:r>
              <w:rPr>
                <w:color w:val="000000"/>
                <w:sz w:val="20"/>
              </w:rPr>
              <w:t>the annual distribution requirements under the REIT provisions of the Code; and</w:t>
            </w:r>
          </w:p>
        </w:tc>
      </w:tr>
    </w:tbl>
    <w:p>
      <w:pPr>
        <w:pStyle w:val="TextBody"/>
        <w:bidi w:val="0"/>
        <w:spacing w:before="0" w:after="0"/>
        <w:jc w:val="left"/>
        <w:rPr>
          <w:sz w:val="20"/>
        </w:rPr>
      </w:pPr>
      <w:r>
        <w:rPr>
          <w:sz w:val="20"/>
        </w:rPr>
      </w:r>
    </w:p>
    <w:tbl>
      <w:tblPr>
        <w:tblW w:w="4930" w:type="dxa"/>
        <w:jc w:val="left"/>
        <w:tblInd w:w="0" w:type="dxa"/>
        <w:tblLayout w:type="fixed"/>
        <w:tblCellMar>
          <w:top w:w="0" w:type="dxa"/>
          <w:left w:w="0" w:type="dxa"/>
          <w:bottom w:w="0" w:type="dxa"/>
          <w:right w:w="0" w:type="dxa"/>
        </w:tblCellMar>
      </w:tblPr>
      <w:tblGrid>
        <w:gridCol w:w="125"/>
        <w:gridCol w:w="4805"/>
      </w:tblGrid>
      <w:tr>
        <w:trPr/>
        <w:tc>
          <w:tcPr>
            <w:tcW w:w="125" w:type="dxa"/>
            <w:tcBorders/>
            <w:vAlign w:val="center"/>
          </w:tcPr>
          <w:p>
            <w:pPr>
              <w:pStyle w:val="TableContents"/>
              <w:bidi w:val="0"/>
              <w:spacing w:before="0" w:after="283"/>
              <w:jc w:val="left"/>
              <w:rPr>
                <w:color w:val="000000"/>
              </w:rPr>
            </w:pPr>
            <w:r>
              <w:rPr>
                <w:color w:val="000000"/>
              </w:rPr>
              <w:t>•</w:t>
            </w:r>
          </w:p>
        </w:tc>
        <w:tc>
          <w:tcPr>
            <w:tcW w:w="4805" w:type="dxa"/>
            <w:tcBorders/>
            <w:vAlign w:val="center"/>
          </w:tcPr>
          <w:p>
            <w:pPr>
              <w:pStyle w:val="TableContents"/>
              <w:bidi w:val="0"/>
              <w:spacing w:before="0" w:after="0"/>
              <w:jc w:val="both"/>
              <w:rPr>
                <w:color w:val="000000"/>
                <w:sz w:val="20"/>
              </w:rPr>
            </w:pPr>
            <w:r>
              <w:rPr>
                <w:color w:val="000000"/>
                <w:sz w:val="20"/>
              </w:rPr>
              <w:t>other factors that our board of directors may deem relevant.</w:t>
            </w:r>
          </w:p>
        </w:tc>
      </w:tr>
    </w:tbl>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Our ability to make distributions to our stockholders will depend upon the performance of our investment portfolio, and, in turn, upon the management of our business by our management team. Distributions will be made quarterly in cash to the extent that cash is available for distribution. We may not be able to generate sufficient cash available for distribution to pay distributions to our stockholders. In addition, our board of directors may change our distribution policy with respect to our common stock in the future. No assurance can be given that we will be able to make any other distributions to our stockholders at any time in the future or that the level of any distributions we do make to our stockholders will achieve a market yield or increase or even be maintained over time.</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We make distributions based on a number of factors, including an estimate of taxable earnings. Dividends distributed and taxable income will typically differ from GAAP earnings due to items such as fair value adjustments, differences in premium amortization and discount accretion, and nondeductible general and administrative expenses. Our common dividend per share may be substantially different than our taxable earnings and GAAP earnings per share. Our GAAP income per diluted share for the three-month period ended June 30, 2026 was $0.04 and our GAAP loss per diluted share for the three-month period ended March 31, 2026 was $0.05. Our GAAP loss per diluted share for the six-month periods ended June 30, 2026 and June 30, 2025 was $0.02 and $0.32, respectively.</w:t>
      </w:r>
    </w:p>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72</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Contractual Obligations</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Our contractual obligations as of June 30, 2026 and December 31, 2025 included repurchase agreements, borrowings under our MSR financing arrangements, and our subservicing agreements.</w:t>
      </w:r>
    </w:p>
    <w:p>
      <w:pPr>
        <w:pStyle w:val="TextBody"/>
        <w:bidi w:val="0"/>
        <w:spacing w:before="0" w:after="0"/>
        <w:jc w:val="left"/>
        <w:rPr>
          <w:sz w:val="20"/>
        </w:rPr>
      </w:pPr>
      <w:r>
        <w:rPr>
          <w:sz w:val="20"/>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The following table summarizes our contractual obligations for borrowed money as of the dates indicated (dollars in thousands):</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Contractual Obligations Characteristics</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As of June 30, 2026</w:t>
      </w:r>
    </w:p>
    <w:p>
      <w:pPr>
        <w:pStyle w:val="TextBody"/>
        <w:bidi w:val="0"/>
        <w:spacing w:before="0" w:after="0"/>
        <w:jc w:val="left"/>
        <w:rPr>
          <w:sz w:val="20"/>
        </w:rPr>
      </w:pPr>
      <w:r>
        <w:rPr>
          <w:sz w:val="20"/>
        </w:rPr>
      </w:r>
    </w:p>
    <w:tbl>
      <w:tblPr>
        <w:tblW w:w="10205" w:type="dxa"/>
        <w:jc w:val="left"/>
        <w:tblInd w:w="0" w:type="dxa"/>
        <w:tblLayout w:type="fixed"/>
        <w:tblCellMar>
          <w:top w:w="0" w:type="dxa"/>
          <w:left w:w="0" w:type="dxa"/>
          <w:bottom w:w="0" w:type="dxa"/>
          <w:right w:w="0" w:type="dxa"/>
        </w:tblCellMar>
      </w:tblPr>
      <w:tblGrid>
        <w:gridCol w:w="4690"/>
        <w:gridCol w:w="60"/>
        <w:gridCol w:w="140"/>
        <w:gridCol w:w="980"/>
        <w:gridCol w:w="60"/>
        <w:gridCol w:w="60"/>
        <w:gridCol w:w="140"/>
        <w:gridCol w:w="680"/>
        <w:gridCol w:w="60"/>
        <w:gridCol w:w="60"/>
        <w:gridCol w:w="140"/>
        <w:gridCol w:w="680"/>
        <w:gridCol w:w="60"/>
        <w:gridCol w:w="60"/>
        <w:gridCol w:w="606"/>
        <w:gridCol w:w="412"/>
        <w:gridCol w:w="60"/>
        <w:gridCol w:w="60"/>
        <w:gridCol w:w="140"/>
        <w:gridCol w:w="980"/>
        <w:gridCol w:w="77"/>
      </w:tblGrid>
      <w:tr>
        <w:trPr/>
        <w:tc>
          <w:tcPr>
            <w:tcW w:w="46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Less than</w:t>
              <w:br/>
              <w:t>1 year</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1 to 3</w:t>
              <w:br/>
              <w:t>years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3 to 5</w:t>
              <w:br/>
              <w:t>years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8"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More than</w:t>
              <w:br/>
              <w:t>5 years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Total</w:t>
            </w:r>
          </w:p>
        </w:tc>
        <w:tc>
          <w:tcPr>
            <w:tcW w:w="77" w:type="dxa"/>
            <w:tcBorders/>
            <w:vAlign w:val="bottom"/>
          </w:tcPr>
          <w:p>
            <w:pPr>
              <w:pStyle w:val="TableContents"/>
              <w:bidi w:val="0"/>
              <w:spacing w:before="0" w:after="283"/>
              <w:jc w:val="left"/>
              <w:rPr/>
            </w:pPr>
            <w:r>
              <w:rPr/>
              <w:t> </w:t>
            </w:r>
          </w:p>
        </w:tc>
      </w:tr>
      <w:tr>
        <w:trPr/>
        <w:tc>
          <w:tcPr>
            <w:tcW w:w="4690" w:type="dxa"/>
            <w:tcBorders/>
            <w:shd w:fill="CCEEFF" w:val="clear"/>
            <w:vAlign w:val="bottom"/>
          </w:tcPr>
          <w:p>
            <w:pPr>
              <w:pStyle w:val="TableContents"/>
              <w:bidi w:val="0"/>
              <w:spacing w:before="0" w:after="0"/>
              <w:ind w:left="144" w:right="0" w:hanging="144"/>
              <w:jc w:val="left"/>
              <w:rPr>
                <w:b/>
                <w:color w:val="000000"/>
              </w:rPr>
            </w:pPr>
            <w:r>
              <w:rPr>
                <w:b/>
                <w:color w:val="000000"/>
              </w:rPr>
              <w:t>Repurchase agreements</w:t>
            </w:r>
          </w:p>
        </w:tc>
        <w:tc>
          <w:tcPr>
            <w:tcW w:w="60" w:type="dxa"/>
            <w:tcBorders/>
            <w:shd w:fill="CCEEFF" w:val="clear"/>
            <w:vAlign w:val="bottom"/>
          </w:tcPr>
          <w:p>
            <w:pPr>
              <w:pStyle w:val="TableContents"/>
              <w:bidi w:val="0"/>
              <w:spacing w:before="0" w:after="283"/>
              <w:jc w:val="left"/>
              <w:rPr/>
            </w:pPr>
            <w:r>
              <w:rPr/>
              <w:t> </w:t>
            </w:r>
          </w:p>
        </w:tc>
        <w:tc>
          <w:tcPr>
            <w:tcW w:w="1120" w:type="dxa"/>
            <w:gridSpan w:val="2"/>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20" w:type="dxa"/>
            <w:gridSpan w:val="2"/>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20" w:type="dxa"/>
            <w:gridSpan w:val="2"/>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18" w:type="dxa"/>
            <w:gridSpan w:val="2"/>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0" w:type="dxa"/>
            <w:gridSpan w:val="2"/>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r>
      <w:tr>
        <w:trPr/>
        <w:tc>
          <w:tcPr>
            <w:tcW w:w="4690" w:type="dxa"/>
            <w:tcBorders/>
            <w:vAlign w:val="bottom"/>
          </w:tcPr>
          <w:p>
            <w:pPr>
              <w:pStyle w:val="TableContents"/>
              <w:bidi w:val="0"/>
              <w:spacing w:before="0" w:after="0"/>
              <w:ind w:left="324" w:right="0" w:hanging="144"/>
              <w:jc w:val="left"/>
              <w:rPr>
                <w:color w:val="000000"/>
              </w:rPr>
            </w:pPr>
            <w:r>
              <w:rPr>
                <w:color w:val="000000"/>
              </w:rPr>
              <w:t>Borrowings under repurchase agreements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0"/>
              <w:jc w:val="left"/>
              <w:rPr/>
            </w:pPr>
            <w:r>
              <w:rPr/>
              <w:t>$</w:t>
            </w:r>
          </w:p>
        </w:tc>
        <w:tc>
          <w:tcPr>
            <w:tcW w:w="980" w:type="dxa"/>
            <w:tcBorders/>
            <w:vAlign w:val="bottom"/>
          </w:tcPr>
          <w:p>
            <w:pPr>
              <w:pStyle w:val="TableContents"/>
              <w:bidi w:val="0"/>
              <w:spacing w:before="0" w:after="0"/>
              <w:jc w:val="right"/>
              <w:rPr/>
            </w:pPr>
            <w:r>
              <w:rPr/>
              <w:t>1,008,738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0"/>
              <w:jc w:val="left"/>
              <w:rPr/>
            </w:pPr>
            <w:r>
              <w:rPr/>
              <w:t>$</w:t>
            </w:r>
          </w:p>
        </w:tc>
        <w:tc>
          <w:tcPr>
            <w:tcW w:w="680"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0"/>
              <w:jc w:val="left"/>
              <w:rPr/>
            </w:pPr>
            <w:r>
              <w:rPr/>
              <w:t>$</w:t>
            </w:r>
          </w:p>
        </w:tc>
        <w:tc>
          <w:tcPr>
            <w:tcW w:w="680"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6" w:type="dxa"/>
            <w:tcBorders/>
            <w:vAlign w:val="bottom"/>
          </w:tcPr>
          <w:p>
            <w:pPr>
              <w:pStyle w:val="TableContents"/>
              <w:bidi w:val="0"/>
              <w:spacing w:before="0" w:after="0"/>
              <w:jc w:val="left"/>
              <w:rPr/>
            </w:pPr>
            <w:r>
              <w:rPr/>
              <w:t>$</w:t>
            </w:r>
          </w:p>
        </w:tc>
        <w:tc>
          <w:tcPr>
            <w:tcW w:w="412"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0"/>
              <w:jc w:val="left"/>
              <w:rPr/>
            </w:pPr>
            <w:r>
              <w:rPr/>
              <w:t>$</w:t>
            </w:r>
          </w:p>
        </w:tc>
        <w:tc>
          <w:tcPr>
            <w:tcW w:w="980" w:type="dxa"/>
            <w:tcBorders/>
            <w:vAlign w:val="bottom"/>
          </w:tcPr>
          <w:p>
            <w:pPr>
              <w:pStyle w:val="TableContents"/>
              <w:bidi w:val="0"/>
              <w:spacing w:before="0" w:after="0"/>
              <w:jc w:val="right"/>
              <w:rPr/>
            </w:pPr>
            <w:r>
              <w:rPr/>
              <w:t>1,008,738</w:t>
            </w:r>
          </w:p>
        </w:tc>
        <w:tc>
          <w:tcPr>
            <w:tcW w:w="77" w:type="dxa"/>
            <w:tcBorders/>
            <w:vAlign w:val="bottom"/>
          </w:tcPr>
          <w:p>
            <w:pPr>
              <w:pStyle w:val="TableContents"/>
              <w:bidi w:val="0"/>
              <w:spacing w:before="0" w:after="283"/>
              <w:jc w:val="left"/>
              <w:rPr/>
            </w:pPr>
            <w:r>
              <w:rPr/>
              <w:t> </w:t>
            </w:r>
          </w:p>
        </w:tc>
      </w:tr>
      <w:tr>
        <w:trPr/>
        <w:tc>
          <w:tcPr>
            <w:tcW w:w="4690" w:type="dxa"/>
            <w:tcBorders/>
            <w:shd w:fill="CCEEFF" w:val="clear"/>
            <w:vAlign w:val="bottom"/>
          </w:tcPr>
          <w:p>
            <w:pPr>
              <w:pStyle w:val="TableContents"/>
              <w:bidi w:val="0"/>
              <w:spacing w:lineRule="auto" w:line="240" w:before="0" w:after="0"/>
              <w:ind w:left="324" w:right="0" w:hanging="144"/>
              <w:jc w:val="left"/>
              <w:rPr>
                <w:color w:val="000000"/>
              </w:rPr>
            </w:pPr>
            <w:r>
              <w:rPr>
                <w:color w:val="000000"/>
              </w:rPr>
              <w:t>Interest on repurchase agreement borrowings(A)</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pPr>
            <w:r>
              <w:rPr/>
              <w:t>$</w:t>
            </w:r>
          </w:p>
        </w:tc>
        <w:tc>
          <w:tcPr>
            <w:tcW w:w="980" w:type="dxa"/>
            <w:tcBorders/>
            <w:shd w:fill="CCEEFF" w:val="clear"/>
            <w:vAlign w:val="bottom"/>
          </w:tcPr>
          <w:p>
            <w:pPr>
              <w:pStyle w:val="TableContents"/>
              <w:bidi w:val="0"/>
              <w:spacing w:before="0" w:after="0"/>
              <w:jc w:val="right"/>
              <w:rPr/>
            </w:pPr>
            <w:r>
              <w:rPr/>
              <w:t>1,591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pPr>
            <w:r>
              <w:rPr/>
              <w:t>$</w:t>
            </w:r>
          </w:p>
        </w:tc>
        <w:tc>
          <w:tcPr>
            <w:tcW w:w="680"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pPr>
            <w:r>
              <w:rPr/>
              <w:t>$</w:t>
            </w:r>
          </w:p>
        </w:tc>
        <w:tc>
          <w:tcPr>
            <w:tcW w:w="680"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6" w:type="dxa"/>
            <w:tcBorders/>
            <w:shd w:fill="CCEEFF" w:val="clear"/>
            <w:vAlign w:val="bottom"/>
          </w:tcPr>
          <w:p>
            <w:pPr>
              <w:pStyle w:val="TableContents"/>
              <w:bidi w:val="0"/>
              <w:spacing w:before="0" w:after="0"/>
              <w:jc w:val="left"/>
              <w:rPr/>
            </w:pPr>
            <w:r>
              <w:rPr/>
              <w:t>$</w:t>
            </w:r>
          </w:p>
        </w:tc>
        <w:tc>
          <w:tcPr>
            <w:tcW w:w="412"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pPr>
            <w:r>
              <w:rPr/>
              <w:t>$</w:t>
            </w:r>
          </w:p>
        </w:tc>
        <w:tc>
          <w:tcPr>
            <w:tcW w:w="980" w:type="dxa"/>
            <w:tcBorders/>
            <w:shd w:fill="CCEEFF" w:val="clear"/>
            <w:vAlign w:val="bottom"/>
          </w:tcPr>
          <w:p>
            <w:pPr>
              <w:pStyle w:val="TableContents"/>
              <w:bidi w:val="0"/>
              <w:spacing w:before="0" w:after="0"/>
              <w:jc w:val="right"/>
              <w:rPr/>
            </w:pPr>
            <w:r>
              <w:rPr/>
              <w:t>1,591</w:t>
            </w:r>
          </w:p>
        </w:tc>
        <w:tc>
          <w:tcPr>
            <w:tcW w:w="77" w:type="dxa"/>
            <w:tcBorders/>
            <w:shd w:fill="CCEEFF" w:val="clear"/>
            <w:vAlign w:val="bottom"/>
          </w:tcPr>
          <w:p>
            <w:pPr>
              <w:pStyle w:val="TableContents"/>
              <w:bidi w:val="0"/>
              <w:spacing w:before="0" w:after="283"/>
              <w:jc w:val="left"/>
              <w:rPr/>
            </w:pPr>
            <w:r>
              <w:rPr/>
              <w:t> </w:t>
            </w:r>
          </w:p>
        </w:tc>
      </w:tr>
      <w:tr>
        <w:trPr/>
        <w:tc>
          <w:tcPr>
            <w:tcW w:w="4690" w:type="dxa"/>
            <w:tcBorders/>
            <w:vAlign w:val="bottom"/>
          </w:tcPr>
          <w:p>
            <w:pPr>
              <w:pStyle w:val="TableContents"/>
              <w:bidi w:val="0"/>
              <w:spacing w:before="0" w:after="0"/>
              <w:ind w:left="144" w:right="0" w:hanging="144"/>
              <w:jc w:val="left"/>
              <w:rPr>
                <w:b/>
                <w:color w:val="000000"/>
              </w:rPr>
            </w:pPr>
            <w:r>
              <w:rPr>
                <w:b/>
                <w:color w:val="000000"/>
              </w:rPr>
              <w:t>Freddie Mac MSR Revolver</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6" w:type="dxa"/>
            <w:tcBorders/>
            <w:vAlign w:val="bottom"/>
          </w:tcPr>
          <w:p>
            <w:pPr>
              <w:pStyle w:val="TableContents"/>
              <w:bidi w:val="0"/>
              <w:spacing w:before="0" w:after="283"/>
              <w:jc w:val="left"/>
              <w:rPr/>
            </w:pPr>
            <w:r>
              <w:rPr/>
              <w:t> </w:t>
            </w:r>
          </w:p>
        </w:tc>
        <w:tc>
          <w:tcPr>
            <w:tcW w:w="41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77" w:type="dxa"/>
            <w:tcBorders/>
            <w:vAlign w:val="bottom"/>
          </w:tcPr>
          <w:p>
            <w:pPr>
              <w:pStyle w:val="TableContents"/>
              <w:bidi w:val="0"/>
              <w:spacing w:before="0" w:after="283"/>
              <w:jc w:val="left"/>
              <w:rPr/>
            </w:pPr>
            <w:r>
              <w:rPr/>
              <w:t> </w:t>
            </w:r>
          </w:p>
        </w:tc>
      </w:tr>
      <w:tr>
        <w:trPr/>
        <w:tc>
          <w:tcPr>
            <w:tcW w:w="4690" w:type="dxa"/>
            <w:tcBorders/>
            <w:shd w:fill="CCEEFF" w:val="clear"/>
            <w:vAlign w:val="bottom"/>
          </w:tcPr>
          <w:p>
            <w:pPr>
              <w:pStyle w:val="TableContents"/>
              <w:bidi w:val="0"/>
              <w:spacing w:before="0" w:after="0"/>
              <w:ind w:left="324" w:right="0" w:hanging="144"/>
              <w:jc w:val="left"/>
              <w:rPr>
                <w:color w:val="000000"/>
              </w:rPr>
            </w:pPr>
            <w:r>
              <w:rPr>
                <w:color w:val="000000"/>
              </w:rPr>
              <w:t>Borrowings under Freddie Mac MSR Revolver</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pPr>
            <w:r>
              <w:rPr/>
              <w:t>$</w:t>
            </w:r>
          </w:p>
        </w:tc>
        <w:tc>
          <w:tcPr>
            <w:tcW w:w="980"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pPr>
            <w:r>
              <w:rPr/>
              <w:t>$</w:t>
            </w:r>
          </w:p>
        </w:tc>
        <w:tc>
          <w:tcPr>
            <w:tcW w:w="680" w:type="dxa"/>
            <w:tcBorders/>
            <w:shd w:fill="CCEEFF" w:val="clear"/>
            <w:vAlign w:val="bottom"/>
          </w:tcPr>
          <w:p>
            <w:pPr>
              <w:pStyle w:val="TableContents"/>
              <w:bidi w:val="0"/>
              <w:spacing w:before="0" w:after="0"/>
              <w:jc w:val="right"/>
              <w:rPr/>
            </w:pPr>
            <w:r>
              <w:rPr/>
              <w:t>54,000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pPr>
            <w:r>
              <w:rPr/>
              <w:t>$</w:t>
            </w:r>
          </w:p>
        </w:tc>
        <w:tc>
          <w:tcPr>
            <w:tcW w:w="680"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6" w:type="dxa"/>
            <w:tcBorders/>
            <w:shd w:fill="CCEEFF" w:val="clear"/>
            <w:vAlign w:val="bottom"/>
          </w:tcPr>
          <w:p>
            <w:pPr>
              <w:pStyle w:val="TableContents"/>
              <w:bidi w:val="0"/>
              <w:spacing w:before="0" w:after="0"/>
              <w:jc w:val="left"/>
              <w:rPr/>
            </w:pPr>
            <w:r>
              <w:rPr/>
              <w:t>$</w:t>
            </w:r>
          </w:p>
        </w:tc>
        <w:tc>
          <w:tcPr>
            <w:tcW w:w="412"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pPr>
            <w:r>
              <w:rPr/>
              <w:t>$</w:t>
            </w:r>
          </w:p>
        </w:tc>
        <w:tc>
          <w:tcPr>
            <w:tcW w:w="980" w:type="dxa"/>
            <w:tcBorders/>
            <w:shd w:fill="CCEEFF" w:val="clear"/>
            <w:vAlign w:val="bottom"/>
          </w:tcPr>
          <w:p>
            <w:pPr>
              <w:pStyle w:val="TableContents"/>
              <w:bidi w:val="0"/>
              <w:spacing w:before="0" w:after="0"/>
              <w:jc w:val="right"/>
              <w:rPr/>
            </w:pPr>
            <w:r>
              <w:rPr/>
              <w:t>54,000</w:t>
            </w:r>
          </w:p>
        </w:tc>
        <w:tc>
          <w:tcPr>
            <w:tcW w:w="77" w:type="dxa"/>
            <w:tcBorders/>
            <w:shd w:fill="CCEEFF" w:val="clear"/>
            <w:vAlign w:val="bottom"/>
          </w:tcPr>
          <w:p>
            <w:pPr>
              <w:pStyle w:val="TableContents"/>
              <w:bidi w:val="0"/>
              <w:spacing w:before="0" w:after="283"/>
              <w:jc w:val="left"/>
              <w:rPr/>
            </w:pPr>
            <w:r>
              <w:rPr/>
              <w:t> </w:t>
            </w:r>
          </w:p>
        </w:tc>
      </w:tr>
      <w:tr>
        <w:trPr/>
        <w:tc>
          <w:tcPr>
            <w:tcW w:w="4690" w:type="dxa"/>
            <w:tcBorders/>
            <w:vAlign w:val="bottom"/>
          </w:tcPr>
          <w:p>
            <w:pPr>
              <w:pStyle w:val="TableContents"/>
              <w:bidi w:val="0"/>
              <w:spacing w:before="0" w:after="0"/>
              <w:ind w:left="324" w:right="0" w:hanging="144"/>
              <w:jc w:val="left"/>
              <w:rPr>
                <w:color w:val="000000"/>
              </w:rPr>
            </w:pPr>
            <w:r>
              <w:rPr>
                <w:color w:val="000000"/>
              </w:rPr>
              <w:t>Interest on Freddie Mac MSR Revolver borrowings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0"/>
              <w:jc w:val="left"/>
              <w:rPr/>
            </w:pPr>
            <w:r>
              <w:rPr/>
              <w:t>$</w:t>
            </w:r>
          </w:p>
        </w:tc>
        <w:tc>
          <w:tcPr>
            <w:tcW w:w="980" w:type="dxa"/>
            <w:tcBorders/>
            <w:vAlign w:val="bottom"/>
          </w:tcPr>
          <w:p>
            <w:pPr>
              <w:pStyle w:val="TableContents"/>
              <w:bidi w:val="0"/>
              <w:spacing w:before="0" w:after="0"/>
              <w:jc w:val="right"/>
              <w:rPr/>
            </w:pPr>
            <w:r>
              <w:rPr/>
              <w:t>877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0"/>
              <w:jc w:val="left"/>
              <w:rPr/>
            </w:pPr>
            <w:r>
              <w:rPr/>
              <w:t>$</w:t>
            </w:r>
          </w:p>
        </w:tc>
        <w:tc>
          <w:tcPr>
            <w:tcW w:w="680"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0"/>
              <w:jc w:val="left"/>
              <w:rPr/>
            </w:pPr>
            <w:r>
              <w:rPr/>
              <w:t>$</w:t>
            </w:r>
          </w:p>
        </w:tc>
        <w:tc>
          <w:tcPr>
            <w:tcW w:w="680"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6" w:type="dxa"/>
            <w:tcBorders/>
            <w:vAlign w:val="bottom"/>
          </w:tcPr>
          <w:p>
            <w:pPr>
              <w:pStyle w:val="TableContents"/>
              <w:bidi w:val="0"/>
              <w:spacing w:before="0" w:after="0"/>
              <w:jc w:val="left"/>
              <w:rPr/>
            </w:pPr>
            <w:r>
              <w:rPr/>
              <w:t>$</w:t>
            </w:r>
          </w:p>
        </w:tc>
        <w:tc>
          <w:tcPr>
            <w:tcW w:w="412"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0"/>
              <w:jc w:val="left"/>
              <w:rPr/>
            </w:pPr>
            <w:r>
              <w:rPr/>
              <w:t>$</w:t>
            </w:r>
          </w:p>
        </w:tc>
        <w:tc>
          <w:tcPr>
            <w:tcW w:w="980" w:type="dxa"/>
            <w:tcBorders/>
            <w:vAlign w:val="bottom"/>
          </w:tcPr>
          <w:p>
            <w:pPr>
              <w:pStyle w:val="TableContents"/>
              <w:bidi w:val="0"/>
              <w:spacing w:before="0" w:after="0"/>
              <w:jc w:val="right"/>
              <w:rPr/>
            </w:pPr>
            <w:r>
              <w:rPr/>
              <w:t>877</w:t>
            </w:r>
          </w:p>
        </w:tc>
        <w:tc>
          <w:tcPr>
            <w:tcW w:w="77" w:type="dxa"/>
            <w:tcBorders/>
            <w:vAlign w:val="bottom"/>
          </w:tcPr>
          <w:p>
            <w:pPr>
              <w:pStyle w:val="TableContents"/>
              <w:bidi w:val="0"/>
              <w:spacing w:before="0" w:after="283"/>
              <w:jc w:val="left"/>
              <w:rPr/>
            </w:pPr>
            <w:r>
              <w:rPr/>
              <w:t> </w:t>
            </w:r>
          </w:p>
        </w:tc>
      </w:tr>
      <w:tr>
        <w:trPr/>
        <w:tc>
          <w:tcPr>
            <w:tcW w:w="4690" w:type="dxa"/>
            <w:tcBorders/>
            <w:shd w:fill="CCEEFF" w:val="clear"/>
            <w:vAlign w:val="bottom"/>
          </w:tcPr>
          <w:p>
            <w:pPr>
              <w:pStyle w:val="TableContents"/>
              <w:bidi w:val="0"/>
              <w:spacing w:before="0" w:after="0"/>
              <w:ind w:left="144" w:right="0" w:hanging="144"/>
              <w:jc w:val="left"/>
              <w:rPr>
                <w:b/>
                <w:color w:val="000000"/>
              </w:rPr>
            </w:pPr>
            <w:r>
              <w:rPr>
                <w:b/>
                <w:color w:val="000000"/>
              </w:rPr>
              <w:t>Fannie Mae MSR Revolving Facility</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6" w:type="dxa"/>
            <w:tcBorders/>
            <w:shd w:fill="CCEEFF" w:val="clear"/>
            <w:vAlign w:val="bottom"/>
          </w:tcPr>
          <w:p>
            <w:pPr>
              <w:pStyle w:val="TableContents"/>
              <w:bidi w:val="0"/>
              <w:spacing w:before="0" w:after="283"/>
              <w:jc w:val="left"/>
              <w:rPr/>
            </w:pPr>
            <w:r>
              <w:rPr/>
              <w:t> </w:t>
            </w:r>
          </w:p>
        </w:tc>
        <w:tc>
          <w:tcPr>
            <w:tcW w:w="41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77" w:type="dxa"/>
            <w:tcBorders/>
            <w:shd w:fill="CCEEFF" w:val="clear"/>
            <w:vAlign w:val="bottom"/>
          </w:tcPr>
          <w:p>
            <w:pPr>
              <w:pStyle w:val="TableContents"/>
              <w:bidi w:val="0"/>
              <w:spacing w:before="0" w:after="283"/>
              <w:jc w:val="left"/>
              <w:rPr/>
            </w:pPr>
            <w:r>
              <w:rPr/>
              <w:t> </w:t>
            </w:r>
          </w:p>
        </w:tc>
      </w:tr>
      <w:tr>
        <w:trPr/>
        <w:tc>
          <w:tcPr>
            <w:tcW w:w="4690" w:type="dxa"/>
            <w:tcBorders/>
            <w:vAlign w:val="bottom"/>
          </w:tcPr>
          <w:p>
            <w:pPr>
              <w:pStyle w:val="TableContents"/>
              <w:bidi w:val="0"/>
              <w:spacing w:before="0" w:after="0"/>
              <w:ind w:left="324" w:right="0" w:hanging="144"/>
              <w:jc w:val="left"/>
              <w:rPr>
                <w:color w:val="000000"/>
              </w:rPr>
            </w:pPr>
            <w:r>
              <w:rPr>
                <w:color w:val="000000"/>
              </w:rPr>
              <w:t>Borrowings under Fannie Mae MSR Revolving Facility</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0"/>
              <w:jc w:val="left"/>
              <w:rPr/>
            </w:pPr>
            <w:r>
              <w:rPr/>
              <w:t>$</w:t>
            </w:r>
          </w:p>
        </w:tc>
        <w:tc>
          <w:tcPr>
            <w:tcW w:w="980"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0"/>
              <w:jc w:val="left"/>
              <w:rPr/>
            </w:pPr>
            <w:r>
              <w:rPr/>
              <w:t>$</w:t>
            </w:r>
          </w:p>
        </w:tc>
        <w:tc>
          <w:tcPr>
            <w:tcW w:w="680" w:type="dxa"/>
            <w:tcBorders/>
            <w:vAlign w:val="bottom"/>
          </w:tcPr>
          <w:p>
            <w:pPr>
              <w:pStyle w:val="TableContents"/>
              <w:bidi w:val="0"/>
              <w:spacing w:before="0" w:after="0"/>
              <w:jc w:val="right"/>
              <w:rPr/>
            </w:pPr>
            <w:r>
              <w:rPr/>
              <w:t>10,241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0"/>
              <w:jc w:val="left"/>
              <w:rPr/>
            </w:pPr>
            <w:r>
              <w:rPr/>
              <w:t>$</w:t>
            </w:r>
          </w:p>
        </w:tc>
        <w:tc>
          <w:tcPr>
            <w:tcW w:w="680" w:type="dxa"/>
            <w:tcBorders/>
            <w:vAlign w:val="bottom"/>
          </w:tcPr>
          <w:p>
            <w:pPr>
              <w:pStyle w:val="TableContents"/>
              <w:bidi w:val="0"/>
              <w:spacing w:before="0" w:after="0"/>
              <w:jc w:val="right"/>
              <w:rPr/>
            </w:pPr>
            <w:r>
              <w:rPr/>
              <w:t>77,259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6" w:type="dxa"/>
            <w:tcBorders/>
            <w:vAlign w:val="bottom"/>
          </w:tcPr>
          <w:p>
            <w:pPr>
              <w:pStyle w:val="TableContents"/>
              <w:bidi w:val="0"/>
              <w:spacing w:before="0" w:after="0"/>
              <w:jc w:val="left"/>
              <w:rPr/>
            </w:pPr>
            <w:r>
              <w:rPr/>
              <w:t>$</w:t>
            </w:r>
          </w:p>
        </w:tc>
        <w:tc>
          <w:tcPr>
            <w:tcW w:w="412"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0"/>
              <w:jc w:val="left"/>
              <w:rPr/>
            </w:pPr>
            <w:r>
              <w:rPr/>
              <w:t>$</w:t>
            </w:r>
          </w:p>
        </w:tc>
        <w:tc>
          <w:tcPr>
            <w:tcW w:w="980" w:type="dxa"/>
            <w:tcBorders/>
            <w:vAlign w:val="bottom"/>
          </w:tcPr>
          <w:p>
            <w:pPr>
              <w:pStyle w:val="TableContents"/>
              <w:bidi w:val="0"/>
              <w:spacing w:before="0" w:after="0"/>
              <w:jc w:val="right"/>
              <w:rPr/>
            </w:pPr>
            <w:r>
              <w:rPr/>
              <w:t>87,500</w:t>
            </w:r>
          </w:p>
        </w:tc>
        <w:tc>
          <w:tcPr>
            <w:tcW w:w="77" w:type="dxa"/>
            <w:tcBorders/>
            <w:vAlign w:val="bottom"/>
          </w:tcPr>
          <w:p>
            <w:pPr>
              <w:pStyle w:val="TableContents"/>
              <w:bidi w:val="0"/>
              <w:spacing w:before="0" w:after="283"/>
              <w:jc w:val="left"/>
              <w:rPr/>
            </w:pPr>
            <w:r>
              <w:rPr/>
              <w:t> </w:t>
            </w:r>
          </w:p>
        </w:tc>
      </w:tr>
      <w:tr>
        <w:trPr/>
        <w:tc>
          <w:tcPr>
            <w:tcW w:w="4690" w:type="dxa"/>
            <w:tcBorders/>
            <w:shd w:fill="CCEEFF" w:val="clear"/>
            <w:vAlign w:val="bottom"/>
          </w:tcPr>
          <w:p>
            <w:pPr>
              <w:pStyle w:val="TableContents"/>
              <w:bidi w:val="0"/>
              <w:spacing w:before="0" w:after="0"/>
              <w:ind w:left="324" w:right="0" w:hanging="144"/>
              <w:jc w:val="left"/>
              <w:rPr>
                <w:color w:val="000000"/>
              </w:rPr>
            </w:pPr>
            <w:r>
              <w:rPr>
                <w:color w:val="000000"/>
              </w:rPr>
              <w:t>Interest on Fannie Mae MSR Revolving Facility</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pPr>
            <w:r>
              <w:rPr/>
              <w:t>$</w:t>
            </w:r>
          </w:p>
        </w:tc>
        <w:tc>
          <w:tcPr>
            <w:tcW w:w="980" w:type="dxa"/>
            <w:tcBorders/>
            <w:shd w:fill="CCEEFF" w:val="clear"/>
            <w:vAlign w:val="bottom"/>
          </w:tcPr>
          <w:p>
            <w:pPr>
              <w:pStyle w:val="TableContents"/>
              <w:bidi w:val="0"/>
              <w:spacing w:before="0" w:after="0"/>
              <w:jc w:val="right"/>
              <w:rPr/>
            </w:pPr>
            <w:r>
              <w:rPr/>
              <w:t>469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pPr>
            <w:r>
              <w:rPr/>
              <w:t>$</w:t>
            </w:r>
          </w:p>
        </w:tc>
        <w:tc>
          <w:tcPr>
            <w:tcW w:w="680"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pPr>
            <w:r>
              <w:rPr/>
              <w:t>$</w:t>
            </w:r>
          </w:p>
        </w:tc>
        <w:tc>
          <w:tcPr>
            <w:tcW w:w="680"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6" w:type="dxa"/>
            <w:tcBorders/>
            <w:shd w:fill="CCEEFF" w:val="clear"/>
            <w:vAlign w:val="bottom"/>
          </w:tcPr>
          <w:p>
            <w:pPr>
              <w:pStyle w:val="TableContents"/>
              <w:bidi w:val="0"/>
              <w:spacing w:before="0" w:after="0"/>
              <w:jc w:val="left"/>
              <w:rPr/>
            </w:pPr>
            <w:r>
              <w:rPr/>
              <w:t>$</w:t>
            </w:r>
          </w:p>
        </w:tc>
        <w:tc>
          <w:tcPr>
            <w:tcW w:w="412"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pPr>
            <w:r>
              <w:rPr/>
              <w:t>$</w:t>
            </w:r>
          </w:p>
        </w:tc>
        <w:tc>
          <w:tcPr>
            <w:tcW w:w="980" w:type="dxa"/>
            <w:tcBorders/>
            <w:shd w:fill="CCEEFF" w:val="clear"/>
            <w:vAlign w:val="bottom"/>
          </w:tcPr>
          <w:p>
            <w:pPr>
              <w:pStyle w:val="TableContents"/>
              <w:bidi w:val="0"/>
              <w:spacing w:before="0" w:after="0"/>
              <w:jc w:val="right"/>
              <w:rPr/>
            </w:pPr>
            <w:r>
              <w:rPr/>
              <w:t>469</w:t>
            </w:r>
          </w:p>
        </w:tc>
        <w:tc>
          <w:tcPr>
            <w:tcW w:w="77"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As of December 31, 2025</w:t>
      </w:r>
    </w:p>
    <w:p>
      <w:pPr>
        <w:pStyle w:val="TextBody"/>
        <w:bidi w:val="0"/>
        <w:spacing w:before="0" w:after="0"/>
        <w:jc w:val="left"/>
        <w:rPr>
          <w:sz w:val="20"/>
        </w:rPr>
      </w:pPr>
      <w:r>
        <w:rPr>
          <w:sz w:val="20"/>
        </w:rPr>
      </w:r>
    </w:p>
    <w:tbl>
      <w:tblPr>
        <w:tblW w:w="10205" w:type="dxa"/>
        <w:jc w:val="left"/>
        <w:tblInd w:w="0" w:type="dxa"/>
        <w:tblLayout w:type="fixed"/>
        <w:tblCellMar>
          <w:top w:w="0" w:type="dxa"/>
          <w:left w:w="0" w:type="dxa"/>
          <w:bottom w:w="0" w:type="dxa"/>
          <w:right w:w="0" w:type="dxa"/>
        </w:tblCellMar>
      </w:tblPr>
      <w:tblGrid>
        <w:gridCol w:w="4797"/>
        <w:gridCol w:w="60"/>
        <w:gridCol w:w="140"/>
        <w:gridCol w:w="980"/>
        <w:gridCol w:w="60"/>
        <w:gridCol w:w="60"/>
        <w:gridCol w:w="140"/>
        <w:gridCol w:w="560"/>
        <w:gridCol w:w="60"/>
        <w:gridCol w:w="60"/>
        <w:gridCol w:w="140"/>
        <w:gridCol w:w="680"/>
        <w:gridCol w:w="60"/>
        <w:gridCol w:w="60"/>
        <w:gridCol w:w="614"/>
        <w:gridCol w:w="418"/>
        <w:gridCol w:w="60"/>
        <w:gridCol w:w="60"/>
        <w:gridCol w:w="140"/>
        <w:gridCol w:w="980"/>
        <w:gridCol w:w="76"/>
      </w:tblGrid>
      <w:tr>
        <w:trPr/>
        <w:tc>
          <w:tcPr>
            <w:tcW w:w="479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Less than</w:t>
              <w:br/>
              <w:t>1 year</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1 to 3</w:t>
              <w:br/>
              <w:t>years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3 to 5</w:t>
              <w:br/>
              <w:t>years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2"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More than</w:t>
              <w:br/>
              <w:t>5 years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Total</w:t>
            </w:r>
          </w:p>
        </w:tc>
        <w:tc>
          <w:tcPr>
            <w:tcW w:w="76" w:type="dxa"/>
            <w:tcBorders/>
            <w:vAlign w:val="bottom"/>
          </w:tcPr>
          <w:p>
            <w:pPr>
              <w:pStyle w:val="TableContents"/>
              <w:bidi w:val="0"/>
              <w:spacing w:before="0" w:after="283"/>
              <w:jc w:val="left"/>
              <w:rPr/>
            </w:pPr>
            <w:r>
              <w:rPr/>
              <w:t> </w:t>
            </w:r>
          </w:p>
        </w:tc>
      </w:tr>
      <w:tr>
        <w:trPr/>
        <w:tc>
          <w:tcPr>
            <w:tcW w:w="4797" w:type="dxa"/>
            <w:tcBorders/>
            <w:shd w:fill="CCEEFF" w:val="clear"/>
            <w:vAlign w:val="bottom"/>
          </w:tcPr>
          <w:p>
            <w:pPr>
              <w:pStyle w:val="TableContents"/>
              <w:bidi w:val="0"/>
              <w:spacing w:before="0" w:after="0"/>
              <w:ind w:left="144" w:right="0" w:hanging="144"/>
              <w:jc w:val="left"/>
              <w:rPr>
                <w:b/>
                <w:color w:val="000000"/>
              </w:rPr>
            </w:pPr>
            <w:r>
              <w:rPr>
                <w:b/>
                <w:color w:val="000000"/>
              </w:rPr>
              <w:t>Repurchase agreements</w:t>
            </w:r>
          </w:p>
        </w:tc>
        <w:tc>
          <w:tcPr>
            <w:tcW w:w="60" w:type="dxa"/>
            <w:tcBorders/>
            <w:shd w:fill="CCEEFF" w:val="clear"/>
            <w:vAlign w:val="bottom"/>
          </w:tcPr>
          <w:p>
            <w:pPr>
              <w:pStyle w:val="TableContents"/>
              <w:bidi w:val="0"/>
              <w:spacing w:before="0" w:after="283"/>
              <w:jc w:val="left"/>
              <w:rPr/>
            </w:pPr>
            <w:r>
              <w:rPr/>
              <w:t> </w:t>
            </w:r>
          </w:p>
        </w:tc>
        <w:tc>
          <w:tcPr>
            <w:tcW w:w="1120" w:type="dxa"/>
            <w:gridSpan w:val="2"/>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0" w:type="dxa"/>
            <w:gridSpan w:val="2"/>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20" w:type="dxa"/>
            <w:gridSpan w:val="2"/>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32" w:type="dxa"/>
            <w:gridSpan w:val="2"/>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0" w:type="dxa"/>
            <w:gridSpan w:val="2"/>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r>
      <w:tr>
        <w:trPr/>
        <w:tc>
          <w:tcPr>
            <w:tcW w:w="4797" w:type="dxa"/>
            <w:tcBorders/>
            <w:vAlign w:val="bottom"/>
          </w:tcPr>
          <w:p>
            <w:pPr>
              <w:pStyle w:val="TableContents"/>
              <w:bidi w:val="0"/>
              <w:spacing w:before="0" w:after="0"/>
              <w:ind w:left="324" w:right="0" w:hanging="144"/>
              <w:jc w:val="left"/>
              <w:rPr>
                <w:color w:val="000000"/>
              </w:rPr>
            </w:pPr>
            <w:r>
              <w:rPr>
                <w:color w:val="000000"/>
              </w:rPr>
              <w:t>Borrowings under repurchase agreements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0"/>
              <w:jc w:val="left"/>
              <w:rPr/>
            </w:pPr>
            <w:r>
              <w:rPr/>
              <w:t>$</w:t>
            </w:r>
          </w:p>
        </w:tc>
        <w:tc>
          <w:tcPr>
            <w:tcW w:w="980" w:type="dxa"/>
            <w:tcBorders/>
            <w:vAlign w:val="bottom"/>
          </w:tcPr>
          <w:p>
            <w:pPr>
              <w:pStyle w:val="TableContents"/>
              <w:bidi w:val="0"/>
              <w:spacing w:before="0" w:after="0"/>
              <w:jc w:val="right"/>
              <w:rPr/>
            </w:pPr>
            <w:r>
              <w:rPr/>
              <w:t>1,137,200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0"/>
              <w:jc w:val="left"/>
              <w:rPr/>
            </w:pPr>
            <w:r>
              <w:rPr/>
              <w:t>$</w:t>
            </w:r>
          </w:p>
        </w:tc>
        <w:tc>
          <w:tcPr>
            <w:tcW w:w="560"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0"/>
              <w:jc w:val="left"/>
              <w:rPr/>
            </w:pPr>
            <w:r>
              <w:rPr/>
              <w:t>$</w:t>
            </w:r>
          </w:p>
        </w:tc>
        <w:tc>
          <w:tcPr>
            <w:tcW w:w="680"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4" w:type="dxa"/>
            <w:tcBorders/>
            <w:vAlign w:val="bottom"/>
          </w:tcPr>
          <w:p>
            <w:pPr>
              <w:pStyle w:val="TableContents"/>
              <w:bidi w:val="0"/>
              <w:spacing w:before="0" w:after="0"/>
              <w:jc w:val="left"/>
              <w:rPr/>
            </w:pPr>
            <w:r>
              <w:rPr/>
              <w:t>$</w:t>
            </w:r>
          </w:p>
        </w:tc>
        <w:tc>
          <w:tcPr>
            <w:tcW w:w="418"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0"/>
              <w:jc w:val="left"/>
              <w:rPr/>
            </w:pPr>
            <w:r>
              <w:rPr/>
              <w:t>$</w:t>
            </w:r>
          </w:p>
        </w:tc>
        <w:tc>
          <w:tcPr>
            <w:tcW w:w="980" w:type="dxa"/>
            <w:tcBorders/>
            <w:vAlign w:val="bottom"/>
          </w:tcPr>
          <w:p>
            <w:pPr>
              <w:pStyle w:val="TableContents"/>
              <w:bidi w:val="0"/>
              <w:spacing w:before="0" w:after="0"/>
              <w:jc w:val="right"/>
              <w:rPr/>
            </w:pPr>
            <w:r>
              <w:rPr/>
              <w:t>1,137,200</w:t>
            </w:r>
          </w:p>
        </w:tc>
        <w:tc>
          <w:tcPr>
            <w:tcW w:w="76" w:type="dxa"/>
            <w:tcBorders/>
            <w:vAlign w:val="bottom"/>
          </w:tcPr>
          <w:p>
            <w:pPr>
              <w:pStyle w:val="TableContents"/>
              <w:bidi w:val="0"/>
              <w:spacing w:before="0" w:after="283"/>
              <w:jc w:val="left"/>
              <w:rPr/>
            </w:pPr>
            <w:r>
              <w:rPr/>
              <w:t> </w:t>
            </w:r>
          </w:p>
        </w:tc>
      </w:tr>
      <w:tr>
        <w:trPr/>
        <w:tc>
          <w:tcPr>
            <w:tcW w:w="4797" w:type="dxa"/>
            <w:tcBorders/>
            <w:shd w:fill="CCEEFF" w:val="clear"/>
            <w:vAlign w:val="bottom"/>
          </w:tcPr>
          <w:p>
            <w:pPr>
              <w:pStyle w:val="TableContents"/>
              <w:bidi w:val="0"/>
              <w:spacing w:lineRule="auto" w:line="240" w:before="0" w:after="0"/>
              <w:ind w:left="324" w:right="0" w:hanging="144"/>
              <w:jc w:val="left"/>
              <w:rPr>
                <w:color w:val="000000"/>
              </w:rPr>
            </w:pPr>
            <w:r>
              <w:rPr>
                <w:color w:val="000000"/>
              </w:rPr>
              <w:t>Interest on repurchase agreement borrowings(A)</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pPr>
            <w:r>
              <w:rPr/>
              <w:t>$</w:t>
            </w:r>
          </w:p>
        </w:tc>
        <w:tc>
          <w:tcPr>
            <w:tcW w:w="980" w:type="dxa"/>
            <w:tcBorders/>
            <w:shd w:fill="CCEEFF" w:val="clear"/>
            <w:vAlign w:val="bottom"/>
          </w:tcPr>
          <w:p>
            <w:pPr>
              <w:pStyle w:val="TableContents"/>
              <w:bidi w:val="0"/>
              <w:spacing w:before="0" w:after="0"/>
              <w:jc w:val="right"/>
              <w:rPr/>
            </w:pPr>
            <w:r>
              <w:rPr/>
              <w:t>3,526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pPr>
            <w:r>
              <w:rPr/>
              <w:t>$</w:t>
            </w:r>
          </w:p>
        </w:tc>
        <w:tc>
          <w:tcPr>
            <w:tcW w:w="560"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pPr>
            <w:r>
              <w:rPr/>
              <w:t>$</w:t>
            </w:r>
          </w:p>
        </w:tc>
        <w:tc>
          <w:tcPr>
            <w:tcW w:w="680"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4" w:type="dxa"/>
            <w:tcBorders/>
            <w:shd w:fill="CCEEFF" w:val="clear"/>
            <w:vAlign w:val="bottom"/>
          </w:tcPr>
          <w:p>
            <w:pPr>
              <w:pStyle w:val="TableContents"/>
              <w:bidi w:val="0"/>
              <w:spacing w:before="0" w:after="0"/>
              <w:jc w:val="left"/>
              <w:rPr/>
            </w:pPr>
            <w:r>
              <w:rPr/>
              <w:t>$</w:t>
            </w:r>
          </w:p>
        </w:tc>
        <w:tc>
          <w:tcPr>
            <w:tcW w:w="418"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pPr>
            <w:r>
              <w:rPr/>
              <w:t>$</w:t>
            </w:r>
          </w:p>
        </w:tc>
        <w:tc>
          <w:tcPr>
            <w:tcW w:w="980" w:type="dxa"/>
            <w:tcBorders/>
            <w:shd w:fill="CCEEFF" w:val="clear"/>
            <w:vAlign w:val="bottom"/>
          </w:tcPr>
          <w:p>
            <w:pPr>
              <w:pStyle w:val="TableContents"/>
              <w:bidi w:val="0"/>
              <w:spacing w:before="0" w:after="0"/>
              <w:jc w:val="right"/>
              <w:rPr/>
            </w:pPr>
            <w:r>
              <w:rPr/>
              <w:t>3,526</w:t>
            </w:r>
          </w:p>
        </w:tc>
        <w:tc>
          <w:tcPr>
            <w:tcW w:w="76" w:type="dxa"/>
            <w:tcBorders/>
            <w:shd w:fill="CCEEFF" w:val="clear"/>
            <w:vAlign w:val="bottom"/>
          </w:tcPr>
          <w:p>
            <w:pPr>
              <w:pStyle w:val="TableContents"/>
              <w:bidi w:val="0"/>
              <w:spacing w:before="0" w:after="283"/>
              <w:jc w:val="left"/>
              <w:rPr/>
            </w:pPr>
            <w:r>
              <w:rPr/>
              <w:t> </w:t>
            </w:r>
          </w:p>
        </w:tc>
      </w:tr>
      <w:tr>
        <w:trPr/>
        <w:tc>
          <w:tcPr>
            <w:tcW w:w="4797" w:type="dxa"/>
            <w:tcBorders/>
            <w:vAlign w:val="bottom"/>
          </w:tcPr>
          <w:p>
            <w:pPr>
              <w:pStyle w:val="TableContents"/>
              <w:bidi w:val="0"/>
              <w:spacing w:before="0" w:after="0"/>
              <w:ind w:left="144" w:right="0" w:hanging="144"/>
              <w:jc w:val="left"/>
              <w:rPr>
                <w:b/>
                <w:color w:val="000000"/>
              </w:rPr>
            </w:pPr>
            <w:r>
              <w:rPr>
                <w:b/>
                <w:color w:val="000000"/>
              </w:rPr>
              <w:t>Freddie Mac MSR Revolver</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4" w:type="dxa"/>
            <w:tcBorders/>
            <w:vAlign w:val="bottom"/>
          </w:tcPr>
          <w:p>
            <w:pPr>
              <w:pStyle w:val="TableContents"/>
              <w:bidi w:val="0"/>
              <w:spacing w:before="0" w:after="283"/>
              <w:jc w:val="left"/>
              <w:rPr/>
            </w:pPr>
            <w:r>
              <w:rPr/>
              <w:t> </w:t>
            </w:r>
          </w:p>
        </w:tc>
        <w:tc>
          <w:tcPr>
            <w:tcW w:w="41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76" w:type="dxa"/>
            <w:tcBorders/>
            <w:vAlign w:val="bottom"/>
          </w:tcPr>
          <w:p>
            <w:pPr>
              <w:pStyle w:val="TableContents"/>
              <w:bidi w:val="0"/>
              <w:spacing w:before="0" w:after="283"/>
              <w:jc w:val="left"/>
              <w:rPr/>
            </w:pPr>
            <w:r>
              <w:rPr/>
              <w:t> </w:t>
            </w:r>
          </w:p>
        </w:tc>
      </w:tr>
      <w:tr>
        <w:trPr/>
        <w:tc>
          <w:tcPr>
            <w:tcW w:w="4797" w:type="dxa"/>
            <w:tcBorders/>
            <w:shd w:fill="CCEEFF" w:val="clear"/>
            <w:vAlign w:val="bottom"/>
          </w:tcPr>
          <w:p>
            <w:pPr>
              <w:pStyle w:val="TableContents"/>
              <w:bidi w:val="0"/>
              <w:spacing w:before="0" w:after="0"/>
              <w:ind w:left="324" w:right="0" w:hanging="144"/>
              <w:jc w:val="left"/>
              <w:rPr>
                <w:color w:val="000000"/>
              </w:rPr>
            </w:pPr>
            <w:r>
              <w:rPr>
                <w:color w:val="000000"/>
              </w:rPr>
              <w:t>Borrowings under Freddie Mac MSR Revolver</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pPr>
            <w:r>
              <w:rPr/>
              <w:t>$</w:t>
            </w:r>
          </w:p>
        </w:tc>
        <w:tc>
          <w:tcPr>
            <w:tcW w:w="980" w:type="dxa"/>
            <w:tcBorders/>
            <w:shd w:fill="CCEEFF" w:val="clear"/>
            <w:vAlign w:val="bottom"/>
          </w:tcPr>
          <w:p>
            <w:pPr>
              <w:pStyle w:val="TableContents"/>
              <w:bidi w:val="0"/>
              <w:spacing w:before="0" w:after="0"/>
              <w:jc w:val="right"/>
              <w:rPr/>
            </w:pPr>
            <w:r>
              <w:rPr/>
              <w:t>55,500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pPr>
            <w:r>
              <w:rPr/>
              <w:t>$</w:t>
            </w:r>
          </w:p>
        </w:tc>
        <w:tc>
          <w:tcPr>
            <w:tcW w:w="560"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pPr>
            <w:r>
              <w:rPr/>
              <w:t>$</w:t>
            </w:r>
          </w:p>
        </w:tc>
        <w:tc>
          <w:tcPr>
            <w:tcW w:w="680"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4" w:type="dxa"/>
            <w:tcBorders/>
            <w:shd w:fill="CCEEFF" w:val="clear"/>
            <w:vAlign w:val="bottom"/>
          </w:tcPr>
          <w:p>
            <w:pPr>
              <w:pStyle w:val="TableContents"/>
              <w:bidi w:val="0"/>
              <w:spacing w:before="0" w:after="0"/>
              <w:jc w:val="left"/>
              <w:rPr/>
            </w:pPr>
            <w:r>
              <w:rPr/>
              <w:t>$</w:t>
            </w:r>
          </w:p>
        </w:tc>
        <w:tc>
          <w:tcPr>
            <w:tcW w:w="418"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pPr>
            <w:r>
              <w:rPr/>
              <w:t>$</w:t>
            </w:r>
          </w:p>
        </w:tc>
        <w:tc>
          <w:tcPr>
            <w:tcW w:w="980" w:type="dxa"/>
            <w:tcBorders/>
            <w:shd w:fill="CCEEFF" w:val="clear"/>
            <w:vAlign w:val="bottom"/>
          </w:tcPr>
          <w:p>
            <w:pPr>
              <w:pStyle w:val="TableContents"/>
              <w:bidi w:val="0"/>
              <w:spacing w:before="0" w:after="0"/>
              <w:jc w:val="right"/>
              <w:rPr/>
            </w:pPr>
            <w:r>
              <w:rPr/>
              <w:t>55,500</w:t>
            </w:r>
          </w:p>
        </w:tc>
        <w:tc>
          <w:tcPr>
            <w:tcW w:w="76" w:type="dxa"/>
            <w:tcBorders/>
            <w:shd w:fill="CCEEFF" w:val="clear"/>
            <w:vAlign w:val="bottom"/>
          </w:tcPr>
          <w:p>
            <w:pPr>
              <w:pStyle w:val="TableContents"/>
              <w:bidi w:val="0"/>
              <w:spacing w:before="0" w:after="283"/>
              <w:jc w:val="left"/>
              <w:rPr/>
            </w:pPr>
            <w:r>
              <w:rPr/>
              <w:t> </w:t>
            </w:r>
          </w:p>
        </w:tc>
      </w:tr>
      <w:tr>
        <w:trPr/>
        <w:tc>
          <w:tcPr>
            <w:tcW w:w="4797" w:type="dxa"/>
            <w:tcBorders/>
            <w:vAlign w:val="bottom"/>
          </w:tcPr>
          <w:p>
            <w:pPr>
              <w:pStyle w:val="TableContents"/>
              <w:bidi w:val="0"/>
              <w:spacing w:before="0" w:after="0"/>
              <w:ind w:left="324" w:right="0" w:hanging="144"/>
              <w:jc w:val="left"/>
              <w:rPr>
                <w:color w:val="000000"/>
              </w:rPr>
            </w:pPr>
            <w:r>
              <w:rPr>
                <w:color w:val="000000"/>
              </w:rPr>
              <w:t>Interest on Freddie Mac MSR Revolver borrowings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0"/>
              <w:jc w:val="left"/>
              <w:rPr/>
            </w:pPr>
            <w:r>
              <w:rPr/>
              <w:t>$</w:t>
            </w:r>
          </w:p>
        </w:tc>
        <w:tc>
          <w:tcPr>
            <w:tcW w:w="980" w:type="dxa"/>
            <w:tcBorders/>
            <w:vAlign w:val="bottom"/>
          </w:tcPr>
          <w:p>
            <w:pPr>
              <w:pStyle w:val="TableContents"/>
              <w:bidi w:val="0"/>
              <w:spacing w:before="0" w:after="0"/>
              <w:jc w:val="right"/>
              <w:rPr/>
            </w:pPr>
            <w:r>
              <w:rPr/>
              <w:t>973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0"/>
              <w:jc w:val="left"/>
              <w:rPr/>
            </w:pPr>
            <w:r>
              <w:rPr/>
              <w:t>$</w:t>
            </w:r>
          </w:p>
        </w:tc>
        <w:tc>
          <w:tcPr>
            <w:tcW w:w="560"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0"/>
              <w:jc w:val="left"/>
              <w:rPr/>
            </w:pPr>
            <w:r>
              <w:rPr/>
              <w:t>$</w:t>
            </w:r>
          </w:p>
        </w:tc>
        <w:tc>
          <w:tcPr>
            <w:tcW w:w="680"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4" w:type="dxa"/>
            <w:tcBorders/>
            <w:vAlign w:val="bottom"/>
          </w:tcPr>
          <w:p>
            <w:pPr>
              <w:pStyle w:val="TableContents"/>
              <w:bidi w:val="0"/>
              <w:spacing w:before="0" w:after="0"/>
              <w:jc w:val="left"/>
              <w:rPr/>
            </w:pPr>
            <w:r>
              <w:rPr/>
              <w:t>$</w:t>
            </w:r>
          </w:p>
        </w:tc>
        <w:tc>
          <w:tcPr>
            <w:tcW w:w="418"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0"/>
              <w:jc w:val="left"/>
              <w:rPr/>
            </w:pPr>
            <w:r>
              <w:rPr/>
              <w:t>$</w:t>
            </w:r>
          </w:p>
        </w:tc>
        <w:tc>
          <w:tcPr>
            <w:tcW w:w="980" w:type="dxa"/>
            <w:tcBorders/>
            <w:vAlign w:val="bottom"/>
          </w:tcPr>
          <w:p>
            <w:pPr>
              <w:pStyle w:val="TableContents"/>
              <w:bidi w:val="0"/>
              <w:spacing w:before="0" w:after="0"/>
              <w:jc w:val="right"/>
              <w:rPr/>
            </w:pPr>
            <w:r>
              <w:rPr/>
              <w:t>973</w:t>
            </w:r>
          </w:p>
        </w:tc>
        <w:tc>
          <w:tcPr>
            <w:tcW w:w="76" w:type="dxa"/>
            <w:tcBorders/>
            <w:vAlign w:val="bottom"/>
          </w:tcPr>
          <w:p>
            <w:pPr>
              <w:pStyle w:val="TableContents"/>
              <w:bidi w:val="0"/>
              <w:spacing w:before="0" w:after="283"/>
              <w:jc w:val="left"/>
              <w:rPr/>
            </w:pPr>
            <w:r>
              <w:rPr/>
              <w:t> </w:t>
            </w:r>
          </w:p>
        </w:tc>
      </w:tr>
      <w:tr>
        <w:trPr/>
        <w:tc>
          <w:tcPr>
            <w:tcW w:w="4797" w:type="dxa"/>
            <w:tcBorders/>
            <w:shd w:fill="CCEEFF" w:val="clear"/>
            <w:vAlign w:val="bottom"/>
          </w:tcPr>
          <w:p>
            <w:pPr>
              <w:pStyle w:val="TableContents"/>
              <w:bidi w:val="0"/>
              <w:spacing w:before="0" w:after="0"/>
              <w:ind w:left="144" w:right="0" w:hanging="144"/>
              <w:jc w:val="left"/>
              <w:rPr>
                <w:b/>
                <w:color w:val="000000"/>
              </w:rPr>
            </w:pPr>
            <w:r>
              <w:rPr>
                <w:b/>
                <w:color w:val="000000"/>
              </w:rPr>
              <w:t>Fannie Mae MSR Revolving Facility</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4" w:type="dxa"/>
            <w:tcBorders/>
            <w:shd w:fill="CCEEFF" w:val="clear"/>
            <w:vAlign w:val="bottom"/>
          </w:tcPr>
          <w:p>
            <w:pPr>
              <w:pStyle w:val="TableContents"/>
              <w:bidi w:val="0"/>
              <w:spacing w:before="0" w:after="283"/>
              <w:jc w:val="left"/>
              <w:rPr/>
            </w:pPr>
            <w:r>
              <w:rPr/>
              <w:t> </w:t>
            </w:r>
          </w:p>
        </w:tc>
        <w:tc>
          <w:tcPr>
            <w:tcW w:w="41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76" w:type="dxa"/>
            <w:tcBorders/>
            <w:shd w:fill="CCEEFF" w:val="clear"/>
            <w:vAlign w:val="bottom"/>
          </w:tcPr>
          <w:p>
            <w:pPr>
              <w:pStyle w:val="TableContents"/>
              <w:bidi w:val="0"/>
              <w:spacing w:before="0" w:after="283"/>
              <w:jc w:val="left"/>
              <w:rPr/>
            </w:pPr>
            <w:r>
              <w:rPr/>
              <w:t> </w:t>
            </w:r>
          </w:p>
        </w:tc>
      </w:tr>
      <w:tr>
        <w:trPr/>
        <w:tc>
          <w:tcPr>
            <w:tcW w:w="4797" w:type="dxa"/>
            <w:tcBorders/>
            <w:vAlign w:val="bottom"/>
          </w:tcPr>
          <w:p>
            <w:pPr>
              <w:pStyle w:val="TableContents"/>
              <w:bidi w:val="0"/>
              <w:spacing w:before="0" w:after="0"/>
              <w:ind w:left="324" w:right="0" w:hanging="144"/>
              <w:jc w:val="left"/>
              <w:rPr>
                <w:color w:val="000000"/>
              </w:rPr>
            </w:pPr>
            <w:r>
              <w:rPr>
                <w:color w:val="000000"/>
              </w:rPr>
              <w:t>Borrowings under Fannie Mae MSR Revolving Facility</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0"/>
              <w:jc w:val="left"/>
              <w:rPr/>
            </w:pPr>
            <w:r>
              <w:rPr/>
              <w:t>$</w:t>
            </w:r>
          </w:p>
        </w:tc>
        <w:tc>
          <w:tcPr>
            <w:tcW w:w="980"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0"/>
              <w:jc w:val="left"/>
              <w:rPr/>
            </w:pPr>
            <w:r>
              <w:rPr/>
              <w:t>$</w:t>
            </w:r>
          </w:p>
        </w:tc>
        <w:tc>
          <w:tcPr>
            <w:tcW w:w="560" w:type="dxa"/>
            <w:tcBorders/>
            <w:vAlign w:val="bottom"/>
          </w:tcPr>
          <w:p>
            <w:pPr>
              <w:pStyle w:val="TableContents"/>
              <w:bidi w:val="0"/>
              <w:spacing w:before="0" w:after="0"/>
              <w:jc w:val="right"/>
              <w:rPr/>
            </w:pPr>
            <w:r>
              <w:rPr/>
              <w:t>7,355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0"/>
              <w:jc w:val="left"/>
              <w:rPr/>
            </w:pPr>
            <w:r>
              <w:rPr/>
              <w:t>$</w:t>
            </w:r>
          </w:p>
        </w:tc>
        <w:tc>
          <w:tcPr>
            <w:tcW w:w="680" w:type="dxa"/>
            <w:tcBorders/>
            <w:vAlign w:val="bottom"/>
          </w:tcPr>
          <w:p>
            <w:pPr>
              <w:pStyle w:val="TableContents"/>
              <w:bidi w:val="0"/>
              <w:spacing w:before="0" w:after="0"/>
              <w:jc w:val="right"/>
              <w:rPr/>
            </w:pPr>
            <w:r>
              <w:rPr/>
              <w:t>83,395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4" w:type="dxa"/>
            <w:tcBorders/>
            <w:vAlign w:val="bottom"/>
          </w:tcPr>
          <w:p>
            <w:pPr>
              <w:pStyle w:val="TableContents"/>
              <w:bidi w:val="0"/>
              <w:spacing w:before="0" w:after="0"/>
              <w:jc w:val="left"/>
              <w:rPr/>
            </w:pPr>
            <w:r>
              <w:rPr/>
              <w:t>$</w:t>
            </w:r>
          </w:p>
        </w:tc>
        <w:tc>
          <w:tcPr>
            <w:tcW w:w="418"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0"/>
              <w:jc w:val="left"/>
              <w:rPr/>
            </w:pPr>
            <w:r>
              <w:rPr/>
              <w:t>$</w:t>
            </w:r>
          </w:p>
        </w:tc>
        <w:tc>
          <w:tcPr>
            <w:tcW w:w="980" w:type="dxa"/>
            <w:tcBorders/>
            <w:vAlign w:val="bottom"/>
          </w:tcPr>
          <w:p>
            <w:pPr>
              <w:pStyle w:val="TableContents"/>
              <w:bidi w:val="0"/>
              <w:spacing w:before="0" w:after="0"/>
              <w:jc w:val="right"/>
              <w:rPr/>
            </w:pPr>
            <w:r>
              <w:rPr/>
              <w:t>90,750</w:t>
            </w:r>
          </w:p>
        </w:tc>
        <w:tc>
          <w:tcPr>
            <w:tcW w:w="76" w:type="dxa"/>
            <w:tcBorders/>
            <w:vAlign w:val="bottom"/>
          </w:tcPr>
          <w:p>
            <w:pPr>
              <w:pStyle w:val="TableContents"/>
              <w:bidi w:val="0"/>
              <w:spacing w:before="0" w:after="283"/>
              <w:jc w:val="left"/>
              <w:rPr/>
            </w:pPr>
            <w:r>
              <w:rPr/>
              <w:t> </w:t>
            </w:r>
          </w:p>
        </w:tc>
      </w:tr>
      <w:tr>
        <w:trPr/>
        <w:tc>
          <w:tcPr>
            <w:tcW w:w="4797" w:type="dxa"/>
            <w:tcBorders/>
            <w:shd w:fill="CCEEFF" w:val="clear"/>
            <w:vAlign w:val="bottom"/>
          </w:tcPr>
          <w:p>
            <w:pPr>
              <w:pStyle w:val="TableContents"/>
              <w:bidi w:val="0"/>
              <w:spacing w:before="0" w:after="0"/>
              <w:ind w:left="324" w:right="0" w:hanging="144"/>
              <w:jc w:val="left"/>
              <w:rPr>
                <w:color w:val="000000"/>
              </w:rPr>
            </w:pPr>
            <w:r>
              <w:rPr>
                <w:color w:val="000000"/>
              </w:rPr>
              <w:t>Interest on Fannie Mae MSR Revolving Facility</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pPr>
            <w:r>
              <w:rPr/>
              <w:t>$</w:t>
            </w:r>
          </w:p>
        </w:tc>
        <w:tc>
          <w:tcPr>
            <w:tcW w:w="980" w:type="dxa"/>
            <w:tcBorders/>
            <w:shd w:fill="CCEEFF" w:val="clear"/>
            <w:vAlign w:val="bottom"/>
          </w:tcPr>
          <w:p>
            <w:pPr>
              <w:pStyle w:val="TableContents"/>
              <w:bidi w:val="0"/>
              <w:spacing w:before="0" w:after="0"/>
              <w:jc w:val="right"/>
              <w:rPr/>
            </w:pPr>
            <w:r>
              <w:rPr/>
              <w:t>518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pPr>
            <w:r>
              <w:rPr/>
              <w:t>$</w:t>
            </w:r>
          </w:p>
        </w:tc>
        <w:tc>
          <w:tcPr>
            <w:tcW w:w="560"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pPr>
            <w:r>
              <w:rPr/>
              <w:t>$</w:t>
            </w:r>
          </w:p>
        </w:tc>
        <w:tc>
          <w:tcPr>
            <w:tcW w:w="680"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4" w:type="dxa"/>
            <w:tcBorders/>
            <w:shd w:fill="CCEEFF" w:val="clear"/>
            <w:vAlign w:val="bottom"/>
          </w:tcPr>
          <w:p>
            <w:pPr>
              <w:pStyle w:val="TableContents"/>
              <w:bidi w:val="0"/>
              <w:spacing w:before="0" w:after="0"/>
              <w:jc w:val="left"/>
              <w:rPr/>
            </w:pPr>
            <w:r>
              <w:rPr/>
              <w:t>$</w:t>
            </w:r>
          </w:p>
        </w:tc>
        <w:tc>
          <w:tcPr>
            <w:tcW w:w="418"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pPr>
            <w:r>
              <w:rPr/>
              <w:t>$</w:t>
            </w:r>
          </w:p>
        </w:tc>
        <w:tc>
          <w:tcPr>
            <w:tcW w:w="980" w:type="dxa"/>
            <w:tcBorders/>
            <w:shd w:fill="CCEEFF" w:val="clear"/>
            <w:vAlign w:val="bottom"/>
          </w:tcPr>
          <w:p>
            <w:pPr>
              <w:pStyle w:val="TableContents"/>
              <w:bidi w:val="0"/>
              <w:spacing w:before="0" w:after="0"/>
              <w:jc w:val="right"/>
              <w:rPr/>
            </w:pPr>
            <w:r>
              <w:rPr/>
              <w:t>518</w:t>
            </w:r>
          </w:p>
        </w:tc>
        <w:tc>
          <w:tcPr>
            <w:tcW w:w="76"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sz w:val="20"/>
        </w:rPr>
      </w:pPr>
      <w:r>
        <w:rPr>
          <w:sz w:val="20"/>
        </w:rPr>
      </w:r>
    </w:p>
    <w:tbl>
      <w:tblPr>
        <w:tblW w:w="10205" w:type="dxa"/>
        <w:jc w:val="left"/>
        <w:tblInd w:w="0" w:type="dxa"/>
        <w:tblLayout w:type="fixed"/>
        <w:tblCellMar>
          <w:top w:w="0" w:type="dxa"/>
          <w:left w:w="0" w:type="dxa"/>
          <w:bottom w:w="0" w:type="dxa"/>
          <w:right w:w="0" w:type="dxa"/>
        </w:tblCellMar>
      </w:tblPr>
      <w:tblGrid>
        <w:gridCol w:w="338"/>
        <w:gridCol w:w="9867"/>
      </w:tblGrid>
      <w:tr>
        <w:trPr/>
        <w:tc>
          <w:tcPr>
            <w:tcW w:w="338" w:type="dxa"/>
            <w:tcBorders/>
            <w:vAlign w:val="center"/>
          </w:tcPr>
          <w:p>
            <w:pPr>
              <w:pStyle w:val="TableContents"/>
              <w:bidi w:val="0"/>
              <w:spacing w:before="0" w:after="283"/>
              <w:jc w:val="left"/>
              <w:rPr>
                <w:color w:val="000000"/>
              </w:rPr>
            </w:pPr>
            <w:r>
              <w:rPr>
                <w:color w:val="000000"/>
              </w:rPr>
              <w:t>(A)</w:t>
            </w:r>
          </w:p>
        </w:tc>
        <w:tc>
          <w:tcPr>
            <w:tcW w:w="9867" w:type="dxa"/>
            <w:tcBorders/>
            <w:vAlign w:val="center"/>
          </w:tcPr>
          <w:p>
            <w:pPr>
              <w:pStyle w:val="TableContents"/>
              <w:bidi w:val="0"/>
              <w:spacing w:before="0" w:after="0"/>
              <w:jc w:val="both"/>
              <w:rPr>
                <w:color w:val="000000"/>
                <w:sz w:val="20"/>
              </w:rPr>
            </w:pPr>
            <w:r>
              <w:rPr>
                <w:color w:val="000000"/>
                <w:sz w:val="20"/>
              </w:rPr>
              <w:t>Interest expense is calculated based on the interest rate in effect at June 30, 2026 and December 31, 2025, respectively, and includes all interest expense incurred through those dates.</w:t>
            </w:r>
          </w:p>
        </w:tc>
      </w:tr>
    </w:tbl>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73</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Subservicing Agreements</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As of June 30, 2026, Aurora had four subservicing agreements in place. The agreements each have two-year initial terms and are subject to automatic renewal for additional terms equal to the applicable initial term unless either party chooses not to renew. Each agreement may be terminated without cause by either party by giving notice as specified in the agreement. If an agreement is not renewed by the Company or terminated by the Company without cause, de-boarding fees will be due to the subservicer. Under each agreement, the subservicer agrees to service the applicable mortgage loans in accordance with applicable law and the requirements of the applicable Agency and the Company pays customary fees to the applicable subservicer for specified services. All expiring agreements to date have been automatically renewed for the extended terms.</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Inflation</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Substantially all of our assets and liabilities are financial in nature. As a result, interest rates and other factors affect our performance more so than inflation, although inflation rates can often have a meaningful influence over the direction of interest rates. As discussed above under “—Effects of Federal Reserve Policy on the Company”, the Federal Reserve reduced its federal funds rate target by an aggregate of 75 basis points during the second half of 2025 to a range of 3.50% to 3.75% and has maintained that target range through the date of this Quarterly Report. To the extent the Federal Reserve decides to further ease monetary policy, its actions may decrease interest rates across asset classes and our interest expense and, thereby, increase our interest income. If the Federal Reserve decides to tighten monetary policy however, it may increase our interest expense, which expense may not be fully offset by any resulting increase in our interest income. Furthermore, our financial statements are prepared in accordance with GAAP and our distributions are determined by our board of directors primarily based on our REIT taxable income, and, in each case, our activities and balance sheet are measured with reference to historical cost and/or fair market value without considering inflation.</w:t>
      </w:r>
    </w:p>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18" w:name="QuantitativeandQualitativeDisclosuresabo"/>
      <w:bookmarkStart w:id="19" w:name="QuantitativeandQualitativeDisclosuresabo"/>
      <w:bookmarkEnd w:id="19"/>
    </w:p>
    <w:tbl>
      <w:tblPr>
        <w:tblW w:w="5830" w:type="dxa"/>
        <w:jc w:val="left"/>
        <w:tblInd w:w="0" w:type="dxa"/>
        <w:tblLayout w:type="fixed"/>
        <w:tblCellMar>
          <w:top w:w="0" w:type="dxa"/>
          <w:left w:w="0" w:type="dxa"/>
          <w:bottom w:w="0" w:type="dxa"/>
          <w:right w:w="0" w:type="dxa"/>
        </w:tblCellMar>
      </w:tblPr>
      <w:tblGrid>
        <w:gridCol w:w="740"/>
        <w:gridCol w:w="5090"/>
      </w:tblGrid>
      <w:tr>
        <w:trPr/>
        <w:tc>
          <w:tcPr>
            <w:tcW w:w="740" w:type="dxa"/>
            <w:tcBorders/>
            <w:vAlign w:val="center"/>
          </w:tcPr>
          <w:p>
            <w:pPr>
              <w:pStyle w:val="TableContents"/>
              <w:bidi w:val="0"/>
              <w:spacing w:before="0" w:after="283"/>
              <w:jc w:val="left"/>
              <w:rPr>
                <w:b/>
                <w:color w:val="000000"/>
              </w:rPr>
            </w:pPr>
            <w:r>
              <w:rPr>
                <w:b/>
                <w:color w:val="000000"/>
              </w:rPr>
              <w:t>Item 3.</w:t>
            </w:r>
          </w:p>
        </w:tc>
        <w:tc>
          <w:tcPr>
            <w:tcW w:w="5090" w:type="dxa"/>
            <w:tcBorders/>
            <w:vAlign w:val="center"/>
          </w:tcPr>
          <w:p>
            <w:pPr>
              <w:pStyle w:val="TableContents"/>
              <w:bidi w:val="0"/>
              <w:spacing w:before="0" w:after="0"/>
              <w:jc w:val="left"/>
              <w:rPr>
                <w:b/>
                <w:color w:val="000000"/>
                <w:sz w:val="20"/>
              </w:rPr>
            </w:pPr>
            <w:r>
              <w:rPr>
                <w:b/>
                <w:color w:val="000000"/>
                <w:sz w:val="20"/>
              </w:rPr>
              <w:t>Quantitative and Qualitative Disclosures about Market Risk</w:t>
            </w:r>
          </w:p>
        </w:tc>
      </w:tr>
    </w:tbl>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We seek to manage our risks related to the credit quality of our assets, interest rates, liquidity, prepayment speeds and market value while, at the same time, seeking to provide an opportunity to stockholders to realize attractive risk-adjusted returns through ownership of our capital stock. While we do not seek to avoid risk completely, we believe the risk can be quantified from historical experience and seek to actively manage that risk, to earn sufficient compensation to justify taking those risks and to maintain capital levels consistent with the risks we undertake.</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Interest Rate Risk</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Interest rates are highly sensitive to many factors, including fiscal and monetary policies and domestic and international economic and political considerations, as well as other factors beyond our control. We are subject to interest rate risk in connection with our assets and our related financing obligations. In general, we finance the acquisition of certain of our assets through financings in the form of repurchase agreements and bank facilities. We expect to make use of additional MSR financing, as well as possibly warehouse facilities, securitizations, re-securitizations, and public and private equity and debt issuances in addition to transaction or asset specific funding arrangements. In addition, the values of our Servicing Related Assets are highly sensitive to changes in interest rates, historically increasing when rates rise and decreasing when rates decline. Subject to maintaining our qualification as a REIT, we attempt to mitigate interest rate risk and financing pricing risk through utilization of hedging instruments, primarily interest rate swap agreements, Eris SOFR swap futures and U.S. Treasury futures, respectively. We may also use financial futures, options, interest rate cap agreements, and forward sales. These instruments are intended to serve as a hedge against future interest rate or pricing changes on our borrowings.</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Interest Rate Effect on Net Interest Income</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Our operating results depend in large part on differences between the income earned on our assets and our cost of borrowing and hedging activities. The costs of our borrowings are generally based on prevailing market interest rates. During a period of rising interest rates, our borrowing costs generally will increase (1) while the yields earned on our leveraged fixed-rate mortgage assets will remain static and (2) at a faster pace than the yields earned on our leveraged adjustable-rate and hybrid adjustable-rate RMBS, which could result in a decline in our net interest spread and net interest margin. The severity of any such decline would depend on our asset/liability composition at the time as well as the magnitude and duration of the interest rate increase. Further, an increase in short-term interest rates could also have a negative impact on the market value of our assets, other than our Servicing Related Assets. A decrease in interest rates could have a negative impact on the market value of our Servicing Related Assets. If any of these events happen, we could experience a decrease in net income or incur a net loss during these periods, which could adversely affect our liquidity and results of operations.</w:t>
      </w:r>
    </w:p>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74</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Hedging techniques are partly based on assumed levels of prepayments of our assets, specifically our RMBS. If prepayments are slower or faster than assumed, the life of the investment will be longer or shorter, which would reduce the effectiveness of any hedging strategies we may use and may cause losses on such transactions. Hedging strategies involving the use of derivatives are highly complex and may produce volatile returns.</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Interest Rate Cap Risk</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Any adjustable-rate RMBS that we acquire will generally be subject to interest rate caps, which potentially could cause such RMBS to acquire many of the characteristics of fixed-rate securities if interest rates were to rise above the cap levels. This issue will be magnified to the extent we acquire adjustable-rate and hybrid adjustable-rate RMBS that are not based on mortgages which are fully indexed. In addition, adjustable-rate and hybrid adjustable-rate RMBS may be subject to periodic payment caps that result in some portion of the interest being deferred and added to the principal outstanding. This could result in our receipt of less cash income on such assets than we would need to pay the interest cost on our related borrowings. To mitigate interest rate mismatches, we may utilize the hedging strategies discussed above under “—Interest Rate Risk.” Actual economic conditions or implementation of decisions by our management team may produce results that differ significantly from the estimates and assumptions used in our models.</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Prepayment Risk; Extension Risk</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tables summarize the estimated change in fair value of our MSRs as of the dates indicated given several parallel shifts in the discount rate, voluntary prepayment rate and servicing cost (dollars in thousands):</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MSR Fair Value Changes</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As of June 30, 2026</w:t>
      </w:r>
    </w:p>
    <w:p>
      <w:pPr>
        <w:pStyle w:val="TextBody"/>
        <w:bidi w:val="0"/>
        <w:spacing w:before="0" w:after="0"/>
        <w:jc w:val="left"/>
        <w:rPr>
          <w:sz w:val="20"/>
        </w:rPr>
      </w:pPr>
      <w:r>
        <w:rPr>
          <w:sz w:val="20"/>
        </w:rPr>
      </w:r>
    </w:p>
    <w:tbl>
      <w:tblPr>
        <w:tblW w:w="8610" w:type="dxa"/>
        <w:jc w:val="left"/>
        <w:tblInd w:w="0" w:type="dxa"/>
        <w:tblLayout w:type="fixed"/>
        <w:tblCellMar>
          <w:top w:w="0" w:type="dxa"/>
          <w:left w:w="0" w:type="dxa"/>
          <w:bottom w:w="0" w:type="dxa"/>
          <w:right w:w="0" w:type="dxa"/>
        </w:tblCellMar>
      </w:tblPr>
      <w:tblGrid>
        <w:gridCol w:w="3290"/>
        <w:gridCol w:w="60"/>
        <w:gridCol w:w="125"/>
        <w:gridCol w:w="695"/>
        <w:gridCol w:w="185"/>
        <w:gridCol w:w="60"/>
        <w:gridCol w:w="125"/>
        <w:gridCol w:w="695"/>
        <w:gridCol w:w="185"/>
        <w:gridCol w:w="60"/>
        <w:gridCol w:w="125"/>
        <w:gridCol w:w="695"/>
        <w:gridCol w:w="60"/>
        <w:gridCol w:w="60"/>
        <w:gridCol w:w="125"/>
        <w:gridCol w:w="695"/>
        <w:gridCol w:w="245"/>
        <w:gridCol w:w="60"/>
        <w:gridCol w:w="125"/>
        <w:gridCol w:w="695"/>
        <w:gridCol w:w="245"/>
      </w:tblGrid>
      <w:tr>
        <w:trPr/>
        <w:tc>
          <w:tcPr>
            <w:tcW w:w="32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center"/>
              <w:rPr>
                <w:b/>
              </w:rPr>
            </w:pPr>
            <w:r>
              <w:rPr>
                <w:b/>
              </w:rPr>
              <w:t>(20)%</w:t>
            </w:r>
          </w:p>
        </w:tc>
        <w:tc>
          <w:tcPr>
            <w:tcW w:w="185" w:type="dxa"/>
            <w:tcBorders/>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283"/>
              <w:jc w:val="center"/>
              <w:rPr>
                <w:b/>
              </w:rPr>
            </w:pPr>
            <w:r>
              <w:rPr>
                <w:b/>
              </w:rPr>
              <w:t>(10)%</w:t>
            </w:r>
          </w:p>
        </w:tc>
        <w:tc>
          <w:tcPr>
            <w:tcW w:w="185" w:type="dxa"/>
            <w:tcBorders/>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w:t>
            </w:r>
          </w:p>
        </w:tc>
        <w:tc>
          <w:tcPr>
            <w:tcW w:w="60" w:type="dxa"/>
            <w:tcBorders/>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10%</w:t>
            </w:r>
          </w:p>
        </w:tc>
        <w:tc>
          <w:tcPr>
            <w:tcW w:w="245" w:type="dxa"/>
            <w:tcBorders/>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w:t>
            </w:r>
          </w:p>
        </w:tc>
        <w:tc>
          <w:tcPr>
            <w:tcW w:w="245" w:type="dxa"/>
            <w:tcBorders/>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r>
          </w:p>
        </w:tc>
      </w:tr>
      <w:tr>
        <w:trPr/>
        <w:tc>
          <w:tcPr>
            <w:tcW w:w="3290" w:type="dxa"/>
            <w:tcBorders/>
            <w:shd w:fill="CCEEFF" w:val="clear"/>
            <w:vAlign w:val="bottom"/>
          </w:tcPr>
          <w:p>
            <w:pPr>
              <w:pStyle w:val="TableContents"/>
              <w:bidi w:val="0"/>
              <w:spacing w:before="0" w:after="0"/>
              <w:ind w:left="180" w:right="0" w:hanging="180"/>
              <w:jc w:val="left"/>
              <w:rPr>
                <w:rFonts w:ascii="Times New Roman" w:hAnsi="Times New Roman"/>
                <w:b/>
                <w:color w:val="000000"/>
                <w:sz w:val="20"/>
              </w:rPr>
            </w:pPr>
            <w:r>
              <w:rPr>
                <w:rFonts w:ascii="Times New Roman" w:hAnsi="Times New Roman"/>
                <w:b/>
                <w:color w:val="000000"/>
                <w:sz w:val="20"/>
              </w:rPr>
              <w:t>Discount Rate Shift in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125" w:type="dxa"/>
            <w:tcBorders/>
            <w:shd w:fill="CCEEFF" w:val="clear"/>
            <w:vAlign w:val="bottom"/>
          </w:tcPr>
          <w:p>
            <w:pPr>
              <w:pStyle w:val="TableContents"/>
              <w:bidi w:val="0"/>
              <w:spacing w:before="0" w:after="283"/>
              <w:jc w:val="left"/>
              <w:rPr>
                <w:color w:val="000000"/>
              </w:rPr>
            </w:pPr>
            <w:r>
              <w:rPr>
                <w:color w:val="000000"/>
              </w:rPr>
              <w:t> </w:t>
            </w:r>
          </w:p>
        </w:tc>
        <w:tc>
          <w:tcPr>
            <w:tcW w:w="695" w:type="dxa"/>
            <w:tcBorders/>
            <w:shd w:fill="CCEEFF" w:val="clear"/>
            <w:vAlign w:val="bottom"/>
          </w:tcPr>
          <w:p>
            <w:pPr>
              <w:pStyle w:val="TableContents"/>
              <w:bidi w:val="0"/>
              <w:spacing w:before="0" w:after="283"/>
              <w:jc w:val="right"/>
              <w:rPr>
                <w:color w:val="000000"/>
              </w:rPr>
            </w:pPr>
            <w:r>
              <w:rPr>
                <w:color w:val="000000"/>
              </w:rPr>
              <w:t> </w:t>
            </w:r>
          </w:p>
        </w:tc>
        <w:tc>
          <w:tcPr>
            <w:tcW w:w="185"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125" w:type="dxa"/>
            <w:tcBorders/>
            <w:shd w:fill="CCEEFF" w:val="clear"/>
            <w:vAlign w:val="bottom"/>
          </w:tcPr>
          <w:p>
            <w:pPr>
              <w:pStyle w:val="TableContents"/>
              <w:bidi w:val="0"/>
              <w:spacing w:before="0" w:after="283"/>
              <w:jc w:val="left"/>
              <w:rPr>
                <w:color w:val="000000"/>
              </w:rPr>
            </w:pPr>
            <w:r>
              <w:rPr>
                <w:color w:val="000000"/>
              </w:rPr>
              <w:t> </w:t>
            </w:r>
          </w:p>
        </w:tc>
        <w:tc>
          <w:tcPr>
            <w:tcW w:w="695" w:type="dxa"/>
            <w:tcBorders/>
            <w:shd w:fill="CCEEFF" w:val="clear"/>
            <w:vAlign w:val="bottom"/>
          </w:tcPr>
          <w:p>
            <w:pPr>
              <w:pStyle w:val="TableContents"/>
              <w:bidi w:val="0"/>
              <w:spacing w:before="0" w:after="283"/>
              <w:jc w:val="right"/>
              <w:rPr>
                <w:color w:val="000000"/>
              </w:rPr>
            </w:pPr>
            <w:r>
              <w:rPr>
                <w:color w:val="000000"/>
              </w:rPr>
              <w:t> </w:t>
            </w:r>
          </w:p>
        </w:tc>
        <w:tc>
          <w:tcPr>
            <w:tcW w:w="185"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125" w:type="dxa"/>
            <w:tcBorders/>
            <w:shd w:fill="CCEEFF" w:val="clear"/>
            <w:vAlign w:val="bottom"/>
          </w:tcPr>
          <w:p>
            <w:pPr>
              <w:pStyle w:val="TableContents"/>
              <w:bidi w:val="0"/>
              <w:spacing w:before="0" w:after="283"/>
              <w:jc w:val="left"/>
              <w:rPr>
                <w:color w:val="000000"/>
              </w:rPr>
            </w:pPr>
            <w:r>
              <w:rPr>
                <w:color w:val="000000"/>
              </w:rPr>
              <w:t> </w:t>
            </w:r>
          </w:p>
        </w:tc>
        <w:tc>
          <w:tcPr>
            <w:tcW w:w="695" w:type="dxa"/>
            <w:tcBorders/>
            <w:shd w:fill="CCEEFF" w:val="clear"/>
            <w:vAlign w:val="bottom"/>
          </w:tcPr>
          <w:p>
            <w:pPr>
              <w:pStyle w:val="TableContents"/>
              <w:bidi w:val="0"/>
              <w:spacing w:before="0" w:after="283"/>
              <w:jc w:val="righ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125" w:type="dxa"/>
            <w:tcBorders/>
            <w:shd w:fill="CCEEFF" w:val="clear"/>
            <w:vAlign w:val="bottom"/>
          </w:tcPr>
          <w:p>
            <w:pPr>
              <w:pStyle w:val="TableContents"/>
              <w:bidi w:val="0"/>
              <w:spacing w:before="0" w:after="283"/>
              <w:jc w:val="left"/>
              <w:rPr>
                <w:color w:val="000000"/>
              </w:rPr>
            </w:pPr>
            <w:r>
              <w:rPr>
                <w:color w:val="000000"/>
              </w:rPr>
              <w:t> </w:t>
            </w:r>
          </w:p>
        </w:tc>
        <w:tc>
          <w:tcPr>
            <w:tcW w:w="695" w:type="dxa"/>
            <w:tcBorders/>
            <w:shd w:fill="CCEEFF" w:val="clear"/>
            <w:vAlign w:val="bottom"/>
          </w:tcPr>
          <w:p>
            <w:pPr>
              <w:pStyle w:val="TableContents"/>
              <w:bidi w:val="0"/>
              <w:spacing w:before="0" w:after="283"/>
              <w:jc w:val="right"/>
              <w:rPr>
                <w:color w:val="000000"/>
              </w:rPr>
            </w:pPr>
            <w:r>
              <w:rPr>
                <w:color w:val="000000"/>
              </w:rPr>
              <w:t> </w:t>
            </w:r>
          </w:p>
        </w:tc>
        <w:tc>
          <w:tcPr>
            <w:tcW w:w="245"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125" w:type="dxa"/>
            <w:tcBorders/>
            <w:shd w:fill="CCEEFF" w:val="clear"/>
            <w:vAlign w:val="bottom"/>
          </w:tcPr>
          <w:p>
            <w:pPr>
              <w:pStyle w:val="TableContents"/>
              <w:bidi w:val="0"/>
              <w:spacing w:before="0" w:after="283"/>
              <w:jc w:val="left"/>
              <w:rPr>
                <w:color w:val="000000"/>
              </w:rPr>
            </w:pPr>
            <w:r>
              <w:rPr>
                <w:color w:val="000000"/>
              </w:rPr>
              <w:t> </w:t>
            </w:r>
          </w:p>
        </w:tc>
        <w:tc>
          <w:tcPr>
            <w:tcW w:w="695" w:type="dxa"/>
            <w:tcBorders/>
            <w:shd w:fill="CCEEFF" w:val="clear"/>
            <w:vAlign w:val="bottom"/>
          </w:tcPr>
          <w:p>
            <w:pPr>
              <w:pStyle w:val="TableContents"/>
              <w:bidi w:val="0"/>
              <w:spacing w:before="0" w:after="283"/>
              <w:jc w:val="right"/>
              <w:rPr>
                <w:color w:val="000000"/>
              </w:rPr>
            </w:pPr>
            <w:r>
              <w:rPr>
                <w:color w:val="000000"/>
              </w:rPr>
              <w:t> </w:t>
            </w:r>
          </w:p>
        </w:tc>
        <w:tc>
          <w:tcPr>
            <w:tcW w:w="245" w:type="dxa"/>
            <w:tcBorders/>
            <w:shd w:fill="CCEEFF" w:val="clear"/>
            <w:vAlign w:val="bottom"/>
          </w:tcPr>
          <w:p>
            <w:pPr>
              <w:pStyle w:val="TableContents"/>
              <w:bidi w:val="0"/>
              <w:spacing w:before="0" w:after="283"/>
              <w:jc w:val="left"/>
              <w:rPr>
                <w:color w:val="000000"/>
              </w:rPr>
            </w:pPr>
            <w:r>
              <w:rPr>
                <w:color w:val="000000"/>
              </w:rPr>
              <w:t> </w:t>
            </w:r>
          </w:p>
        </w:tc>
      </w:tr>
      <w:tr>
        <w:trPr/>
        <w:tc>
          <w:tcPr>
            <w:tcW w:w="3290" w:type="dxa"/>
            <w:tcBorders/>
            <w:vAlign w:val="bottom"/>
          </w:tcPr>
          <w:p>
            <w:pPr>
              <w:pStyle w:val="TableContents"/>
              <w:bidi w:val="0"/>
              <w:spacing w:before="0" w:after="0"/>
              <w:ind w:left="360" w:right="0" w:hanging="180"/>
              <w:jc w:val="left"/>
              <w:rPr>
                <w:rFonts w:ascii="Times New Roman" w:hAnsi="Times New Roman"/>
                <w:color w:val="000000"/>
                <w:sz w:val="20"/>
              </w:rPr>
            </w:pPr>
            <w:r>
              <w:rPr>
                <w:rFonts w:ascii="Times New Roman" w:hAnsi="Times New Roman"/>
                <w:color w:val="000000"/>
                <w:sz w:val="20"/>
              </w:rPr>
              <w:t>Estimated FV</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232,082</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221,147</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211,105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201,858</w:t>
            </w:r>
          </w:p>
        </w:tc>
        <w:tc>
          <w:tcPr>
            <w:tcW w:w="2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193,324</w:t>
            </w:r>
          </w:p>
        </w:tc>
        <w:tc>
          <w:tcPr>
            <w:tcW w:w="245" w:type="dxa"/>
            <w:tcBorders/>
            <w:vAlign w:val="bottom"/>
          </w:tcPr>
          <w:p>
            <w:pPr>
              <w:pStyle w:val="TableContents"/>
              <w:bidi w:val="0"/>
              <w:spacing w:before="0" w:after="283"/>
              <w:jc w:val="left"/>
              <w:rPr/>
            </w:pPr>
            <w:r>
              <w:rPr/>
              <w:t> </w:t>
            </w:r>
          </w:p>
        </w:tc>
      </w:tr>
      <w:tr>
        <w:trPr/>
        <w:tc>
          <w:tcPr>
            <w:tcW w:w="3290" w:type="dxa"/>
            <w:tcBorders/>
            <w:shd w:fill="CCEEFF" w:val="clear"/>
            <w:vAlign w:val="bottom"/>
          </w:tcPr>
          <w:p>
            <w:pPr>
              <w:pStyle w:val="TableContents"/>
              <w:bidi w:val="0"/>
              <w:spacing w:before="0" w:after="0"/>
              <w:ind w:left="360" w:right="0" w:hanging="180"/>
              <w:jc w:val="left"/>
              <w:rPr>
                <w:rFonts w:ascii="Times New Roman" w:hAnsi="Times New Roman"/>
                <w:color w:val="000000"/>
                <w:sz w:val="20"/>
              </w:rPr>
            </w:pPr>
            <w:r>
              <w:rPr>
                <w:rFonts w:ascii="Times New Roman" w:hAnsi="Times New Roman"/>
                <w:color w:val="000000"/>
                <w:sz w:val="20"/>
              </w:rPr>
              <w:t>Change in FV</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20,978</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10,043</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(9,247</w:t>
            </w:r>
          </w:p>
        </w:tc>
        <w:tc>
          <w:tcPr>
            <w:tcW w:w="24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(17,781</w:t>
            </w:r>
          </w:p>
        </w:tc>
        <w:tc>
          <w:tcPr>
            <w:tcW w:w="24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3290" w:type="dxa"/>
            <w:tcBorders/>
            <w:vAlign w:val="bottom"/>
          </w:tcPr>
          <w:p>
            <w:pPr>
              <w:pStyle w:val="TableContents"/>
              <w:bidi w:val="0"/>
              <w:spacing w:before="0" w:after="0"/>
              <w:ind w:left="360" w:right="0" w:hanging="180"/>
              <w:jc w:val="left"/>
              <w:rPr>
                <w:rFonts w:ascii="Times New Roman" w:hAnsi="Times New Roman"/>
                <w:color w:val="000000"/>
                <w:sz w:val="20"/>
              </w:rPr>
            </w:pPr>
            <w:r>
              <w:rPr>
                <w:rFonts w:ascii="Times New Roman" w:hAnsi="Times New Roman"/>
                <w:color w:val="000000"/>
                <w:sz w:val="20"/>
              </w:rPr>
              <w:t>% Change in FV</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w:t>
            </w:r>
          </w:p>
        </w:tc>
        <w:tc>
          <w:tcPr>
            <w:tcW w:w="24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w:t>
            </w:r>
          </w:p>
        </w:tc>
        <w:tc>
          <w:tcPr>
            <w:tcW w:w="24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3290" w:type="dxa"/>
            <w:tcBorders/>
            <w:shd w:fill="CCEEFF" w:val="clear"/>
            <w:vAlign w:val="bottom"/>
          </w:tcPr>
          <w:p>
            <w:pPr>
              <w:pStyle w:val="TableContents"/>
              <w:bidi w:val="0"/>
              <w:spacing w:before="0" w:after="0"/>
              <w:ind w:left="180" w:right="0" w:hanging="180"/>
              <w:jc w:val="left"/>
              <w:rPr>
                <w:rFonts w:ascii="Times New Roman" w:hAnsi="Times New Roman"/>
                <w:b/>
                <w:sz w:val="20"/>
              </w:rPr>
            </w:pPr>
            <w:r>
              <w:rPr>
                <w:rFonts w:ascii="Times New Roman" w:hAnsi="Times New Roman"/>
                <w:b/>
                <w:sz w:val="20"/>
              </w:rPr>
              <w:t>Voluntary Prepayment Rate Shift in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125" w:type="dxa"/>
            <w:tcBorders/>
            <w:shd w:fill="CCEEFF" w:val="clear"/>
            <w:vAlign w:val="bottom"/>
          </w:tcPr>
          <w:p>
            <w:pPr>
              <w:pStyle w:val="TableContents"/>
              <w:bidi w:val="0"/>
              <w:spacing w:before="0" w:after="283"/>
              <w:jc w:val="left"/>
              <w:rPr>
                <w:color w:val="000000"/>
              </w:rPr>
            </w:pPr>
            <w:r>
              <w:rPr>
                <w:color w:val="000000"/>
              </w:rPr>
              <w:t> </w:t>
            </w:r>
          </w:p>
        </w:tc>
        <w:tc>
          <w:tcPr>
            <w:tcW w:w="695" w:type="dxa"/>
            <w:tcBorders/>
            <w:shd w:fill="CCEEFF" w:val="clear"/>
            <w:vAlign w:val="bottom"/>
          </w:tcPr>
          <w:p>
            <w:pPr>
              <w:pStyle w:val="TableContents"/>
              <w:bidi w:val="0"/>
              <w:spacing w:before="0" w:after="283"/>
              <w:jc w:val="right"/>
              <w:rPr>
                <w:color w:val="000000"/>
              </w:rPr>
            </w:pPr>
            <w:r>
              <w:rPr>
                <w:color w:val="000000"/>
              </w:rPr>
              <w:t> </w:t>
            </w:r>
          </w:p>
        </w:tc>
        <w:tc>
          <w:tcPr>
            <w:tcW w:w="185"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125" w:type="dxa"/>
            <w:tcBorders/>
            <w:shd w:fill="CCEEFF" w:val="clear"/>
            <w:vAlign w:val="bottom"/>
          </w:tcPr>
          <w:p>
            <w:pPr>
              <w:pStyle w:val="TableContents"/>
              <w:bidi w:val="0"/>
              <w:spacing w:before="0" w:after="283"/>
              <w:jc w:val="left"/>
              <w:rPr>
                <w:color w:val="000000"/>
              </w:rPr>
            </w:pPr>
            <w:r>
              <w:rPr>
                <w:color w:val="000000"/>
              </w:rPr>
              <w:t> </w:t>
            </w:r>
          </w:p>
        </w:tc>
        <w:tc>
          <w:tcPr>
            <w:tcW w:w="695" w:type="dxa"/>
            <w:tcBorders/>
            <w:shd w:fill="CCEEFF" w:val="clear"/>
            <w:vAlign w:val="bottom"/>
          </w:tcPr>
          <w:p>
            <w:pPr>
              <w:pStyle w:val="TableContents"/>
              <w:bidi w:val="0"/>
              <w:spacing w:before="0" w:after="283"/>
              <w:jc w:val="right"/>
              <w:rPr>
                <w:color w:val="000000"/>
              </w:rPr>
            </w:pPr>
            <w:r>
              <w:rPr>
                <w:color w:val="000000"/>
              </w:rPr>
              <w:t> </w:t>
            </w:r>
          </w:p>
        </w:tc>
        <w:tc>
          <w:tcPr>
            <w:tcW w:w="185"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125" w:type="dxa"/>
            <w:tcBorders/>
            <w:shd w:fill="CCEEFF" w:val="clear"/>
            <w:vAlign w:val="bottom"/>
          </w:tcPr>
          <w:p>
            <w:pPr>
              <w:pStyle w:val="TableContents"/>
              <w:bidi w:val="0"/>
              <w:spacing w:before="0" w:after="283"/>
              <w:jc w:val="left"/>
              <w:rPr>
                <w:color w:val="000000"/>
              </w:rPr>
            </w:pPr>
            <w:r>
              <w:rPr>
                <w:color w:val="000000"/>
              </w:rPr>
              <w:t> </w:t>
            </w:r>
          </w:p>
        </w:tc>
        <w:tc>
          <w:tcPr>
            <w:tcW w:w="695" w:type="dxa"/>
            <w:tcBorders/>
            <w:shd w:fill="CCEEFF" w:val="clear"/>
            <w:vAlign w:val="bottom"/>
          </w:tcPr>
          <w:p>
            <w:pPr>
              <w:pStyle w:val="TableContents"/>
              <w:bidi w:val="0"/>
              <w:spacing w:before="0" w:after="283"/>
              <w:jc w:val="righ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125" w:type="dxa"/>
            <w:tcBorders/>
            <w:shd w:fill="CCEEFF" w:val="clear"/>
            <w:vAlign w:val="bottom"/>
          </w:tcPr>
          <w:p>
            <w:pPr>
              <w:pStyle w:val="TableContents"/>
              <w:bidi w:val="0"/>
              <w:spacing w:before="0" w:after="283"/>
              <w:jc w:val="left"/>
              <w:rPr>
                <w:color w:val="000000"/>
              </w:rPr>
            </w:pPr>
            <w:r>
              <w:rPr>
                <w:color w:val="000000"/>
              </w:rPr>
              <w:t> </w:t>
            </w:r>
          </w:p>
        </w:tc>
        <w:tc>
          <w:tcPr>
            <w:tcW w:w="695" w:type="dxa"/>
            <w:tcBorders/>
            <w:shd w:fill="CCEEFF" w:val="clear"/>
            <w:vAlign w:val="bottom"/>
          </w:tcPr>
          <w:p>
            <w:pPr>
              <w:pStyle w:val="TableContents"/>
              <w:bidi w:val="0"/>
              <w:spacing w:before="0" w:after="283"/>
              <w:jc w:val="right"/>
              <w:rPr>
                <w:color w:val="000000"/>
              </w:rPr>
            </w:pPr>
            <w:r>
              <w:rPr>
                <w:color w:val="000000"/>
              </w:rPr>
              <w:t> </w:t>
            </w:r>
          </w:p>
        </w:tc>
        <w:tc>
          <w:tcPr>
            <w:tcW w:w="245"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125" w:type="dxa"/>
            <w:tcBorders/>
            <w:shd w:fill="CCEEFF" w:val="clear"/>
            <w:vAlign w:val="bottom"/>
          </w:tcPr>
          <w:p>
            <w:pPr>
              <w:pStyle w:val="TableContents"/>
              <w:bidi w:val="0"/>
              <w:spacing w:before="0" w:after="283"/>
              <w:jc w:val="left"/>
              <w:rPr>
                <w:color w:val="000000"/>
              </w:rPr>
            </w:pPr>
            <w:r>
              <w:rPr>
                <w:color w:val="000000"/>
              </w:rPr>
              <w:t> </w:t>
            </w:r>
          </w:p>
        </w:tc>
        <w:tc>
          <w:tcPr>
            <w:tcW w:w="695" w:type="dxa"/>
            <w:tcBorders/>
            <w:shd w:fill="CCEEFF" w:val="clear"/>
            <w:vAlign w:val="bottom"/>
          </w:tcPr>
          <w:p>
            <w:pPr>
              <w:pStyle w:val="TableContents"/>
              <w:bidi w:val="0"/>
              <w:spacing w:before="0" w:after="283"/>
              <w:jc w:val="right"/>
              <w:rPr>
                <w:color w:val="000000"/>
              </w:rPr>
            </w:pPr>
            <w:r>
              <w:rPr>
                <w:color w:val="000000"/>
              </w:rPr>
              <w:t> </w:t>
            </w:r>
          </w:p>
        </w:tc>
        <w:tc>
          <w:tcPr>
            <w:tcW w:w="245" w:type="dxa"/>
            <w:tcBorders/>
            <w:shd w:fill="CCEEFF" w:val="clear"/>
            <w:vAlign w:val="bottom"/>
          </w:tcPr>
          <w:p>
            <w:pPr>
              <w:pStyle w:val="TableContents"/>
              <w:bidi w:val="0"/>
              <w:spacing w:before="0" w:after="283"/>
              <w:jc w:val="left"/>
              <w:rPr>
                <w:color w:val="000000"/>
              </w:rPr>
            </w:pPr>
            <w:r>
              <w:rPr>
                <w:color w:val="000000"/>
              </w:rPr>
              <w:t> </w:t>
            </w:r>
          </w:p>
        </w:tc>
      </w:tr>
      <w:tr>
        <w:trPr/>
        <w:tc>
          <w:tcPr>
            <w:tcW w:w="3290" w:type="dxa"/>
            <w:tcBorders/>
            <w:vAlign w:val="bottom"/>
          </w:tcPr>
          <w:p>
            <w:pPr>
              <w:pStyle w:val="TableContents"/>
              <w:bidi w:val="0"/>
              <w:spacing w:before="0" w:after="0"/>
              <w:ind w:left="360" w:right="0" w:hanging="180"/>
              <w:jc w:val="left"/>
              <w:rPr>
                <w:rFonts w:ascii="Times New Roman" w:hAnsi="Times New Roman"/>
                <w:color w:val="000000"/>
                <w:sz w:val="20"/>
              </w:rPr>
            </w:pPr>
            <w:r>
              <w:rPr>
                <w:rFonts w:ascii="Times New Roman" w:hAnsi="Times New Roman"/>
                <w:color w:val="000000"/>
                <w:sz w:val="20"/>
              </w:rPr>
              <w:t>Estimated FV</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223,626</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217,209</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211,105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205,312</w:t>
            </w:r>
          </w:p>
        </w:tc>
        <w:tc>
          <w:tcPr>
            <w:tcW w:w="2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199,813</w:t>
            </w:r>
          </w:p>
        </w:tc>
        <w:tc>
          <w:tcPr>
            <w:tcW w:w="245" w:type="dxa"/>
            <w:tcBorders/>
            <w:vAlign w:val="bottom"/>
          </w:tcPr>
          <w:p>
            <w:pPr>
              <w:pStyle w:val="TableContents"/>
              <w:bidi w:val="0"/>
              <w:spacing w:before="0" w:after="283"/>
              <w:jc w:val="left"/>
              <w:rPr/>
            </w:pPr>
            <w:r>
              <w:rPr/>
              <w:t> </w:t>
            </w:r>
          </w:p>
        </w:tc>
      </w:tr>
      <w:tr>
        <w:trPr/>
        <w:tc>
          <w:tcPr>
            <w:tcW w:w="3290" w:type="dxa"/>
            <w:tcBorders/>
            <w:shd w:fill="CCEEFF" w:val="clear"/>
            <w:vAlign w:val="bottom"/>
          </w:tcPr>
          <w:p>
            <w:pPr>
              <w:pStyle w:val="TableContents"/>
              <w:bidi w:val="0"/>
              <w:spacing w:before="0" w:after="0"/>
              <w:ind w:left="360" w:right="0" w:hanging="180"/>
              <w:jc w:val="left"/>
              <w:rPr>
                <w:rFonts w:ascii="Times New Roman" w:hAnsi="Times New Roman"/>
                <w:color w:val="000000"/>
                <w:sz w:val="20"/>
              </w:rPr>
            </w:pPr>
            <w:r>
              <w:rPr>
                <w:rFonts w:ascii="Times New Roman" w:hAnsi="Times New Roman"/>
                <w:color w:val="000000"/>
                <w:sz w:val="20"/>
              </w:rPr>
              <w:t>Change in FV</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12,521</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6,105</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(5,792</w:t>
            </w:r>
          </w:p>
        </w:tc>
        <w:tc>
          <w:tcPr>
            <w:tcW w:w="24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(11,291</w:t>
            </w:r>
          </w:p>
        </w:tc>
        <w:tc>
          <w:tcPr>
            <w:tcW w:w="24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3290" w:type="dxa"/>
            <w:tcBorders/>
            <w:vAlign w:val="bottom"/>
          </w:tcPr>
          <w:p>
            <w:pPr>
              <w:pStyle w:val="TableContents"/>
              <w:bidi w:val="0"/>
              <w:spacing w:before="0" w:after="0"/>
              <w:ind w:left="360" w:right="0" w:hanging="180"/>
              <w:jc w:val="left"/>
              <w:rPr>
                <w:rFonts w:ascii="Times New Roman" w:hAnsi="Times New Roman"/>
                <w:color w:val="000000"/>
                <w:sz w:val="20"/>
              </w:rPr>
            </w:pPr>
            <w:r>
              <w:rPr>
                <w:rFonts w:ascii="Times New Roman" w:hAnsi="Times New Roman"/>
                <w:color w:val="000000"/>
                <w:sz w:val="20"/>
              </w:rPr>
              <w:t>% Change in FV</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w:t>
            </w:r>
          </w:p>
        </w:tc>
        <w:tc>
          <w:tcPr>
            <w:tcW w:w="24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w:t>
            </w:r>
          </w:p>
        </w:tc>
        <w:tc>
          <w:tcPr>
            <w:tcW w:w="24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3290" w:type="dxa"/>
            <w:tcBorders/>
            <w:shd w:fill="CCEEFF" w:val="clear"/>
            <w:vAlign w:val="bottom"/>
          </w:tcPr>
          <w:p>
            <w:pPr>
              <w:pStyle w:val="TableContents"/>
              <w:bidi w:val="0"/>
              <w:spacing w:before="0" w:after="0"/>
              <w:ind w:left="180" w:right="0" w:hanging="180"/>
              <w:jc w:val="left"/>
              <w:rPr>
                <w:rFonts w:ascii="Times New Roman" w:hAnsi="Times New Roman"/>
                <w:b/>
                <w:color w:val="000000"/>
                <w:sz w:val="20"/>
              </w:rPr>
            </w:pPr>
            <w:r>
              <w:rPr>
                <w:rFonts w:ascii="Times New Roman" w:hAnsi="Times New Roman"/>
                <w:b/>
                <w:color w:val="000000"/>
                <w:sz w:val="20"/>
              </w:rPr>
              <w:t>Servicing Cost Shift in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125" w:type="dxa"/>
            <w:tcBorders/>
            <w:shd w:fill="CCEEFF" w:val="clear"/>
            <w:vAlign w:val="bottom"/>
          </w:tcPr>
          <w:p>
            <w:pPr>
              <w:pStyle w:val="TableContents"/>
              <w:bidi w:val="0"/>
              <w:spacing w:before="0" w:after="283"/>
              <w:jc w:val="left"/>
              <w:rPr>
                <w:color w:val="000000"/>
              </w:rPr>
            </w:pPr>
            <w:r>
              <w:rPr>
                <w:color w:val="000000"/>
              </w:rPr>
              <w:t> </w:t>
            </w:r>
          </w:p>
        </w:tc>
        <w:tc>
          <w:tcPr>
            <w:tcW w:w="695" w:type="dxa"/>
            <w:tcBorders/>
            <w:shd w:fill="CCEEFF" w:val="clear"/>
            <w:vAlign w:val="bottom"/>
          </w:tcPr>
          <w:p>
            <w:pPr>
              <w:pStyle w:val="TableContents"/>
              <w:bidi w:val="0"/>
              <w:spacing w:before="0" w:after="283"/>
              <w:jc w:val="right"/>
              <w:rPr>
                <w:color w:val="000000"/>
              </w:rPr>
            </w:pPr>
            <w:r>
              <w:rPr>
                <w:color w:val="000000"/>
              </w:rPr>
              <w:t> </w:t>
            </w:r>
          </w:p>
        </w:tc>
        <w:tc>
          <w:tcPr>
            <w:tcW w:w="185"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125" w:type="dxa"/>
            <w:tcBorders/>
            <w:shd w:fill="CCEEFF" w:val="clear"/>
            <w:vAlign w:val="bottom"/>
          </w:tcPr>
          <w:p>
            <w:pPr>
              <w:pStyle w:val="TableContents"/>
              <w:bidi w:val="0"/>
              <w:spacing w:before="0" w:after="283"/>
              <w:jc w:val="left"/>
              <w:rPr>
                <w:color w:val="000000"/>
              </w:rPr>
            </w:pPr>
            <w:r>
              <w:rPr>
                <w:color w:val="000000"/>
              </w:rPr>
              <w:t> </w:t>
            </w:r>
          </w:p>
        </w:tc>
        <w:tc>
          <w:tcPr>
            <w:tcW w:w="695" w:type="dxa"/>
            <w:tcBorders/>
            <w:shd w:fill="CCEEFF" w:val="clear"/>
            <w:vAlign w:val="bottom"/>
          </w:tcPr>
          <w:p>
            <w:pPr>
              <w:pStyle w:val="TableContents"/>
              <w:bidi w:val="0"/>
              <w:spacing w:before="0" w:after="283"/>
              <w:jc w:val="right"/>
              <w:rPr>
                <w:color w:val="000000"/>
              </w:rPr>
            </w:pPr>
            <w:r>
              <w:rPr>
                <w:color w:val="000000"/>
              </w:rPr>
              <w:t> </w:t>
            </w:r>
          </w:p>
        </w:tc>
        <w:tc>
          <w:tcPr>
            <w:tcW w:w="185"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125" w:type="dxa"/>
            <w:tcBorders/>
            <w:shd w:fill="CCEEFF" w:val="clear"/>
            <w:vAlign w:val="bottom"/>
          </w:tcPr>
          <w:p>
            <w:pPr>
              <w:pStyle w:val="TableContents"/>
              <w:bidi w:val="0"/>
              <w:spacing w:before="0" w:after="283"/>
              <w:jc w:val="left"/>
              <w:rPr>
                <w:color w:val="000000"/>
              </w:rPr>
            </w:pPr>
            <w:r>
              <w:rPr>
                <w:color w:val="000000"/>
              </w:rPr>
              <w:t> </w:t>
            </w:r>
          </w:p>
        </w:tc>
        <w:tc>
          <w:tcPr>
            <w:tcW w:w="695" w:type="dxa"/>
            <w:tcBorders/>
            <w:shd w:fill="CCEEFF" w:val="clear"/>
            <w:vAlign w:val="bottom"/>
          </w:tcPr>
          <w:p>
            <w:pPr>
              <w:pStyle w:val="TableContents"/>
              <w:bidi w:val="0"/>
              <w:spacing w:before="0" w:after="283"/>
              <w:jc w:val="righ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125" w:type="dxa"/>
            <w:tcBorders/>
            <w:shd w:fill="CCEEFF" w:val="clear"/>
            <w:vAlign w:val="bottom"/>
          </w:tcPr>
          <w:p>
            <w:pPr>
              <w:pStyle w:val="TableContents"/>
              <w:bidi w:val="0"/>
              <w:spacing w:before="0" w:after="283"/>
              <w:jc w:val="left"/>
              <w:rPr>
                <w:color w:val="000000"/>
              </w:rPr>
            </w:pPr>
            <w:r>
              <w:rPr>
                <w:color w:val="000000"/>
              </w:rPr>
              <w:t> </w:t>
            </w:r>
          </w:p>
        </w:tc>
        <w:tc>
          <w:tcPr>
            <w:tcW w:w="695" w:type="dxa"/>
            <w:tcBorders/>
            <w:shd w:fill="CCEEFF" w:val="clear"/>
            <w:vAlign w:val="bottom"/>
          </w:tcPr>
          <w:p>
            <w:pPr>
              <w:pStyle w:val="TableContents"/>
              <w:bidi w:val="0"/>
              <w:spacing w:before="0" w:after="283"/>
              <w:jc w:val="right"/>
              <w:rPr>
                <w:color w:val="000000"/>
              </w:rPr>
            </w:pPr>
            <w:r>
              <w:rPr>
                <w:color w:val="000000"/>
              </w:rPr>
              <w:t> </w:t>
            </w:r>
          </w:p>
        </w:tc>
        <w:tc>
          <w:tcPr>
            <w:tcW w:w="245"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125" w:type="dxa"/>
            <w:tcBorders/>
            <w:shd w:fill="CCEEFF" w:val="clear"/>
            <w:vAlign w:val="bottom"/>
          </w:tcPr>
          <w:p>
            <w:pPr>
              <w:pStyle w:val="TableContents"/>
              <w:bidi w:val="0"/>
              <w:spacing w:before="0" w:after="283"/>
              <w:jc w:val="left"/>
              <w:rPr>
                <w:color w:val="000000"/>
              </w:rPr>
            </w:pPr>
            <w:r>
              <w:rPr>
                <w:color w:val="000000"/>
              </w:rPr>
              <w:t> </w:t>
            </w:r>
          </w:p>
        </w:tc>
        <w:tc>
          <w:tcPr>
            <w:tcW w:w="695" w:type="dxa"/>
            <w:tcBorders/>
            <w:shd w:fill="CCEEFF" w:val="clear"/>
            <w:vAlign w:val="bottom"/>
          </w:tcPr>
          <w:p>
            <w:pPr>
              <w:pStyle w:val="TableContents"/>
              <w:bidi w:val="0"/>
              <w:spacing w:before="0" w:after="283"/>
              <w:jc w:val="right"/>
              <w:rPr>
                <w:color w:val="000000"/>
              </w:rPr>
            </w:pPr>
            <w:r>
              <w:rPr>
                <w:color w:val="000000"/>
              </w:rPr>
              <w:t> </w:t>
            </w:r>
          </w:p>
        </w:tc>
        <w:tc>
          <w:tcPr>
            <w:tcW w:w="245" w:type="dxa"/>
            <w:tcBorders/>
            <w:shd w:fill="CCEEFF" w:val="clear"/>
            <w:vAlign w:val="bottom"/>
          </w:tcPr>
          <w:p>
            <w:pPr>
              <w:pStyle w:val="TableContents"/>
              <w:bidi w:val="0"/>
              <w:spacing w:before="0" w:after="283"/>
              <w:jc w:val="left"/>
              <w:rPr>
                <w:color w:val="000000"/>
              </w:rPr>
            </w:pPr>
            <w:r>
              <w:rPr>
                <w:color w:val="000000"/>
              </w:rPr>
              <w:t> </w:t>
            </w:r>
          </w:p>
        </w:tc>
      </w:tr>
      <w:tr>
        <w:trPr/>
        <w:tc>
          <w:tcPr>
            <w:tcW w:w="3290" w:type="dxa"/>
            <w:tcBorders/>
            <w:vAlign w:val="bottom"/>
          </w:tcPr>
          <w:p>
            <w:pPr>
              <w:pStyle w:val="TableContents"/>
              <w:bidi w:val="0"/>
              <w:spacing w:before="0" w:after="0"/>
              <w:ind w:left="360" w:right="0" w:hanging="180"/>
              <w:jc w:val="left"/>
              <w:rPr>
                <w:rFonts w:ascii="Times New Roman" w:hAnsi="Times New Roman"/>
                <w:color w:val="000000"/>
                <w:sz w:val="20"/>
              </w:rPr>
            </w:pPr>
            <w:r>
              <w:rPr>
                <w:rFonts w:ascii="Times New Roman" w:hAnsi="Times New Roman"/>
                <w:color w:val="000000"/>
                <w:sz w:val="20"/>
              </w:rPr>
              <w:t>Estimated FV</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218,006</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214,555</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211,105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207,654</w:t>
            </w:r>
          </w:p>
        </w:tc>
        <w:tc>
          <w:tcPr>
            <w:tcW w:w="2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204,203</w:t>
            </w:r>
          </w:p>
        </w:tc>
        <w:tc>
          <w:tcPr>
            <w:tcW w:w="245" w:type="dxa"/>
            <w:tcBorders/>
            <w:vAlign w:val="bottom"/>
          </w:tcPr>
          <w:p>
            <w:pPr>
              <w:pStyle w:val="TableContents"/>
              <w:bidi w:val="0"/>
              <w:spacing w:before="0" w:after="283"/>
              <w:jc w:val="left"/>
              <w:rPr/>
            </w:pPr>
            <w:r>
              <w:rPr/>
              <w:t> </w:t>
            </w:r>
          </w:p>
        </w:tc>
      </w:tr>
      <w:tr>
        <w:trPr/>
        <w:tc>
          <w:tcPr>
            <w:tcW w:w="3290" w:type="dxa"/>
            <w:tcBorders/>
            <w:shd w:fill="CCEEFF" w:val="clear"/>
            <w:vAlign w:val="bottom"/>
          </w:tcPr>
          <w:p>
            <w:pPr>
              <w:pStyle w:val="TableContents"/>
              <w:bidi w:val="0"/>
              <w:spacing w:before="0" w:after="0"/>
              <w:ind w:left="360" w:right="0" w:hanging="180"/>
              <w:jc w:val="left"/>
              <w:rPr>
                <w:rFonts w:ascii="Times New Roman" w:hAnsi="Times New Roman"/>
                <w:color w:val="000000"/>
                <w:sz w:val="20"/>
              </w:rPr>
            </w:pPr>
            <w:r>
              <w:rPr>
                <w:rFonts w:ascii="Times New Roman" w:hAnsi="Times New Roman"/>
                <w:color w:val="000000"/>
                <w:sz w:val="20"/>
              </w:rPr>
              <w:t>Change in FV</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6,901</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3,451</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(3,451</w:t>
            </w:r>
          </w:p>
        </w:tc>
        <w:tc>
          <w:tcPr>
            <w:tcW w:w="24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(6,901</w:t>
            </w:r>
          </w:p>
        </w:tc>
        <w:tc>
          <w:tcPr>
            <w:tcW w:w="24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3290" w:type="dxa"/>
            <w:tcBorders/>
            <w:vAlign w:val="bottom"/>
          </w:tcPr>
          <w:p>
            <w:pPr>
              <w:pStyle w:val="TableContents"/>
              <w:bidi w:val="0"/>
              <w:spacing w:before="0" w:after="0"/>
              <w:ind w:left="360" w:right="0" w:hanging="180"/>
              <w:jc w:val="left"/>
              <w:rPr>
                <w:rFonts w:ascii="Times New Roman" w:hAnsi="Times New Roman"/>
                <w:color w:val="000000"/>
                <w:sz w:val="20"/>
              </w:rPr>
            </w:pPr>
            <w:r>
              <w:rPr>
                <w:rFonts w:ascii="Times New Roman" w:hAnsi="Times New Roman"/>
                <w:color w:val="000000"/>
                <w:sz w:val="20"/>
              </w:rPr>
              <w:t>% Change in FV</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w:t>
            </w:r>
          </w:p>
        </w:tc>
        <w:tc>
          <w:tcPr>
            <w:tcW w:w="24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w:t>
            </w:r>
          </w:p>
        </w:tc>
        <w:tc>
          <w:tcPr>
            <w:tcW w:w="24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75</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As of December 31, 2025</w:t>
      </w:r>
    </w:p>
    <w:p>
      <w:pPr>
        <w:pStyle w:val="TextBody"/>
        <w:bidi w:val="0"/>
        <w:spacing w:before="0" w:after="0"/>
        <w:jc w:val="left"/>
        <w:rPr>
          <w:sz w:val="20"/>
        </w:rPr>
      </w:pPr>
      <w:r>
        <w:rPr>
          <w:sz w:val="20"/>
        </w:rPr>
      </w:r>
    </w:p>
    <w:tbl>
      <w:tblPr>
        <w:tblW w:w="9108" w:type="dxa"/>
        <w:jc w:val="left"/>
        <w:tblInd w:w="0" w:type="dxa"/>
        <w:tblLayout w:type="fixed"/>
        <w:tblCellMar>
          <w:top w:w="0" w:type="dxa"/>
          <w:left w:w="0" w:type="dxa"/>
          <w:bottom w:w="0" w:type="dxa"/>
          <w:right w:w="0" w:type="dxa"/>
        </w:tblCellMar>
      </w:tblPr>
      <w:tblGrid>
        <w:gridCol w:w="2906"/>
        <w:gridCol w:w="67"/>
        <w:gridCol w:w="156"/>
        <w:gridCol w:w="894"/>
        <w:gridCol w:w="215"/>
        <w:gridCol w:w="60"/>
        <w:gridCol w:w="140"/>
        <w:gridCol w:w="800"/>
        <w:gridCol w:w="215"/>
        <w:gridCol w:w="60"/>
        <w:gridCol w:w="140"/>
        <w:gridCol w:w="800"/>
        <w:gridCol w:w="60"/>
        <w:gridCol w:w="60"/>
        <w:gridCol w:w="140"/>
        <w:gridCol w:w="800"/>
        <w:gridCol w:w="290"/>
        <w:gridCol w:w="60"/>
        <w:gridCol w:w="140"/>
        <w:gridCol w:w="800"/>
        <w:gridCol w:w="305"/>
      </w:tblGrid>
      <w:tr>
        <w:trPr/>
        <w:tc>
          <w:tcPr>
            <w:tcW w:w="2906"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c>
          <w:tcPr>
            <w:tcW w:w="156" w:type="dxa"/>
            <w:tcBorders>
              <w:bottom w:val="single" w:sz="12" w:space="0" w:color="000000"/>
            </w:tcBorders>
            <w:tcMar>
              <w:bottom w:w="28" w:type="dxa"/>
            </w:tcMar>
            <w:vAlign w:val="bottom"/>
          </w:tcPr>
          <w:p>
            <w:pPr>
              <w:pStyle w:val="TableContents"/>
              <w:bidi w:val="0"/>
              <w:spacing w:before="0" w:after="283"/>
              <w:jc w:val="left"/>
              <w:rPr/>
            </w:pPr>
            <w:r>
              <w:rPr/>
              <w:t> </w:t>
            </w:r>
          </w:p>
        </w:tc>
        <w:tc>
          <w:tcPr>
            <w:tcW w:w="894" w:type="dxa"/>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w:t>
            </w:r>
          </w:p>
        </w:tc>
        <w:tc>
          <w:tcPr>
            <w:tcW w:w="215" w:type="dxa"/>
            <w:tcBorders/>
            <w:vAlign w:val="bottom"/>
          </w:tcPr>
          <w:p>
            <w:pPr>
              <w:pStyle w:val="TableContents"/>
              <w:bidi w:val="0"/>
              <w:spacing w:before="0" w:after="0"/>
              <w:jc w:val="left"/>
              <w:rPr>
                <w:b/>
                <w:color w:val="000000"/>
              </w:rPr>
            </w:pPr>
            <w:r>
              <w:rPr>
                <w:b/>
                <w:color w:val="000000"/>
              </w:rPr>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(10)%</w:t>
            </w:r>
          </w:p>
        </w:tc>
        <w:tc>
          <w:tcPr>
            <w:tcW w:w="215" w:type="dxa"/>
            <w:tcBorders/>
            <w:vAlign w:val="bottom"/>
          </w:tcPr>
          <w:p>
            <w:pPr>
              <w:pStyle w:val="TableContents"/>
              <w:bidi w:val="0"/>
              <w:spacing w:before="0" w:after="0"/>
              <w:jc w:val="left"/>
              <w:rPr>
                <w:b/>
                <w:color w:val="000000"/>
              </w:rPr>
            </w:pPr>
            <w:r>
              <w:rPr>
                <w:b/>
                <w:color w:val="000000"/>
              </w:rPr>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w:t>
            </w:r>
          </w:p>
        </w:tc>
        <w:tc>
          <w:tcPr>
            <w:tcW w:w="60" w:type="dxa"/>
            <w:tcBorders/>
            <w:vAlign w:val="bottom"/>
          </w:tcPr>
          <w:p>
            <w:pPr>
              <w:pStyle w:val="TableContents"/>
              <w:bidi w:val="0"/>
              <w:spacing w:before="0" w:after="0"/>
              <w:jc w:val="left"/>
              <w:rPr>
                <w:b/>
                <w:color w:val="000000"/>
              </w:rPr>
            </w:pPr>
            <w:r>
              <w:rPr>
                <w:b/>
                <w:color w:val="000000"/>
              </w:rPr>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10%</w:t>
            </w:r>
          </w:p>
        </w:tc>
        <w:tc>
          <w:tcPr>
            <w:tcW w:w="290" w:type="dxa"/>
            <w:tcBorders/>
            <w:vAlign w:val="bottom"/>
          </w:tcPr>
          <w:p>
            <w:pPr>
              <w:pStyle w:val="TableContents"/>
              <w:bidi w:val="0"/>
              <w:spacing w:before="0" w:after="0"/>
              <w:jc w:val="left"/>
              <w:rPr>
                <w:b/>
                <w:color w:val="000000"/>
              </w:rPr>
            </w:pPr>
            <w:r>
              <w:rPr>
                <w:b/>
                <w:color w:val="000000"/>
              </w:rPr>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w:t>
            </w:r>
          </w:p>
        </w:tc>
        <w:tc>
          <w:tcPr>
            <w:tcW w:w="305" w:type="dxa"/>
            <w:tcBorders/>
            <w:vAlign w:val="bottom"/>
          </w:tcPr>
          <w:p>
            <w:pPr>
              <w:pStyle w:val="TableContents"/>
              <w:bidi w:val="0"/>
              <w:spacing w:before="0" w:after="0"/>
              <w:jc w:val="left"/>
              <w:rPr>
                <w:b/>
                <w:color w:val="000000"/>
              </w:rPr>
            </w:pPr>
            <w:r>
              <w:rPr>
                <w:b/>
                <w:color w:val="000000"/>
              </w:rPr>
            </w:r>
          </w:p>
        </w:tc>
      </w:tr>
      <w:tr>
        <w:trPr/>
        <w:tc>
          <w:tcPr>
            <w:tcW w:w="2906" w:type="dxa"/>
            <w:tcBorders/>
            <w:shd w:fill="CCEEFF" w:val="clear"/>
            <w:vAlign w:val="bottom"/>
          </w:tcPr>
          <w:p>
            <w:pPr>
              <w:pStyle w:val="TableContents"/>
              <w:bidi w:val="0"/>
              <w:spacing w:before="0" w:after="0"/>
              <w:ind w:left="144" w:right="0" w:hanging="144"/>
              <w:jc w:val="left"/>
              <w:rPr>
                <w:b/>
                <w:color w:val="000000"/>
              </w:rPr>
            </w:pPr>
            <w:r>
              <w:rPr>
                <w:b/>
                <w:color w:val="000000"/>
              </w:rPr>
              <w:t>Discount Rate Shift in %</w:t>
            </w:r>
          </w:p>
        </w:tc>
        <w:tc>
          <w:tcPr>
            <w:tcW w:w="67"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894"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2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305" w:type="dxa"/>
            <w:tcBorders/>
            <w:shd w:fill="CCEEFF" w:val="clear"/>
            <w:vAlign w:val="bottom"/>
          </w:tcPr>
          <w:p>
            <w:pPr>
              <w:pStyle w:val="TableContents"/>
              <w:bidi w:val="0"/>
              <w:spacing w:before="0" w:after="283"/>
              <w:jc w:val="left"/>
              <w:rPr/>
            </w:pPr>
            <w:r>
              <w:rPr/>
              <w:t> </w:t>
            </w:r>
          </w:p>
        </w:tc>
      </w:tr>
      <w:tr>
        <w:trPr/>
        <w:tc>
          <w:tcPr>
            <w:tcW w:w="2906" w:type="dxa"/>
            <w:tcBorders/>
            <w:vAlign w:val="bottom"/>
          </w:tcPr>
          <w:p>
            <w:pPr>
              <w:pStyle w:val="TableContents"/>
              <w:bidi w:val="0"/>
              <w:spacing w:before="0" w:after="0"/>
              <w:ind w:left="324" w:right="0" w:hanging="144"/>
              <w:jc w:val="left"/>
              <w:rPr>
                <w:color w:val="000000"/>
              </w:rPr>
            </w:pPr>
            <w:r>
              <w:rPr>
                <w:color w:val="000000"/>
              </w:rPr>
              <w:t>Estimated FV</w:t>
            </w:r>
          </w:p>
        </w:tc>
        <w:tc>
          <w:tcPr>
            <w:tcW w:w="67"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0"/>
              <w:jc w:val="left"/>
              <w:rPr/>
            </w:pPr>
            <w:r>
              <w:rPr/>
              <w:t>$</w:t>
            </w:r>
          </w:p>
        </w:tc>
        <w:tc>
          <w:tcPr>
            <w:tcW w:w="894" w:type="dxa"/>
            <w:tcBorders/>
            <w:vAlign w:val="bottom"/>
          </w:tcPr>
          <w:p>
            <w:pPr>
              <w:pStyle w:val="TableContents"/>
              <w:bidi w:val="0"/>
              <w:spacing w:before="0" w:after="0"/>
              <w:jc w:val="right"/>
              <w:rPr/>
            </w:pPr>
            <w:r>
              <w:rPr/>
              <w:t>236,121</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0"/>
              <w:jc w:val="left"/>
              <w:rPr/>
            </w:pPr>
            <w:r>
              <w:rPr/>
              <w:t>$</w:t>
            </w:r>
          </w:p>
        </w:tc>
        <w:tc>
          <w:tcPr>
            <w:tcW w:w="800" w:type="dxa"/>
            <w:tcBorders/>
            <w:vAlign w:val="bottom"/>
          </w:tcPr>
          <w:p>
            <w:pPr>
              <w:pStyle w:val="TableContents"/>
              <w:bidi w:val="0"/>
              <w:spacing w:before="0" w:after="0"/>
              <w:jc w:val="right"/>
              <w:rPr/>
            </w:pPr>
            <w:r>
              <w:rPr/>
              <w:t>225,027</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0"/>
              <w:jc w:val="left"/>
              <w:rPr/>
            </w:pPr>
            <w:r>
              <w:rPr/>
              <w:t>$</w:t>
            </w:r>
          </w:p>
        </w:tc>
        <w:tc>
          <w:tcPr>
            <w:tcW w:w="800" w:type="dxa"/>
            <w:tcBorders/>
            <w:vAlign w:val="bottom"/>
          </w:tcPr>
          <w:p>
            <w:pPr>
              <w:pStyle w:val="TableContents"/>
              <w:bidi w:val="0"/>
              <w:spacing w:before="0" w:after="0"/>
              <w:jc w:val="right"/>
              <w:rPr/>
            </w:pPr>
            <w:r>
              <w:rPr/>
              <w:t>214,831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0"/>
              <w:jc w:val="left"/>
              <w:rPr/>
            </w:pPr>
            <w:r>
              <w:rPr/>
              <w:t>$</w:t>
            </w:r>
          </w:p>
        </w:tc>
        <w:tc>
          <w:tcPr>
            <w:tcW w:w="800" w:type="dxa"/>
            <w:tcBorders/>
            <w:vAlign w:val="bottom"/>
          </w:tcPr>
          <w:p>
            <w:pPr>
              <w:pStyle w:val="TableContents"/>
              <w:bidi w:val="0"/>
              <w:spacing w:before="0" w:after="0"/>
              <w:jc w:val="right"/>
              <w:rPr/>
            </w:pPr>
            <w:r>
              <w:rPr/>
              <w:t>205,437</w:t>
            </w:r>
          </w:p>
        </w:tc>
        <w:tc>
          <w:tcPr>
            <w:tcW w:w="2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0"/>
              <w:jc w:val="left"/>
              <w:rPr/>
            </w:pPr>
            <w:r>
              <w:rPr/>
              <w:t>$</w:t>
            </w:r>
          </w:p>
        </w:tc>
        <w:tc>
          <w:tcPr>
            <w:tcW w:w="800" w:type="dxa"/>
            <w:tcBorders/>
            <w:vAlign w:val="bottom"/>
          </w:tcPr>
          <w:p>
            <w:pPr>
              <w:pStyle w:val="TableContents"/>
              <w:bidi w:val="0"/>
              <w:spacing w:before="0" w:after="0"/>
              <w:jc w:val="right"/>
              <w:rPr/>
            </w:pPr>
            <w:r>
              <w:rPr/>
              <w:t>196,764</w:t>
            </w:r>
          </w:p>
        </w:tc>
        <w:tc>
          <w:tcPr>
            <w:tcW w:w="305" w:type="dxa"/>
            <w:tcBorders/>
            <w:vAlign w:val="bottom"/>
          </w:tcPr>
          <w:p>
            <w:pPr>
              <w:pStyle w:val="TableContents"/>
              <w:bidi w:val="0"/>
              <w:spacing w:before="0" w:after="283"/>
              <w:jc w:val="left"/>
              <w:rPr/>
            </w:pPr>
            <w:r>
              <w:rPr/>
              <w:t> </w:t>
            </w:r>
          </w:p>
        </w:tc>
      </w:tr>
      <w:tr>
        <w:trPr/>
        <w:tc>
          <w:tcPr>
            <w:tcW w:w="2906" w:type="dxa"/>
            <w:tcBorders/>
            <w:shd w:fill="CCEEFF" w:val="clear"/>
            <w:vAlign w:val="bottom"/>
          </w:tcPr>
          <w:p>
            <w:pPr>
              <w:pStyle w:val="TableContents"/>
              <w:bidi w:val="0"/>
              <w:spacing w:before="0" w:after="0"/>
              <w:ind w:left="324" w:right="0" w:hanging="144"/>
              <w:jc w:val="left"/>
              <w:rPr>
                <w:color w:val="000000"/>
              </w:rPr>
            </w:pPr>
            <w:r>
              <w:rPr>
                <w:color w:val="000000"/>
              </w:rPr>
              <w:t>Change in FV</w:t>
            </w:r>
          </w:p>
        </w:tc>
        <w:tc>
          <w:tcPr>
            <w:tcW w:w="67"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0"/>
              <w:jc w:val="left"/>
              <w:rPr/>
            </w:pPr>
            <w:r>
              <w:rPr/>
              <w:t>$</w:t>
            </w:r>
          </w:p>
        </w:tc>
        <w:tc>
          <w:tcPr>
            <w:tcW w:w="894" w:type="dxa"/>
            <w:tcBorders/>
            <w:shd w:fill="CCEEFF" w:val="clear"/>
            <w:vAlign w:val="bottom"/>
          </w:tcPr>
          <w:p>
            <w:pPr>
              <w:pStyle w:val="TableContents"/>
              <w:bidi w:val="0"/>
              <w:spacing w:before="0" w:after="0"/>
              <w:jc w:val="right"/>
              <w:rPr/>
            </w:pPr>
            <w:r>
              <w:rPr/>
              <w:t>21,290</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pPr>
            <w:r>
              <w:rPr/>
              <w:t>$</w:t>
            </w:r>
          </w:p>
        </w:tc>
        <w:tc>
          <w:tcPr>
            <w:tcW w:w="800" w:type="dxa"/>
            <w:tcBorders/>
            <w:shd w:fill="CCEEFF" w:val="clear"/>
            <w:vAlign w:val="bottom"/>
          </w:tcPr>
          <w:p>
            <w:pPr>
              <w:pStyle w:val="TableContents"/>
              <w:bidi w:val="0"/>
              <w:spacing w:before="0" w:after="0"/>
              <w:jc w:val="right"/>
              <w:rPr/>
            </w:pPr>
            <w:r>
              <w:rPr/>
              <w:t>10,196</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pPr>
            <w:r>
              <w:rPr/>
              <w:t>$</w:t>
            </w:r>
          </w:p>
        </w:tc>
        <w:tc>
          <w:tcPr>
            <w:tcW w:w="800"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pPr>
            <w:r>
              <w:rPr/>
              <w:t>$</w:t>
            </w:r>
          </w:p>
        </w:tc>
        <w:tc>
          <w:tcPr>
            <w:tcW w:w="800" w:type="dxa"/>
            <w:tcBorders/>
            <w:shd w:fill="CCEEFF" w:val="clear"/>
            <w:vAlign w:val="bottom"/>
          </w:tcPr>
          <w:p>
            <w:pPr>
              <w:pStyle w:val="TableContents"/>
              <w:bidi w:val="0"/>
              <w:spacing w:before="0" w:after="0"/>
              <w:jc w:val="right"/>
              <w:rPr/>
            </w:pPr>
            <w:r>
              <w:rPr/>
              <w:t>(9,393</w:t>
            </w:r>
          </w:p>
        </w:tc>
        <w:tc>
          <w:tcPr>
            <w:tcW w:w="290"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pPr>
            <w:r>
              <w:rPr/>
              <w:t>$</w:t>
            </w:r>
          </w:p>
        </w:tc>
        <w:tc>
          <w:tcPr>
            <w:tcW w:w="800" w:type="dxa"/>
            <w:tcBorders/>
            <w:shd w:fill="CCEEFF" w:val="clear"/>
            <w:vAlign w:val="bottom"/>
          </w:tcPr>
          <w:p>
            <w:pPr>
              <w:pStyle w:val="TableContents"/>
              <w:bidi w:val="0"/>
              <w:spacing w:before="0" w:after="0"/>
              <w:jc w:val="right"/>
              <w:rPr/>
            </w:pPr>
            <w:r>
              <w:rPr/>
              <w:t>(18,067</w:t>
            </w:r>
          </w:p>
        </w:tc>
        <w:tc>
          <w:tcPr>
            <w:tcW w:w="305" w:type="dxa"/>
            <w:tcBorders/>
            <w:shd w:fill="CCEEFF" w:val="clear"/>
            <w:vAlign w:val="bottom"/>
          </w:tcPr>
          <w:p>
            <w:pPr>
              <w:pStyle w:val="TableContents"/>
              <w:bidi w:val="0"/>
              <w:spacing w:before="0" w:after="0"/>
              <w:jc w:val="left"/>
              <w:rPr/>
            </w:pPr>
            <w:r>
              <w:rPr/>
              <w:t>)</w:t>
            </w:r>
          </w:p>
        </w:tc>
      </w:tr>
      <w:tr>
        <w:trPr/>
        <w:tc>
          <w:tcPr>
            <w:tcW w:w="2906" w:type="dxa"/>
            <w:tcBorders/>
            <w:vAlign w:val="bottom"/>
          </w:tcPr>
          <w:p>
            <w:pPr>
              <w:pStyle w:val="TableContents"/>
              <w:bidi w:val="0"/>
              <w:spacing w:before="0" w:after="0"/>
              <w:ind w:left="324" w:right="0" w:hanging="144"/>
              <w:jc w:val="left"/>
              <w:rPr>
                <w:color w:val="000000"/>
              </w:rPr>
            </w:pPr>
            <w:r>
              <w:rPr>
                <w:color w:val="000000"/>
              </w:rPr>
              <w:t>% Change in FV</w:t>
            </w:r>
          </w:p>
        </w:tc>
        <w:tc>
          <w:tcPr>
            <w:tcW w:w="67"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894" w:type="dxa"/>
            <w:tcBorders/>
            <w:vAlign w:val="bottom"/>
          </w:tcPr>
          <w:p>
            <w:pPr>
              <w:pStyle w:val="TableContents"/>
              <w:bidi w:val="0"/>
              <w:spacing w:before="0" w:after="0"/>
              <w:jc w:val="right"/>
              <w:rPr/>
            </w:pPr>
            <w:r>
              <w:rPr/>
              <w:t>10</w:t>
            </w:r>
          </w:p>
        </w:tc>
        <w:tc>
          <w:tcPr>
            <w:tcW w:w="21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pPr>
            <w:r>
              <w:rPr/>
              <w:t>5</w:t>
            </w:r>
          </w:p>
        </w:tc>
        <w:tc>
          <w:tcPr>
            <w:tcW w:w="21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pPr>
            <w:r>
              <w:rPr/>
              <w:t>(4</w:t>
            </w:r>
          </w:p>
        </w:tc>
        <w:tc>
          <w:tcPr>
            <w:tcW w:w="290"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pPr>
            <w:r>
              <w:rPr/>
              <w:t>(8</w:t>
            </w:r>
          </w:p>
        </w:tc>
        <w:tc>
          <w:tcPr>
            <w:tcW w:w="305" w:type="dxa"/>
            <w:tcBorders/>
            <w:vAlign w:val="bottom"/>
          </w:tcPr>
          <w:p>
            <w:pPr>
              <w:pStyle w:val="TableContents"/>
              <w:bidi w:val="0"/>
              <w:spacing w:before="0" w:after="0"/>
              <w:jc w:val="left"/>
              <w:rPr/>
            </w:pPr>
            <w:r>
              <w:rPr/>
              <w:t>)%</w:t>
            </w:r>
          </w:p>
        </w:tc>
      </w:tr>
      <w:tr>
        <w:trPr/>
        <w:tc>
          <w:tcPr>
            <w:tcW w:w="4023" w:type="dxa"/>
            <w:gridSpan w:val="4"/>
            <w:tcBorders/>
            <w:shd w:fill="CCEEFF" w:val="clear"/>
            <w:vAlign w:val="bottom"/>
          </w:tcPr>
          <w:p>
            <w:pPr>
              <w:pStyle w:val="TableContents"/>
              <w:bidi w:val="0"/>
              <w:spacing w:before="0" w:after="0"/>
              <w:jc w:val="left"/>
              <w:rPr>
                <w:b/>
                <w:color w:val="000000"/>
              </w:rPr>
            </w:pPr>
            <w:r>
              <w:rPr>
                <w:b/>
                <w:color w:val="000000"/>
              </w:rPr>
              <w:t>Voluntary Prepayment Rate Shift in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2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305" w:type="dxa"/>
            <w:tcBorders/>
            <w:shd w:fill="CCEEFF" w:val="clear"/>
            <w:vAlign w:val="bottom"/>
          </w:tcPr>
          <w:p>
            <w:pPr>
              <w:pStyle w:val="TableContents"/>
              <w:bidi w:val="0"/>
              <w:spacing w:before="0" w:after="283"/>
              <w:jc w:val="left"/>
              <w:rPr/>
            </w:pPr>
            <w:r>
              <w:rPr/>
              <w:t> </w:t>
            </w:r>
          </w:p>
        </w:tc>
      </w:tr>
      <w:tr>
        <w:trPr/>
        <w:tc>
          <w:tcPr>
            <w:tcW w:w="2906" w:type="dxa"/>
            <w:tcBorders/>
            <w:vAlign w:val="bottom"/>
          </w:tcPr>
          <w:p>
            <w:pPr>
              <w:pStyle w:val="TableContents"/>
              <w:bidi w:val="0"/>
              <w:spacing w:before="0" w:after="0"/>
              <w:ind w:left="324" w:right="0" w:hanging="144"/>
              <w:jc w:val="left"/>
              <w:rPr>
                <w:color w:val="000000"/>
              </w:rPr>
            </w:pPr>
            <w:r>
              <w:rPr>
                <w:color w:val="000000"/>
              </w:rPr>
              <w:t>Estimated FV</w:t>
            </w:r>
          </w:p>
        </w:tc>
        <w:tc>
          <w:tcPr>
            <w:tcW w:w="67"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0"/>
              <w:jc w:val="left"/>
              <w:rPr/>
            </w:pPr>
            <w:r>
              <w:rPr/>
              <w:t>$</w:t>
            </w:r>
          </w:p>
        </w:tc>
        <w:tc>
          <w:tcPr>
            <w:tcW w:w="894" w:type="dxa"/>
            <w:tcBorders/>
            <w:vAlign w:val="bottom"/>
          </w:tcPr>
          <w:p>
            <w:pPr>
              <w:pStyle w:val="TableContents"/>
              <w:bidi w:val="0"/>
              <w:spacing w:before="0" w:after="0"/>
              <w:jc w:val="right"/>
              <w:rPr/>
            </w:pPr>
            <w:r>
              <w:rPr/>
              <w:t>227,465</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0"/>
              <w:jc w:val="left"/>
              <w:rPr/>
            </w:pPr>
            <w:r>
              <w:rPr/>
              <w:t>$</w:t>
            </w:r>
          </w:p>
        </w:tc>
        <w:tc>
          <w:tcPr>
            <w:tcW w:w="800" w:type="dxa"/>
            <w:tcBorders/>
            <w:vAlign w:val="bottom"/>
          </w:tcPr>
          <w:p>
            <w:pPr>
              <w:pStyle w:val="TableContents"/>
              <w:bidi w:val="0"/>
              <w:spacing w:before="0" w:after="0"/>
              <w:jc w:val="right"/>
              <w:rPr/>
            </w:pPr>
            <w:r>
              <w:rPr/>
              <w:t>221,154</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0"/>
              <w:jc w:val="left"/>
              <w:rPr/>
            </w:pPr>
            <w:r>
              <w:rPr/>
              <w:t>$</w:t>
            </w:r>
          </w:p>
        </w:tc>
        <w:tc>
          <w:tcPr>
            <w:tcW w:w="800" w:type="dxa"/>
            <w:tcBorders/>
            <w:vAlign w:val="bottom"/>
          </w:tcPr>
          <w:p>
            <w:pPr>
              <w:pStyle w:val="TableContents"/>
              <w:bidi w:val="0"/>
              <w:spacing w:before="0" w:after="0"/>
              <w:jc w:val="right"/>
              <w:rPr/>
            </w:pPr>
            <w:r>
              <w:rPr/>
              <w:t>214,831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0"/>
              <w:jc w:val="left"/>
              <w:rPr/>
            </w:pPr>
            <w:r>
              <w:rPr/>
              <w:t>$</w:t>
            </w:r>
          </w:p>
        </w:tc>
        <w:tc>
          <w:tcPr>
            <w:tcW w:w="800" w:type="dxa"/>
            <w:tcBorders/>
            <w:vAlign w:val="bottom"/>
          </w:tcPr>
          <w:p>
            <w:pPr>
              <w:pStyle w:val="TableContents"/>
              <w:bidi w:val="0"/>
              <w:spacing w:before="0" w:after="0"/>
              <w:jc w:val="right"/>
              <w:rPr/>
            </w:pPr>
            <w:r>
              <w:rPr/>
              <w:t>208,694</w:t>
            </w:r>
          </w:p>
        </w:tc>
        <w:tc>
          <w:tcPr>
            <w:tcW w:w="2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0"/>
              <w:jc w:val="left"/>
              <w:rPr/>
            </w:pPr>
            <w:r>
              <w:rPr/>
              <w:t>$</w:t>
            </w:r>
          </w:p>
        </w:tc>
        <w:tc>
          <w:tcPr>
            <w:tcW w:w="800" w:type="dxa"/>
            <w:tcBorders/>
            <w:vAlign w:val="bottom"/>
          </w:tcPr>
          <w:p>
            <w:pPr>
              <w:pStyle w:val="TableContents"/>
              <w:bidi w:val="0"/>
              <w:spacing w:before="0" w:after="0"/>
              <w:jc w:val="right"/>
              <w:rPr/>
            </w:pPr>
            <w:r>
              <w:rPr/>
              <w:t>202,804</w:t>
            </w:r>
          </w:p>
        </w:tc>
        <w:tc>
          <w:tcPr>
            <w:tcW w:w="305" w:type="dxa"/>
            <w:tcBorders/>
            <w:vAlign w:val="bottom"/>
          </w:tcPr>
          <w:p>
            <w:pPr>
              <w:pStyle w:val="TableContents"/>
              <w:bidi w:val="0"/>
              <w:spacing w:before="0" w:after="283"/>
              <w:jc w:val="left"/>
              <w:rPr/>
            </w:pPr>
            <w:r>
              <w:rPr/>
              <w:t> </w:t>
            </w:r>
          </w:p>
        </w:tc>
      </w:tr>
      <w:tr>
        <w:trPr/>
        <w:tc>
          <w:tcPr>
            <w:tcW w:w="2906" w:type="dxa"/>
            <w:tcBorders/>
            <w:shd w:fill="CCEEFF" w:val="clear"/>
            <w:vAlign w:val="bottom"/>
          </w:tcPr>
          <w:p>
            <w:pPr>
              <w:pStyle w:val="TableContents"/>
              <w:bidi w:val="0"/>
              <w:spacing w:before="0" w:after="0"/>
              <w:ind w:left="324" w:right="0" w:hanging="144"/>
              <w:jc w:val="left"/>
              <w:rPr>
                <w:color w:val="000000"/>
              </w:rPr>
            </w:pPr>
            <w:r>
              <w:rPr>
                <w:color w:val="000000"/>
              </w:rPr>
              <w:t>Change in FV</w:t>
            </w:r>
          </w:p>
        </w:tc>
        <w:tc>
          <w:tcPr>
            <w:tcW w:w="67"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0"/>
              <w:jc w:val="left"/>
              <w:rPr/>
            </w:pPr>
            <w:r>
              <w:rPr/>
              <w:t>$</w:t>
            </w:r>
          </w:p>
        </w:tc>
        <w:tc>
          <w:tcPr>
            <w:tcW w:w="894" w:type="dxa"/>
            <w:tcBorders/>
            <w:shd w:fill="CCEEFF" w:val="clear"/>
            <w:vAlign w:val="bottom"/>
          </w:tcPr>
          <w:p>
            <w:pPr>
              <w:pStyle w:val="TableContents"/>
              <w:bidi w:val="0"/>
              <w:spacing w:before="0" w:after="0"/>
              <w:jc w:val="right"/>
              <w:rPr/>
            </w:pPr>
            <w:r>
              <w:rPr/>
              <w:t>12,634</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pPr>
            <w:r>
              <w:rPr/>
              <w:t>$</w:t>
            </w:r>
          </w:p>
        </w:tc>
        <w:tc>
          <w:tcPr>
            <w:tcW w:w="800" w:type="dxa"/>
            <w:tcBorders/>
            <w:shd w:fill="CCEEFF" w:val="clear"/>
            <w:vAlign w:val="bottom"/>
          </w:tcPr>
          <w:p>
            <w:pPr>
              <w:pStyle w:val="TableContents"/>
              <w:bidi w:val="0"/>
              <w:spacing w:before="0" w:after="0"/>
              <w:jc w:val="right"/>
              <w:rPr/>
            </w:pPr>
            <w:r>
              <w:rPr/>
              <w:t>6,323</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pPr>
            <w:r>
              <w:rPr/>
              <w:t>$</w:t>
            </w:r>
          </w:p>
        </w:tc>
        <w:tc>
          <w:tcPr>
            <w:tcW w:w="800"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pPr>
            <w:r>
              <w:rPr/>
              <w:t>$</w:t>
            </w:r>
          </w:p>
        </w:tc>
        <w:tc>
          <w:tcPr>
            <w:tcW w:w="800" w:type="dxa"/>
            <w:tcBorders/>
            <w:shd w:fill="CCEEFF" w:val="clear"/>
            <w:vAlign w:val="bottom"/>
          </w:tcPr>
          <w:p>
            <w:pPr>
              <w:pStyle w:val="TableContents"/>
              <w:bidi w:val="0"/>
              <w:spacing w:before="0" w:after="0"/>
              <w:jc w:val="right"/>
              <w:rPr/>
            </w:pPr>
            <w:r>
              <w:rPr/>
              <w:t>(6,137</w:t>
            </w:r>
          </w:p>
        </w:tc>
        <w:tc>
          <w:tcPr>
            <w:tcW w:w="290"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pPr>
            <w:r>
              <w:rPr/>
              <w:t>$</w:t>
            </w:r>
          </w:p>
        </w:tc>
        <w:tc>
          <w:tcPr>
            <w:tcW w:w="800" w:type="dxa"/>
            <w:tcBorders/>
            <w:shd w:fill="CCEEFF" w:val="clear"/>
            <w:vAlign w:val="bottom"/>
          </w:tcPr>
          <w:p>
            <w:pPr>
              <w:pStyle w:val="TableContents"/>
              <w:bidi w:val="0"/>
              <w:spacing w:before="0" w:after="0"/>
              <w:jc w:val="right"/>
              <w:rPr/>
            </w:pPr>
            <w:r>
              <w:rPr/>
              <w:t>(12,027</w:t>
            </w:r>
          </w:p>
        </w:tc>
        <w:tc>
          <w:tcPr>
            <w:tcW w:w="305" w:type="dxa"/>
            <w:tcBorders/>
            <w:shd w:fill="CCEEFF" w:val="clear"/>
            <w:vAlign w:val="bottom"/>
          </w:tcPr>
          <w:p>
            <w:pPr>
              <w:pStyle w:val="TableContents"/>
              <w:bidi w:val="0"/>
              <w:spacing w:before="0" w:after="0"/>
              <w:jc w:val="left"/>
              <w:rPr/>
            </w:pPr>
            <w:r>
              <w:rPr/>
              <w:t>)</w:t>
            </w:r>
          </w:p>
        </w:tc>
      </w:tr>
      <w:tr>
        <w:trPr/>
        <w:tc>
          <w:tcPr>
            <w:tcW w:w="2906" w:type="dxa"/>
            <w:tcBorders/>
            <w:vAlign w:val="bottom"/>
          </w:tcPr>
          <w:p>
            <w:pPr>
              <w:pStyle w:val="TableContents"/>
              <w:bidi w:val="0"/>
              <w:spacing w:before="0" w:after="0"/>
              <w:ind w:left="324" w:right="0" w:hanging="144"/>
              <w:jc w:val="left"/>
              <w:rPr>
                <w:color w:val="000000"/>
              </w:rPr>
            </w:pPr>
            <w:r>
              <w:rPr>
                <w:color w:val="000000"/>
              </w:rPr>
              <w:t>% Change in FV</w:t>
            </w:r>
          </w:p>
        </w:tc>
        <w:tc>
          <w:tcPr>
            <w:tcW w:w="67"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894" w:type="dxa"/>
            <w:tcBorders/>
            <w:vAlign w:val="bottom"/>
          </w:tcPr>
          <w:p>
            <w:pPr>
              <w:pStyle w:val="TableContents"/>
              <w:bidi w:val="0"/>
              <w:spacing w:before="0" w:after="0"/>
              <w:jc w:val="right"/>
              <w:rPr/>
            </w:pPr>
            <w:r>
              <w:rPr/>
              <w:t>6</w:t>
            </w:r>
          </w:p>
        </w:tc>
        <w:tc>
          <w:tcPr>
            <w:tcW w:w="21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pPr>
            <w:r>
              <w:rPr/>
              <w:t>3</w:t>
            </w:r>
          </w:p>
        </w:tc>
        <w:tc>
          <w:tcPr>
            <w:tcW w:w="21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pPr>
            <w:r>
              <w:rPr/>
              <w:t>(3</w:t>
            </w:r>
          </w:p>
        </w:tc>
        <w:tc>
          <w:tcPr>
            <w:tcW w:w="290"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pPr>
            <w:r>
              <w:rPr/>
              <w:t>(6</w:t>
            </w:r>
          </w:p>
        </w:tc>
        <w:tc>
          <w:tcPr>
            <w:tcW w:w="305" w:type="dxa"/>
            <w:tcBorders/>
            <w:vAlign w:val="bottom"/>
          </w:tcPr>
          <w:p>
            <w:pPr>
              <w:pStyle w:val="TableContents"/>
              <w:bidi w:val="0"/>
              <w:spacing w:before="0" w:after="0"/>
              <w:jc w:val="left"/>
              <w:rPr/>
            </w:pPr>
            <w:r>
              <w:rPr/>
              <w:t>)%</w:t>
            </w:r>
          </w:p>
        </w:tc>
      </w:tr>
      <w:tr>
        <w:trPr/>
        <w:tc>
          <w:tcPr>
            <w:tcW w:w="2906" w:type="dxa"/>
            <w:tcBorders/>
            <w:shd w:fill="CCEEFF" w:val="clear"/>
            <w:vAlign w:val="bottom"/>
          </w:tcPr>
          <w:p>
            <w:pPr>
              <w:pStyle w:val="TableContents"/>
              <w:bidi w:val="0"/>
              <w:spacing w:before="0" w:after="0"/>
              <w:ind w:left="144" w:right="0" w:hanging="144"/>
              <w:jc w:val="left"/>
              <w:rPr>
                <w:b/>
                <w:color w:val="000000"/>
              </w:rPr>
            </w:pPr>
            <w:r>
              <w:rPr>
                <w:b/>
                <w:color w:val="000000"/>
              </w:rPr>
              <w:t>Servicing Cost Shift in %</w:t>
            </w:r>
          </w:p>
        </w:tc>
        <w:tc>
          <w:tcPr>
            <w:tcW w:w="67"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894"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2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305" w:type="dxa"/>
            <w:tcBorders/>
            <w:shd w:fill="CCEEFF" w:val="clear"/>
            <w:vAlign w:val="bottom"/>
          </w:tcPr>
          <w:p>
            <w:pPr>
              <w:pStyle w:val="TableContents"/>
              <w:bidi w:val="0"/>
              <w:spacing w:before="0" w:after="283"/>
              <w:jc w:val="left"/>
              <w:rPr/>
            </w:pPr>
            <w:r>
              <w:rPr/>
              <w:t> </w:t>
            </w:r>
          </w:p>
        </w:tc>
      </w:tr>
      <w:tr>
        <w:trPr/>
        <w:tc>
          <w:tcPr>
            <w:tcW w:w="2906" w:type="dxa"/>
            <w:tcBorders/>
            <w:vAlign w:val="bottom"/>
          </w:tcPr>
          <w:p>
            <w:pPr>
              <w:pStyle w:val="TableContents"/>
              <w:bidi w:val="0"/>
              <w:spacing w:before="0" w:after="0"/>
              <w:ind w:left="324" w:right="0" w:hanging="144"/>
              <w:jc w:val="left"/>
              <w:rPr>
                <w:color w:val="000000"/>
              </w:rPr>
            </w:pPr>
            <w:r>
              <w:rPr>
                <w:color w:val="000000"/>
              </w:rPr>
              <w:t>Estimated FV</w:t>
            </w:r>
          </w:p>
        </w:tc>
        <w:tc>
          <w:tcPr>
            <w:tcW w:w="67"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0"/>
              <w:jc w:val="left"/>
              <w:rPr/>
            </w:pPr>
            <w:r>
              <w:rPr/>
              <w:t>$</w:t>
            </w:r>
          </w:p>
        </w:tc>
        <w:tc>
          <w:tcPr>
            <w:tcW w:w="894" w:type="dxa"/>
            <w:tcBorders/>
            <w:vAlign w:val="bottom"/>
          </w:tcPr>
          <w:p>
            <w:pPr>
              <w:pStyle w:val="TableContents"/>
              <w:bidi w:val="0"/>
              <w:spacing w:before="0" w:after="0"/>
              <w:jc w:val="right"/>
              <w:rPr/>
            </w:pPr>
            <w:r>
              <w:rPr/>
              <w:t>222,038</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0"/>
              <w:jc w:val="left"/>
              <w:rPr/>
            </w:pPr>
            <w:r>
              <w:rPr/>
              <w:t>$</w:t>
            </w:r>
          </w:p>
        </w:tc>
        <w:tc>
          <w:tcPr>
            <w:tcW w:w="800" w:type="dxa"/>
            <w:tcBorders/>
            <w:vAlign w:val="bottom"/>
          </w:tcPr>
          <w:p>
            <w:pPr>
              <w:pStyle w:val="TableContents"/>
              <w:bidi w:val="0"/>
              <w:spacing w:before="0" w:after="0"/>
              <w:jc w:val="right"/>
              <w:rPr/>
            </w:pPr>
            <w:r>
              <w:rPr/>
              <w:t>218,434</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0"/>
              <w:jc w:val="left"/>
              <w:rPr/>
            </w:pPr>
            <w:r>
              <w:rPr/>
              <w:t>$</w:t>
            </w:r>
          </w:p>
        </w:tc>
        <w:tc>
          <w:tcPr>
            <w:tcW w:w="800" w:type="dxa"/>
            <w:tcBorders/>
            <w:vAlign w:val="bottom"/>
          </w:tcPr>
          <w:p>
            <w:pPr>
              <w:pStyle w:val="TableContents"/>
              <w:bidi w:val="0"/>
              <w:spacing w:before="0" w:after="0"/>
              <w:jc w:val="right"/>
              <w:rPr/>
            </w:pPr>
            <w:r>
              <w:rPr/>
              <w:t>214,831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0"/>
              <w:jc w:val="left"/>
              <w:rPr/>
            </w:pPr>
            <w:r>
              <w:rPr/>
              <w:t>$</w:t>
            </w:r>
          </w:p>
        </w:tc>
        <w:tc>
          <w:tcPr>
            <w:tcW w:w="800" w:type="dxa"/>
            <w:tcBorders/>
            <w:vAlign w:val="bottom"/>
          </w:tcPr>
          <w:p>
            <w:pPr>
              <w:pStyle w:val="TableContents"/>
              <w:bidi w:val="0"/>
              <w:spacing w:before="0" w:after="0"/>
              <w:jc w:val="right"/>
              <w:rPr/>
            </w:pPr>
            <w:r>
              <w:rPr/>
              <w:t>211,227</w:t>
            </w:r>
          </w:p>
        </w:tc>
        <w:tc>
          <w:tcPr>
            <w:tcW w:w="2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0"/>
              <w:jc w:val="left"/>
              <w:rPr/>
            </w:pPr>
            <w:r>
              <w:rPr/>
              <w:t>$</w:t>
            </w:r>
          </w:p>
        </w:tc>
        <w:tc>
          <w:tcPr>
            <w:tcW w:w="800" w:type="dxa"/>
            <w:tcBorders/>
            <w:vAlign w:val="bottom"/>
          </w:tcPr>
          <w:p>
            <w:pPr>
              <w:pStyle w:val="TableContents"/>
              <w:bidi w:val="0"/>
              <w:spacing w:before="0" w:after="0"/>
              <w:jc w:val="right"/>
              <w:rPr/>
            </w:pPr>
            <w:r>
              <w:rPr/>
              <w:t>207,624</w:t>
            </w:r>
          </w:p>
        </w:tc>
        <w:tc>
          <w:tcPr>
            <w:tcW w:w="305" w:type="dxa"/>
            <w:tcBorders/>
            <w:vAlign w:val="bottom"/>
          </w:tcPr>
          <w:p>
            <w:pPr>
              <w:pStyle w:val="TableContents"/>
              <w:bidi w:val="0"/>
              <w:spacing w:before="0" w:after="283"/>
              <w:jc w:val="left"/>
              <w:rPr/>
            </w:pPr>
            <w:r>
              <w:rPr/>
              <w:t> </w:t>
            </w:r>
          </w:p>
        </w:tc>
      </w:tr>
      <w:tr>
        <w:trPr/>
        <w:tc>
          <w:tcPr>
            <w:tcW w:w="2906" w:type="dxa"/>
            <w:tcBorders/>
            <w:shd w:fill="CCEEFF" w:val="clear"/>
            <w:vAlign w:val="bottom"/>
          </w:tcPr>
          <w:p>
            <w:pPr>
              <w:pStyle w:val="TableContents"/>
              <w:bidi w:val="0"/>
              <w:spacing w:before="0" w:after="0"/>
              <w:ind w:left="324" w:right="0" w:hanging="144"/>
              <w:jc w:val="left"/>
              <w:rPr>
                <w:color w:val="000000"/>
              </w:rPr>
            </w:pPr>
            <w:r>
              <w:rPr>
                <w:color w:val="000000"/>
              </w:rPr>
              <w:t>Change in FV</w:t>
            </w:r>
          </w:p>
        </w:tc>
        <w:tc>
          <w:tcPr>
            <w:tcW w:w="67"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0"/>
              <w:jc w:val="left"/>
              <w:rPr/>
            </w:pPr>
            <w:r>
              <w:rPr/>
              <w:t>$</w:t>
            </w:r>
          </w:p>
        </w:tc>
        <w:tc>
          <w:tcPr>
            <w:tcW w:w="894" w:type="dxa"/>
            <w:tcBorders/>
            <w:shd w:fill="CCEEFF" w:val="clear"/>
            <w:vAlign w:val="bottom"/>
          </w:tcPr>
          <w:p>
            <w:pPr>
              <w:pStyle w:val="TableContents"/>
              <w:bidi w:val="0"/>
              <w:spacing w:before="0" w:after="0"/>
              <w:jc w:val="right"/>
              <w:rPr/>
            </w:pPr>
            <w:r>
              <w:rPr/>
              <w:t>7,207</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pPr>
            <w:r>
              <w:rPr/>
              <w:t>$</w:t>
            </w:r>
          </w:p>
        </w:tc>
        <w:tc>
          <w:tcPr>
            <w:tcW w:w="800" w:type="dxa"/>
            <w:tcBorders/>
            <w:shd w:fill="CCEEFF" w:val="clear"/>
            <w:vAlign w:val="bottom"/>
          </w:tcPr>
          <w:p>
            <w:pPr>
              <w:pStyle w:val="TableContents"/>
              <w:bidi w:val="0"/>
              <w:spacing w:before="0" w:after="0"/>
              <w:jc w:val="right"/>
              <w:rPr/>
            </w:pPr>
            <w:r>
              <w:rPr/>
              <w:t>3,603</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pPr>
            <w:r>
              <w:rPr/>
              <w:t>$</w:t>
            </w:r>
          </w:p>
        </w:tc>
        <w:tc>
          <w:tcPr>
            <w:tcW w:w="800"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pPr>
            <w:r>
              <w:rPr/>
              <w:t>$</w:t>
            </w:r>
          </w:p>
        </w:tc>
        <w:tc>
          <w:tcPr>
            <w:tcW w:w="800" w:type="dxa"/>
            <w:tcBorders/>
            <w:shd w:fill="CCEEFF" w:val="clear"/>
            <w:vAlign w:val="bottom"/>
          </w:tcPr>
          <w:p>
            <w:pPr>
              <w:pStyle w:val="TableContents"/>
              <w:bidi w:val="0"/>
              <w:spacing w:before="0" w:after="0"/>
              <w:jc w:val="right"/>
              <w:rPr/>
            </w:pPr>
            <w:r>
              <w:rPr/>
              <w:t>(3,603</w:t>
            </w:r>
          </w:p>
        </w:tc>
        <w:tc>
          <w:tcPr>
            <w:tcW w:w="290"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pPr>
            <w:r>
              <w:rPr/>
              <w:t>$</w:t>
            </w:r>
          </w:p>
        </w:tc>
        <w:tc>
          <w:tcPr>
            <w:tcW w:w="800" w:type="dxa"/>
            <w:tcBorders/>
            <w:shd w:fill="CCEEFF" w:val="clear"/>
            <w:vAlign w:val="bottom"/>
          </w:tcPr>
          <w:p>
            <w:pPr>
              <w:pStyle w:val="TableContents"/>
              <w:bidi w:val="0"/>
              <w:spacing w:before="0" w:after="0"/>
              <w:jc w:val="right"/>
              <w:rPr/>
            </w:pPr>
            <w:r>
              <w:rPr/>
              <w:t>(7,207</w:t>
            </w:r>
          </w:p>
        </w:tc>
        <w:tc>
          <w:tcPr>
            <w:tcW w:w="305" w:type="dxa"/>
            <w:tcBorders/>
            <w:shd w:fill="CCEEFF" w:val="clear"/>
            <w:vAlign w:val="bottom"/>
          </w:tcPr>
          <w:p>
            <w:pPr>
              <w:pStyle w:val="TableContents"/>
              <w:bidi w:val="0"/>
              <w:spacing w:before="0" w:after="0"/>
              <w:jc w:val="left"/>
              <w:rPr/>
            </w:pPr>
            <w:r>
              <w:rPr/>
              <w:t>)</w:t>
            </w:r>
          </w:p>
        </w:tc>
      </w:tr>
      <w:tr>
        <w:trPr/>
        <w:tc>
          <w:tcPr>
            <w:tcW w:w="2906" w:type="dxa"/>
            <w:tcBorders/>
            <w:vAlign w:val="bottom"/>
          </w:tcPr>
          <w:p>
            <w:pPr>
              <w:pStyle w:val="TableContents"/>
              <w:bidi w:val="0"/>
              <w:spacing w:before="0" w:after="0"/>
              <w:ind w:left="324" w:right="0" w:hanging="144"/>
              <w:jc w:val="left"/>
              <w:rPr>
                <w:color w:val="000000"/>
              </w:rPr>
            </w:pPr>
            <w:r>
              <w:rPr>
                <w:color w:val="000000"/>
              </w:rPr>
              <w:t>% Change in FV</w:t>
            </w:r>
          </w:p>
        </w:tc>
        <w:tc>
          <w:tcPr>
            <w:tcW w:w="67"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894" w:type="dxa"/>
            <w:tcBorders/>
            <w:vAlign w:val="bottom"/>
          </w:tcPr>
          <w:p>
            <w:pPr>
              <w:pStyle w:val="TableContents"/>
              <w:bidi w:val="0"/>
              <w:spacing w:before="0" w:after="0"/>
              <w:jc w:val="right"/>
              <w:rPr/>
            </w:pPr>
            <w:r>
              <w:rPr/>
              <w:t>3</w:t>
            </w:r>
          </w:p>
        </w:tc>
        <w:tc>
          <w:tcPr>
            <w:tcW w:w="21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pPr>
            <w:r>
              <w:rPr/>
              <w:t>2</w:t>
            </w:r>
          </w:p>
        </w:tc>
        <w:tc>
          <w:tcPr>
            <w:tcW w:w="21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pPr>
            <w:r>
              <w:rPr/>
              <w:t>(2</w:t>
            </w:r>
          </w:p>
        </w:tc>
        <w:tc>
          <w:tcPr>
            <w:tcW w:w="290"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pPr>
            <w:r>
              <w:rPr/>
              <w:t>(3</w:t>
            </w:r>
          </w:p>
        </w:tc>
        <w:tc>
          <w:tcPr>
            <w:tcW w:w="305" w:type="dxa"/>
            <w:tcBorders/>
            <w:vAlign w:val="bottom"/>
          </w:tcPr>
          <w:p>
            <w:pPr>
              <w:pStyle w:val="TableContents"/>
              <w:bidi w:val="0"/>
              <w:spacing w:before="0" w:after="0"/>
              <w:jc w:val="left"/>
              <w:rPr/>
            </w:pPr>
            <w:r>
              <w:rPr/>
              <w:t>)%</w:t>
            </w:r>
          </w:p>
        </w:tc>
      </w:tr>
    </w:tbl>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tables summarize the estimated change in fair value of our RMBS as of the dates indicated given several parallel shifts in interest rates (dollars in thousands):</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RMBS Fair Value Changes</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As of June 30, 2026</w:t>
      </w:r>
    </w:p>
    <w:p>
      <w:pPr>
        <w:pStyle w:val="TextBody"/>
        <w:bidi w:val="0"/>
        <w:spacing w:before="0" w:after="0"/>
        <w:jc w:val="left"/>
        <w:rPr>
          <w:sz w:val="20"/>
        </w:rPr>
      </w:pPr>
      <w:r>
        <w:rPr>
          <w:sz w:val="20"/>
        </w:rPr>
      </w:r>
    </w:p>
    <w:tbl>
      <w:tblPr>
        <w:tblW w:w="10205" w:type="dxa"/>
        <w:jc w:val="left"/>
        <w:tblInd w:w="0" w:type="dxa"/>
        <w:tblLayout w:type="fixed"/>
        <w:tblCellMar>
          <w:top w:w="0" w:type="dxa"/>
          <w:left w:w="0" w:type="dxa"/>
          <w:bottom w:w="0" w:type="dxa"/>
          <w:right w:w="0" w:type="dxa"/>
        </w:tblCellMar>
      </w:tblPr>
      <w:tblGrid>
        <w:gridCol w:w="1446"/>
        <w:gridCol w:w="60"/>
        <w:gridCol w:w="174"/>
        <w:gridCol w:w="1001"/>
        <w:gridCol w:w="60"/>
        <w:gridCol w:w="60"/>
        <w:gridCol w:w="140"/>
        <w:gridCol w:w="814"/>
        <w:gridCol w:w="215"/>
        <w:gridCol w:w="60"/>
        <w:gridCol w:w="140"/>
        <w:gridCol w:w="814"/>
        <w:gridCol w:w="215"/>
        <w:gridCol w:w="60"/>
        <w:gridCol w:w="140"/>
        <w:gridCol w:w="814"/>
        <w:gridCol w:w="215"/>
        <w:gridCol w:w="60"/>
        <w:gridCol w:w="140"/>
        <w:gridCol w:w="800"/>
        <w:gridCol w:w="252"/>
        <w:gridCol w:w="60"/>
        <w:gridCol w:w="140"/>
        <w:gridCol w:w="800"/>
        <w:gridCol w:w="252"/>
        <w:gridCol w:w="60"/>
        <w:gridCol w:w="140"/>
        <w:gridCol w:w="800"/>
        <w:gridCol w:w="273"/>
      </w:tblGrid>
      <w:tr>
        <w:trPr/>
        <w:tc>
          <w:tcPr>
            <w:tcW w:w="144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75" w:type="dxa"/>
            <w:gridSpan w:val="2"/>
            <w:tcBorders>
              <w:bottom w:val="single" w:sz="12" w:space="0" w:color="000000"/>
            </w:tcBorders>
            <w:tcMar>
              <w:bottom w:w="28" w:type="dxa"/>
            </w:tcMar>
            <w:vAlign w:val="bottom"/>
          </w:tcPr>
          <w:p>
            <w:pPr>
              <w:pStyle w:val="TableContents"/>
              <w:bidi w:val="0"/>
              <w:spacing w:before="0" w:after="0"/>
              <w:jc w:val="center"/>
              <w:rPr>
                <w:b/>
              </w:rPr>
            </w:pPr>
            <w:r>
              <w:rPr>
                <w:b/>
              </w:rPr>
              <w:t>June 30, 2026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14" w:type="dxa"/>
            <w:tcBorders>
              <w:bottom w:val="single" w:sz="12" w:space="0" w:color="000000"/>
            </w:tcBorders>
            <w:tcMar>
              <w:bottom w:w="28" w:type="dxa"/>
            </w:tcMar>
            <w:vAlign w:val="bottom"/>
          </w:tcPr>
          <w:p>
            <w:pPr>
              <w:pStyle w:val="TableContents"/>
              <w:bidi w:val="0"/>
              <w:spacing w:before="0" w:after="0"/>
              <w:jc w:val="center"/>
              <w:rPr>
                <w:b/>
              </w:rPr>
            </w:pPr>
            <w:r>
              <w:rPr>
                <w:b/>
              </w:rPr>
              <w:t>(0.75)%</w:t>
            </w:r>
          </w:p>
        </w:tc>
        <w:tc>
          <w:tcPr>
            <w:tcW w:w="215" w:type="dxa"/>
            <w:tcBorders/>
            <w:vAlign w:val="bottom"/>
          </w:tcPr>
          <w:p>
            <w:pPr>
              <w:pStyle w:val="TableContents"/>
              <w:bidi w:val="0"/>
              <w:spacing w:before="0" w:after="0"/>
              <w:jc w:val="left"/>
              <w:rPr>
                <w:b/>
              </w:rPr>
            </w:pPr>
            <w:r>
              <w:rPr>
                <w:b/>
              </w:rPr>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14" w:type="dxa"/>
            <w:tcBorders>
              <w:bottom w:val="single" w:sz="12" w:space="0" w:color="000000"/>
            </w:tcBorders>
            <w:tcMar>
              <w:bottom w:w="28" w:type="dxa"/>
            </w:tcMar>
            <w:vAlign w:val="bottom"/>
          </w:tcPr>
          <w:p>
            <w:pPr>
              <w:pStyle w:val="TableContents"/>
              <w:bidi w:val="0"/>
              <w:spacing w:before="0" w:after="0"/>
              <w:jc w:val="center"/>
              <w:rPr>
                <w:b/>
              </w:rPr>
            </w:pPr>
            <w:r>
              <w:rPr>
                <w:b/>
              </w:rPr>
              <w:t>(0.50)%</w:t>
            </w:r>
          </w:p>
        </w:tc>
        <w:tc>
          <w:tcPr>
            <w:tcW w:w="215" w:type="dxa"/>
            <w:tcBorders/>
            <w:vAlign w:val="bottom"/>
          </w:tcPr>
          <w:p>
            <w:pPr>
              <w:pStyle w:val="TableContents"/>
              <w:bidi w:val="0"/>
              <w:spacing w:before="0" w:after="0"/>
              <w:jc w:val="left"/>
              <w:rPr>
                <w:b/>
              </w:rPr>
            </w:pPr>
            <w:r>
              <w:rPr>
                <w:b/>
              </w:rPr>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14" w:type="dxa"/>
            <w:tcBorders>
              <w:bottom w:val="single" w:sz="12" w:space="0" w:color="000000"/>
            </w:tcBorders>
            <w:tcMar>
              <w:bottom w:w="28" w:type="dxa"/>
            </w:tcMar>
            <w:vAlign w:val="bottom"/>
          </w:tcPr>
          <w:p>
            <w:pPr>
              <w:pStyle w:val="TableContents"/>
              <w:bidi w:val="0"/>
              <w:spacing w:before="0" w:after="0"/>
              <w:jc w:val="center"/>
              <w:rPr>
                <w:b/>
              </w:rPr>
            </w:pPr>
            <w:r>
              <w:rPr>
                <w:b/>
              </w:rPr>
              <w:t>(0.25)%</w:t>
            </w:r>
          </w:p>
        </w:tc>
        <w:tc>
          <w:tcPr>
            <w:tcW w:w="215" w:type="dxa"/>
            <w:tcBorders/>
            <w:vAlign w:val="bottom"/>
          </w:tcPr>
          <w:p>
            <w:pPr>
              <w:pStyle w:val="TableContents"/>
              <w:bidi w:val="0"/>
              <w:spacing w:before="0" w:after="0"/>
              <w:jc w:val="left"/>
              <w:rPr>
                <w:b/>
              </w:rPr>
            </w:pPr>
            <w:r>
              <w:rPr>
                <w:b/>
              </w:rPr>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before="0" w:after="0"/>
              <w:jc w:val="center"/>
              <w:rPr>
                <w:b/>
              </w:rPr>
            </w:pPr>
            <w:r>
              <w:rPr>
                <w:b/>
              </w:rPr>
              <w:t>0.25%</w:t>
            </w:r>
          </w:p>
        </w:tc>
        <w:tc>
          <w:tcPr>
            <w:tcW w:w="252" w:type="dxa"/>
            <w:tcBorders/>
            <w:vAlign w:val="bottom"/>
          </w:tcPr>
          <w:p>
            <w:pPr>
              <w:pStyle w:val="TableContents"/>
              <w:bidi w:val="0"/>
              <w:spacing w:before="0" w:after="0"/>
              <w:jc w:val="left"/>
              <w:rPr>
                <w:b/>
              </w:rPr>
            </w:pPr>
            <w:r>
              <w:rPr>
                <w:b/>
              </w:rPr>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before="0" w:after="0"/>
              <w:jc w:val="center"/>
              <w:rPr>
                <w:b/>
              </w:rPr>
            </w:pPr>
            <w:r>
              <w:rPr>
                <w:b/>
              </w:rPr>
              <w:t>0.50%</w:t>
            </w:r>
          </w:p>
        </w:tc>
        <w:tc>
          <w:tcPr>
            <w:tcW w:w="252" w:type="dxa"/>
            <w:tcBorders/>
            <w:vAlign w:val="bottom"/>
          </w:tcPr>
          <w:p>
            <w:pPr>
              <w:pStyle w:val="TableContents"/>
              <w:bidi w:val="0"/>
              <w:spacing w:before="0" w:after="0"/>
              <w:jc w:val="left"/>
              <w:rPr>
                <w:b/>
              </w:rPr>
            </w:pPr>
            <w:r>
              <w:rPr>
                <w:b/>
              </w:rPr>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before="0" w:after="0"/>
              <w:jc w:val="center"/>
              <w:rPr>
                <w:b/>
              </w:rPr>
            </w:pPr>
            <w:r>
              <w:rPr>
                <w:b/>
              </w:rPr>
              <w:t>0.75%</w:t>
            </w:r>
          </w:p>
        </w:tc>
        <w:tc>
          <w:tcPr>
            <w:tcW w:w="273" w:type="dxa"/>
            <w:tcBorders/>
            <w:vAlign w:val="bottom"/>
          </w:tcPr>
          <w:p>
            <w:pPr>
              <w:pStyle w:val="TableContents"/>
              <w:bidi w:val="0"/>
              <w:spacing w:before="0" w:after="0"/>
              <w:jc w:val="left"/>
              <w:rPr>
                <w:b/>
              </w:rPr>
            </w:pPr>
            <w:r>
              <w:rPr>
                <w:b/>
              </w:rPr>
            </w:r>
          </w:p>
        </w:tc>
      </w:tr>
      <w:tr>
        <w:trPr/>
        <w:tc>
          <w:tcPr>
            <w:tcW w:w="1446" w:type="dxa"/>
            <w:tcBorders/>
            <w:shd w:fill="CCEEFF" w:val="clear"/>
            <w:vAlign w:val="bottom"/>
          </w:tcPr>
          <w:p>
            <w:pPr>
              <w:pStyle w:val="TableContents"/>
              <w:bidi w:val="0"/>
              <w:spacing w:before="0" w:after="0"/>
              <w:ind w:left="144" w:right="0" w:hanging="144"/>
              <w:jc w:val="left"/>
              <w:rPr>
                <w:b/>
              </w:rPr>
            </w:pPr>
            <w:r>
              <w:rPr>
                <w:b/>
              </w:rPr>
              <w:t>RMBS Portfolio</w:t>
            </w:r>
          </w:p>
        </w:tc>
        <w:tc>
          <w:tcPr>
            <w:tcW w:w="60" w:type="dxa"/>
            <w:tcBorders/>
            <w:shd w:fill="CCEEFF" w:val="clear"/>
            <w:vAlign w:val="bottom"/>
          </w:tcPr>
          <w:p>
            <w:pPr>
              <w:pStyle w:val="TableContents"/>
              <w:bidi w:val="0"/>
              <w:spacing w:before="0" w:after="283"/>
              <w:jc w:val="left"/>
              <w:rPr/>
            </w:pPr>
            <w:r>
              <w:rPr/>
              <w:t> </w:t>
            </w:r>
          </w:p>
        </w:tc>
        <w:tc>
          <w:tcPr>
            <w:tcW w:w="1175" w:type="dxa"/>
            <w:gridSpan w:val="2"/>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25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25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273" w:type="dxa"/>
            <w:tcBorders/>
            <w:shd w:fill="CCEEFF" w:val="clear"/>
            <w:vAlign w:val="bottom"/>
          </w:tcPr>
          <w:p>
            <w:pPr>
              <w:pStyle w:val="TableContents"/>
              <w:bidi w:val="0"/>
              <w:spacing w:before="0" w:after="283"/>
              <w:jc w:val="left"/>
              <w:rPr/>
            </w:pPr>
            <w:r>
              <w:rPr/>
              <w:t> </w:t>
            </w:r>
          </w:p>
        </w:tc>
      </w:tr>
      <w:tr>
        <w:trPr/>
        <w:tc>
          <w:tcPr>
            <w:tcW w:w="1446" w:type="dxa"/>
            <w:tcBorders/>
            <w:vAlign w:val="bottom"/>
          </w:tcPr>
          <w:p>
            <w:pPr>
              <w:pStyle w:val="TableContents"/>
              <w:bidi w:val="0"/>
              <w:spacing w:before="0" w:after="0"/>
              <w:ind w:left="324" w:right="0" w:hanging="144"/>
              <w:jc w:val="left"/>
              <w:rPr/>
            </w:pPr>
            <w:r>
              <w:rPr/>
              <w:t>RMBS, net of swaps</w:t>
            </w:r>
          </w:p>
        </w:tc>
        <w:tc>
          <w:tcPr>
            <w:tcW w:w="6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0"/>
              <w:jc w:val="left"/>
              <w:rPr/>
            </w:pPr>
            <w:r>
              <w:rPr/>
              <w:t>$</w:t>
            </w:r>
          </w:p>
        </w:tc>
        <w:tc>
          <w:tcPr>
            <w:tcW w:w="1001" w:type="dxa"/>
            <w:tcBorders/>
            <w:vAlign w:val="bottom"/>
          </w:tcPr>
          <w:p>
            <w:pPr>
              <w:pStyle w:val="TableContents"/>
              <w:bidi w:val="0"/>
              <w:spacing w:before="0" w:after="0"/>
              <w:jc w:val="right"/>
              <w:rPr/>
            </w:pPr>
            <w:r>
              <w:rPr/>
              <w:t>862,032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2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2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273" w:type="dxa"/>
            <w:tcBorders/>
            <w:vAlign w:val="bottom"/>
          </w:tcPr>
          <w:p>
            <w:pPr>
              <w:pStyle w:val="TableContents"/>
              <w:bidi w:val="0"/>
              <w:spacing w:before="0" w:after="283"/>
              <w:jc w:val="left"/>
              <w:rPr/>
            </w:pPr>
            <w:r>
              <w:rPr/>
              <w:t> </w:t>
            </w:r>
          </w:p>
        </w:tc>
      </w:tr>
      <w:tr>
        <w:trPr/>
        <w:tc>
          <w:tcPr>
            <w:tcW w:w="1446" w:type="dxa"/>
            <w:tcBorders/>
            <w:shd w:fill="CCEEFF" w:val="clear"/>
            <w:vAlign w:val="bottom"/>
          </w:tcPr>
          <w:p>
            <w:pPr>
              <w:pStyle w:val="TableContents"/>
              <w:bidi w:val="0"/>
              <w:spacing w:before="0" w:after="0"/>
              <w:ind w:left="324" w:right="0" w:hanging="144"/>
              <w:jc w:val="left"/>
              <w:rPr/>
            </w:pPr>
            <w:r>
              <w:rPr/>
              <w:t>Estimated FV</w:t>
            </w:r>
          </w:p>
        </w:tc>
        <w:tc>
          <w:tcPr>
            <w:tcW w:w="60"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00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pPr>
            <w:r>
              <w:rPr/>
              <w:t>$</w:t>
            </w:r>
          </w:p>
        </w:tc>
        <w:tc>
          <w:tcPr>
            <w:tcW w:w="814" w:type="dxa"/>
            <w:tcBorders/>
            <w:shd w:fill="CCEEFF" w:val="clear"/>
            <w:vAlign w:val="bottom"/>
          </w:tcPr>
          <w:p>
            <w:pPr>
              <w:pStyle w:val="TableContents"/>
              <w:bidi w:val="0"/>
              <w:spacing w:before="0" w:after="0"/>
              <w:jc w:val="right"/>
              <w:rPr/>
            </w:pPr>
            <w:r>
              <w:rPr/>
              <w:t>869,103</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pPr>
            <w:r>
              <w:rPr/>
              <w:t>$</w:t>
            </w:r>
          </w:p>
        </w:tc>
        <w:tc>
          <w:tcPr>
            <w:tcW w:w="814" w:type="dxa"/>
            <w:tcBorders/>
            <w:shd w:fill="CCEEFF" w:val="clear"/>
            <w:vAlign w:val="bottom"/>
          </w:tcPr>
          <w:p>
            <w:pPr>
              <w:pStyle w:val="TableContents"/>
              <w:bidi w:val="0"/>
              <w:spacing w:before="0" w:after="0"/>
              <w:jc w:val="right"/>
              <w:rPr/>
            </w:pPr>
            <w:r>
              <w:rPr/>
              <w:t>867,482</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pPr>
            <w:r>
              <w:rPr/>
              <w:t>$</w:t>
            </w:r>
          </w:p>
        </w:tc>
        <w:tc>
          <w:tcPr>
            <w:tcW w:w="814" w:type="dxa"/>
            <w:tcBorders/>
            <w:shd w:fill="CCEEFF" w:val="clear"/>
            <w:vAlign w:val="bottom"/>
          </w:tcPr>
          <w:p>
            <w:pPr>
              <w:pStyle w:val="TableContents"/>
              <w:bidi w:val="0"/>
              <w:spacing w:before="0" w:after="0"/>
              <w:jc w:val="right"/>
              <w:rPr/>
            </w:pPr>
            <w:r>
              <w:rPr/>
              <w:t>865,131</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pPr>
            <w:r>
              <w:rPr/>
              <w:t>$</w:t>
            </w:r>
          </w:p>
        </w:tc>
        <w:tc>
          <w:tcPr>
            <w:tcW w:w="800" w:type="dxa"/>
            <w:tcBorders/>
            <w:shd w:fill="CCEEFF" w:val="clear"/>
            <w:vAlign w:val="bottom"/>
          </w:tcPr>
          <w:p>
            <w:pPr>
              <w:pStyle w:val="TableContents"/>
              <w:bidi w:val="0"/>
              <w:spacing w:before="0" w:after="0"/>
              <w:jc w:val="right"/>
              <w:rPr/>
            </w:pPr>
            <w:r>
              <w:rPr/>
              <w:t>858,318</w:t>
            </w:r>
          </w:p>
        </w:tc>
        <w:tc>
          <w:tcPr>
            <w:tcW w:w="25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pPr>
            <w:r>
              <w:rPr/>
              <w:t>$</w:t>
            </w:r>
          </w:p>
        </w:tc>
        <w:tc>
          <w:tcPr>
            <w:tcW w:w="800" w:type="dxa"/>
            <w:tcBorders/>
            <w:shd w:fill="CCEEFF" w:val="clear"/>
            <w:vAlign w:val="bottom"/>
          </w:tcPr>
          <w:p>
            <w:pPr>
              <w:pStyle w:val="TableContents"/>
              <w:bidi w:val="0"/>
              <w:spacing w:before="0" w:after="0"/>
              <w:jc w:val="right"/>
              <w:rPr/>
            </w:pPr>
            <w:r>
              <w:rPr/>
              <w:t>854,131</w:t>
            </w:r>
          </w:p>
        </w:tc>
        <w:tc>
          <w:tcPr>
            <w:tcW w:w="25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pPr>
            <w:r>
              <w:rPr/>
              <w:t>$</w:t>
            </w:r>
          </w:p>
        </w:tc>
        <w:tc>
          <w:tcPr>
            <w:tcW w:w="800" w:type="dxa"/>
            <w:tcBorders/>
            <w:shd w:fill="CCEEFF" w:val="clear"/>
            <w:vAlign w:val="bottom"/>
          </w:tcPr>
          <w:p>
            <w:pPr>
              <w:pStyle w:val="TableContents"/>
              <w:bidi w:val="0"/>
              <w:spacing w:before="0" w:after="0"/>
              <w:jc w:val="right"/>
              <w:rPr/>
            </w:pPr>
            <w:r>
              <w:rPr/>
              <w:t>849,430</w:t>
            </w:r>
          </w:p>
        </w:tc>
        <w:tc>
          <w:tcPr>
            <w:tcW w:w="273" w:type="dxa"/>
            <w:tcBorders/>
            <w:shd w:fill="CCEEFF" w:val="clear"/>
            <w:vAlign w:val="bottom"/>
          </w:tcPr>
          <w:p>
            <w:pPr>
              <w:pStyle w:val="TableContents"/>
              <w:bidi w:val="0"/>
              <w:spacing w:before="0" w:after="283"/>
              <w:jc w:val="left"/>
              <w:rPr/>
            </w:pPr>
            <w:r>
              <w:rPr/>
              <w:t> </w:t>
            </w:r>
          </w:p>
        </w:tc>
      </w:tr>
      <w:tr>
        <w:trPr/>
        <w:tc>
          <w:tcPr>
            <w:tcW w:w="1446" w:type="dxa"/>
            <w:tcBorders/>
            <w:vAlign w:val="bottom"/>
          </w:tcPr>
          <w:p>
            <w:pPr>
              <w:pStyle w:val="TableContents"/>
              <w:bidi w:val="0"/>
              <w:spacing w:before="0" w:after="0"/>
              <w:ind w:left="324" w:right="0" w:hanging="144"/>
              <w:jc w:val="left"/>
              <w:rPr/>
            </w:pPr>
            <w:r>
              <w:rPr/>
              <w:t>Change in FV</w:t>
            </w:r>
          </w:p>
        </w:tc>
        <w:tc>
          <w:tcPr>
            <w:tcW w:w="6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00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0"/>
              <w:jc w:val="left"/>
              <w:rPr/>
            </w:pPr>
            <w:r>
              <w:rPr/>
              <w:t>$</w:t>
            </w:r>
          </w:p>
        </w:tc>
        <w:tc>
          <w:tcPr>
            <w:tcW w:w="814" w:type="dxa"/>
            <w:tcBorders/>
            <w:vAlign w:val="bottom"/>
          </w:tcPr>
          <w:p>
            <w:pPr>
              <w:pStyle w:val="TableContents"/>
              <w:bidi w:val="0"/>
              <w:spacing w:before="0" w:after="0"/>
              <w:jc w:val="right"/>
              <w:rPr/>
            </w:pPr>
            <w:r>
              <w:rPr/>
              <w:t>7,071</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0"/>
              <w:jc w:val="left"/>
              <w:rPr/>
            </w:pPr>
            <w:r>
              <w:rPr/>
              <w:t>$</w:t>
            </w:r>
          </w:p>
        </w:tc>
        <w:tc>
          <w:tcPr>
            <w:tcW w:w="814" w:type="dxa"/>
            <w:tcBorders/>
            <w:vAlign w:val="bottom"/>
          </w:tcPr>
          <w:p>
            <w:pPr>
              <w:pStyle w:val="TableContents"/>
              <w:bidi w:val="0"/>
              <w:spacing w:before="0" w:after="0"/>
              <w:jc w:val="right"/>
              <w:rPr/>
            </w:pPr>
            <w:r>
              <w:rPr/>
              <w:t>5,451</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0"/>
              <w:jc w:val="left"/>
              <w:rPr/>
            </w:pPr>
            <w:r>
              <w:rPr/>
              <w:t>$</w:t>
            </w:r>
          </w:p>
        </w:tc>
        <w:tc>
          <w:tcPr>
            <w:tcW w:w="814" w:type="dxa"/>
            <w:tcBorders/>
            <w:vAlign w:val="bottom"/>
          </w:tcPr>
          <w:p>
            <w:pPr>
              <w:pStyle w:val="TableContents"/>
              <w:bidi w:val="0"/>
              <w:spacing w:before="0" w:after="0"/>
              <w:jc w:val="right"/>
              <w:rPr/>
            </w:pPr>
            <w:r>
              <w:rPr/>
              <w:t>3,099</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0"/>
              <w:jc w:val="left"/>
              <w:rPr/>
            </w:pPr>
            <w:r>
              <w:rPr/>
              <w:t>$</w:t>
            </w:r>
          </w:p>
        </w:tc>
        <w:tc>
          <w:tcPr>
            <w:tcW w:w="800" w:type="dxa"/>
            <w:tcBorders/>
            <w:vAlign w:val="bottom"/>
          </w:tcPr>
          <w:p>
            <w:pPr>
              <w:pStyle w:val="TableContents"/>
              <w:bidi w:val="0"/>
              <w:spacing w:before="0" w:after="0"/>
              <w:jc w:val="right"/>
              <w:rPr/>
            </w:pPr>
            <w:r>
              <w:rPr/>
              <w:t>(3,714</w:t>
            </w:r>
          </w:p>
        </w:tc>
        <w:tc>
          <w:tcPr>
            <w:tcW w:w="252"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0"/>
              <w:jc w:val="left"/>
              <w:rPr/>
            </w:pPr>
            <w:r>
              <w:rPr/>
              <w:t>$</w:t>
            </w:r>
          </w:p>
        </w:tc>
        <w:tc>
          <w:tcPr>
            <w:tcW w:w="800" w:type="dxa"/>
            <w:tcBorders/>
            <w:vAlign w:val="bottom"/>
          </w:tcPr>
          <w:p>
            <w:pPr>
              <w:pStyle w:val="TableContents"/>
              <w:bidi w:val="0"/>
              <w:spacing w:before="0" w:after="0"/>
              <w:jc w:val="right"/>
              <w:rPr/>
            </w:pPr>
            <w:r>
              <w:rPr/>
              <w:t>(7,900</w:t>
            </w:r>
          </w:p>
        </w:tc>
        <w:tc>
          <w:tcPr>
            <w:tcW w:w="252"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0"/>
              <w:jc w:val="left"/>
              <w:rPr/>
            </w:pPr>
            <w:r>
              <w:rPr/>
              <w:t>$</w:t>
            </w:r>
          </w:p>
        </w:tc>
        <w:tc>
          <w:tcPr>
            <w:tcW w:w="800" w:type="dxa"/>
            <w:tcBorders/>
            <w:vAlign w:val="bottom"/>
          </w:tcPr>
          <w:p>
            <w:pPr>
              <w:pStyle w:val="TableContents"/>
              <w:bidi w:val="0"/>
              <w:spacing w:before="0" w:after="0"/>
              <w:jc w:val="right"/>
              <w:rPr/>
            </w:pPr>
            <w:r>
              <w:rPr/>
              <w:t>(12,601</w:t>
            </w:r>
          </w:p>
        </w:tc>
        <w:tc>
          <w:tcPr>
            <w:tcW w:w="273" w:type="dxa"/>
            <w:tcBorders/>
            <w:vAlign w:val="bottom"/>
          </w:tcPr>
          <w:p>
            <w:pPr>
              <w:pStyle w:val="TableContents"/>
              <w:bidi w:val="0"/>
              <w:spacing w:before="0" w:after="0"/>
              <w:jc w:val="left"/>
              <w:rPr/>
            </w:pPr>
            <w:r>
              <w:rPr/>
              <w:t>)</w:t>
            </w:r>
          </w:p>
        </w:tc>
      </w:tr>
      <w:tr>
        <w:trPr/>
        <w:tc>
          <w:tcPr>
            <w:tcW w:w="1446" w:type="dxa"/>
            <w:tcBorders/>
            <w:shd w:fill="CCEEFF" w:val="clear"/>
            <w:vAlign w:val="bottom"/>
          </w:tcPr>
          <w:p>
            <w:pPr>
              <w:pStyle w:val="TableContents"/>
              <w:bidi w:val="0"/>
              <w:spacing w:before="0" w:after="0"/>
              <w:ind w:left="324" w:right="0" w:hanging="144"/>
              <w:jc w:val="left"/>
              <w:rPr/>
            </w:pPr>
            <w:r>
              <w:rPr/>
              <w:t>% Change in FV</w:t>
            </w:r>
          </w:p>
        </w:tc>
        <w:tc>
          <w:tcPr>
            <w:tcW w:w="60"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00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0"/>
              <w:jc w:val="right"/>
              <w:rPr/>
            </w:pPr>
            <w:r>
              <w:rPr/>
              <w:t>0.82</w:t>
            </w:r>
          </w:p>
        </w:tc>
        <w:tc>
          <w:tcPr>
            <w:tcW w:w="21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0"/>
              <w:jc w:val="right"/>
              <w:rPr/>
            </w:pPr>
            <w:r>
              <w:rPr/>
              <w:t>0.63</w:t>
            </w:r>
          </w:p>
        </w:tc>
        <w:tc>
          <w:tcPr>
            <w:tcW w:w="21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0"/>
              <w:jc w:val="right"/>
              <w:rPr/>
            </w:pPr>
            <w:r>
              <w:rPr/>
              <w:t>0.36</w:t>
            </w:r>
          </w:p>
        </w:tc>
        <w:tc>
          <w:tcPr>
            <w:tcW w:w="21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pPr>
            <w:r>
              <w:rPr/>
              <w:t>(0.43</w:t>
            </w:r>
          </w:p>
        </w:tc>
        <w:tc>
          <w:tcPr>
            <w:tcW w:w="252"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pPr>
            <w:r>
              <w:rPr/>
              <w:t>(0.92</w:t>
            </w:r>
          </w:p>
        </w:tc>
        <w:tc>
          <w:tcPr>
            <w:tcW w:w="252"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pPr>
            <w:r>
              <w:rPr/>
              <w:t>(1.46</w:t>
            </w:r>
          </w:p>
        </w:tc>
        <w:tc>
          <w:tcPr>
            <w:tcW w:w="273" w:type="dxa"/>
            <w:tcBorders/>
            <w:shd w:fill="CCEEFF" w:val="clear"/>
            <w:vAlign w:val="bottom"/>
          </w:tcPr>
          <w:p>
            <w:pPr>
              <w:pStyle w:val="TableContents"/>
              <w:bidi w:val="0"/>
              <w:spacing w:before="0" w:after="0"/>
              <w:jc w:val="left"/>
              <w:rPr/>
            </w:pPr>
            <w:r>
              <w:rPr/>
              <w:t>)%</w:t>
            </w:r>
          </w:p>
        </w:tc>
      </w:tr>
    </w:tbl>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As of December 31, 2025</w:t>
      </w:r>
    </w:p>
    <w:p>
      <w:pPr>
        <w:pStyle w:val="TextBody"/>
        <w:bidi w:val="0"/>
        <w:spacing w:before="0" w:after="0"/>
        <w:jc w:val="left"/>
        <w:rPr>
          <w:sz w:val="20"/>
        </w:rPr>
      </w:pPr>
      <w:r>
        <w:rPr>
          <w:sz w:val="20"/>
        </w:rPr>
      </w:r>
    </w:p>
    <w:tbl>
      <w:tblPr>
        <w:tblW w:w="10205" w:type="dxa"/>
        <w:jc w:val="left"/>
        <w:tblInd w:w="0" w:type="dxa"/>
        <w:tblLayout w:type="fixed"/>
        <w:tblCellMar>
          <w:top w:w="0" w:type="dxa"/>
          <w:left w:w="0" w:type="dxa"/>
          <w:bottom w:w="0" w:type="dxa"/>
          <w:right w:w="0" w:type="dxa"/>
        </w:tblCellMar>
      </w:tblPr>
      <w:tblGrid>
        <w:gridCol w:w="1288"/>
        <w:gridCol w:w="60"/>
        <w:gridCol w:w="204"/>
        <w:gridCol w:w="1173"/>
        <w:gridCol w:w="60"/>
        <w:gridCol w:w="60"/>
        <w:gridCol w:w="140"/>
        <w:gridCol w:w="810"/>
        <w:gridCol w:w="215"/>
        <w:gridCol w:w="60"/>
        <w:gridCol w:w="140"/>
        <w:gridCol w:w="810"/>
        <w:gridCol w:w="215"/>
        <w:gridCol w:w="60"/>
        <w:gridCol w:w="140"/>
        <w:gridCol w:w="810"/>
        <w:gridCol w:w="215"/>
        <w:gridCol w:w="60"/>
        <w:gridCol w:w="140"/>
        <w:gridCol w:w="800"/>
        <w:gridCol w:w="241"/>
        <w:gridCol w:w="60"/>
        <w:gridCol w:w="140"/>
        <w:gridCol w:w="800"/>
        <w:gridCol w:w="241"/>
        <w:gridCol w:w="60"/>
        <w:gridCol w:w="140"/>
        <w:gridCol w:w="800"/>
        <w:gridCol w:w="263"/>
      </w:tblGrid>
      <w:tr>
        <w:trPr/>
        <w:tc>
          <w:tcPr>
            <w:tcW w:w="12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7" w:type="dxa"/>
            <w:gridSpan w:val="2"/>
            <w:tcBorders>
              <w:bottom w:val="single" w:sz="12" w:space="0" w:color="000000"/>
            </w:tcBorders>
            <w:tcMar>
              <w:bottom w:w="28" w:type="dxa"/>
            </w:tcMar>
            <w:vAlign w:val="bottom"/>
          </w:tcPr>
          <w:p>
            <w:pPr>
              <w:pStyle w:val="TableContents"/>
              <w:bidi w:val="0"/>
              <w:spacing w:before="0" w:after="0"/>
              <w:jc w:val="center"/>
              <w:rPr>
                <w:b/>
              </w:rPr>
            </w:pPr>
            <w:r>
              <w:rPr>
                <w:b/>
              </w:rPr>
              <w:t>December 31, 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10" w:type="dxa"/>
            <w:tcBorders>
              <w:bottom w:val="single" w:sz="12" w:space="0" w:color="000000"/>
            </w:tcBorders>
            <w:tcMar>
              <w:bottom w:w="28" w:type="dxa"/>
            </w:tcMar>
            <w:vAlign w:val="bottom"/>
          </w:tcPr>
          <w:p>
            <w:pPr>
              <w:pStyle w:val="TableContents"/>
              <w:bidi w:val="0"/>
              <w:spacing w:before="0" w:after="0"/>
              <w:jc w:val="center"/>
              <w:rPr>
                <w:b/>
              </w:rPr>
            </w:pPr>
            <w:r>
              <w:rPr>
                <w:b/>
              </w:rPr>
              <w:t>(0.75)%</w:t>
            </w:r>
          </w:p>
        </w:tc>
        <w:tc>
          <w:tcPr>
            <w:tcW w:w="215" w:type="dxa"/>
            <w:tcBorders/>
            <w:vAlign w:val="bottom"/>
          </w:tcPr>
          <w:p>
            <w:pPr>
              <w:pStyle w:val="TableContents"/>
              <w:bidi w:val="0"/>
              <w:spacing w:before="0" w:after="0"/>
              <w:jc w:val="left"/>
              <w:rPr>
                <w:b/>
              </w:rPr>
            </w:pPr>
            <w:r>
              <w:rPr>
                <w:b/>
              </w:rPr>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10" w:type="dxa"/>
            <w:tcBorders>
              <w:bottom w:val="single" w:sz="12" w:space="0" w:color="000000"/>
            </w:tcBorders>
            <w:tcMar>
              <w:bottom w:w="28" w:type="dxa"/>
            </w:tcMar>
            <w:vAlign w:val="bottom"/>
          </w:tcPr>
          <w:p>
            <w:pPr>
              <w:pStyle w:val="TableContents"/>
              <w:bidi w:val="0"/>
              <w:spacing w:before="0" w:after="0"/>
              <w:jc w:val="center"/>
              <w:rPr>
                <w:b/>
              </w:rPr>
            </w:pPr>
            <w:r>
              <w:rPr>
                <w:b/>
              </w:rPr>
              <w:t>(0.50)%</w:t>
            </w:r>
          </w:p>
        </w:tc>
        <w:tc>
          <w:tcPr>
            <w:tcW w:w="215" w:type="dxa"/>
            <w:tcBorders/>
            <w:vAlign w:val="bottom"/>
          </w:tcPr>
          <w:p>
            <w:pPr>
              <w:pStyle w:val="TableContents"/>
              <w:bidi w:val="0"/>
              <w:spacing w:before="0" w:after="0"/>
              <w:jc w:val="left"/>
              <w:rPr>
                <w:b/>
              </w:rPr>
            </w:pPr>
            <w:r>
              <w:rPr>
                <w:b/>
              </w:rPr>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10" w:type="dxa"/>
            <w:tcBorders>
              <w:bottom w:val="single" w:sz="12" w:space="0" w:color="000000"/>
            </w:tcBorders>
            <w:tcMar>
              <w:bottom w:w="28" w:type="dxa"/>
            </w:tcMar>
            <w:vAlign w:val="bottom"/>
          </w:tcPr>
          <w:p>
            <w:pPr>
              <w:pStyle w:val="TableContents"/>
              <w:bidi w:val="0"/>
              <w:spacing w:before="0" w:after="0"/>
              <w:jc w:val="center"/>
              <w:rPr>
                <w:b/>
              </w:rPr>
            </w:pPr>
            <w:r>
              <w:rPr>
                <w:b/>
              </w:rPr>
              <w:t>(0.25)%</w:t>
            </w:r>
          </w:p>
        </w:tc>
        <w:tc>
          <w:tcPr>
            <w:tcW w:w="215" w:type="dxa"/>
            <w:tcBorders/>
            <w:vAlign w:val="bottom"/>
          </w:tcPr>
          <w:p>
            <w:pPr>
              <w:pStyle w:val="TableContents"/>
              <w:bidi w:val="0"/>
              <w:spacing w:before="0" w:after="0"/>
              <w:jc w:val="left"/>
              <w:rPr>
                <w:b/>
              </w:rPr>
            </w:pPr>
            <w:r>
              <w:rPr>
                <w:b/>
              </w:rPr>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before="0" w:after="0"/>
              <w:jc w:val="center"/>
              <w:rPr>
                <w:b/>
              </w:rPr>
            </w:pPr>
            <w:r>
              <w:rPr>
                <w:b/>
              </w:rPr>
              <w:t>0.25%</w:t>
            </w:r>
          </w:p>
        </w:tc>
        <w:tc>
          <w:tcPr>
            <w:tcW w:w="241" w:type="dxa"/>
            <w:tcBorders/>
            <w:vAlign w:val="bottom"/>
          </w:tcPr>
          <w:p>
            <w:pPr>
              <w:pStyle w:val="TableContents"/>
              <w:bidi w:val="0"/>
              <w:spacing w:before="0" w:after="0"/>
              <w:jc w:val="left"/>
              <w:rPr>
                <w:b/>
              </w:rPr>
            </w:pPr>
            <w:r>
              <w:rPr>
                <w:b/>
              </w:rPr>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before="0" w:after="0"/>
              <w:jc w:val="center"/>
              <w:rPr>
                <w:b/>
              </w:rPr>
            </w:pPr>
            <w:r>
              <w:rPr>
                <w:b/>
              </w:rPr>
              <w:t>0.50%</w:t>
            </w:r>
          </w:p>
        </w:tc>
        <w:tc>
          <w:tcPr>
            <w:tcW w:w="241" w:type="dxa"/>
            <w:tcBorders/>
            <w:vAlign w:val="bottom"/>
          </w:tcPr>
          <w:p>
            <w:pPr>
              <w:pStyle w:val="TableContents"/>
              <w:bidi w:val="0"/>
              <w:spacing w:before="0" w:after="0"/>
              <w:jc w:val="left"/>
              <w:rPr>
                <w:b/>
              </w:rPr>
            </w:pPr>
            <w:r>
              <w:rPr>
                <w:b/>
              </w:rPr>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before="0" w:after="0"/>
              <w:jc w:val="center"/>
              <w:rPr>
                <w:b/>
              </w:rPr>
            </w:pPr>
            <w:r>
              <w:rPr>
                <w:b/>
              </w:rPr>
              <w:t>0.75%</w:t>
            </w:r>
          </w:p>
        </w:tc>
        <w:tc>
          <w:tcPr>
            <w:tcW w:w="263" w:type="dxa"/>
            <w:tcBorders/>
            <w:vAlign w:val="bottom"/>
          </w:tcPr>
          <w:p>
            <w:pPr>
              <w:pStyle w:val="TableContents"/>
              <w:bidi w:val="0"/>
              <w:spacing w:before="0" w:after="0"/>
              <w:jc w:val="left"/>
              <w:rPr>
                <w:b/>
              </w:rPr>
            </w:pPr>
            <w:r>
              <w:rPr>
                <w:b/>
              </w:rPr>
            </w:r>
          </w:p>
        </w:tc>
      </w:tr>
      <w:tr>
        <w:trPr/>
        <w:tc>
          <w:tcPr>
            <w:tcW w:w="1288" w:type="dxa"/>
            <w:tcBorders/>
            <w:shd w:fill="CCEEFF" w:val="clear"/>
            <w:vAlign w:val="bottom"/>
          </w:tcPr>
          <w:p>
            <w:pPr>
              <w:pStyle w:val="TableContents"/>
              <w:bidi w:val="0"/>
              <w:spacing w:before="0" w:after="0"/>
              <w:ind w:left="144" w:right="0" w:hanging="144"/>
              <w:jc w:val="left"/>
              <w:rPr>
                <w:b/>
              </w:rPr>
            </w:pPr>
            <w:r>
              <w:rPr>
                <w:b/>
              </w:rPr>
              <w:t>RMBS Portfolio</w:t>
            </w:r>
          </w:p>
        </w:tc>
        <w:tc>
          <w:tcPr>
            <w:tcW w:w="60" w:type="dxa"/>
            <w:tcBorders/>
            <w:shd w:fill="CCEEFF" w:val="clear"/>
            <w:vAlign w:val="bottom"/>
          </w:tcPr>
          <w:p>
            <w:pPr>
              <w:pStyle w:val="TableContents"/>
              <w:bidi w:val="0"/>
              <w:spacing w:before="0" w:after="283"/>
              <w:jc w:val="left"/>
              <w:rPr/>
            </w:pPr>
            <w:r>
              <w:rPr/>
              <w:t> </w:t>
            </w:r>
          </w:p>
        </w:tc>
        <w:tc>
          <w:tcPr>
            <w:tcW w:w="1377" w:type="dxa"/>
            <w:gridSpan w:val="2"/>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2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2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263" w:type="dxa"/>
            <w:tcBorders/>
            <w:shd w:fill="CCEEFF" w:val="clear"/>
            <w:vAlign w:val="bottom"/>
          </w:tcPr>
          <w:p>
            <w:pPr>
              <w:pStyle w:val="TableContents"/>
              <w:bidi w:val="0"/>
              <w:spacing w:before="0" w:after="283"/>
              <w:jc w:val="left"/>
              <w:rPr/>
            </w:pPr>
            <w:r>
              <w:rPr/>
              <w:t> </w:t>
            </w:r>
          </w:p>
        </w:tc>
      </w:tr>
      <w:tr>
        <w:trPr/>
        <w:tc>
          <w:tcPr>
            <w:tcW w:w="1288" w:type="dxa"/>
            <w:tcBorders/>
            <w:vAlign w:val="bottom"/>
          </w:tcPr>
          <w:p>
            <w:pPr>
              <w:pStyle w:val="TableContents"/>
              <w:bidi w:val="0"/>
              <w:spacing w:before="0" w:after="0"/>
              <w:ind w:left="324" w:right="0" w:hanging="144"/>
              <w:jc w:val="left"/>
              <w:rPr/>
            </w:pPr>
            <w:r>
              <w:rPr/>
              <w:t>RMBS, net of swaps</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0"/>
              <w:jc w:val="left"/>
              <w:rPr/>
            </w:pPr>
            <w:r>
              <w:rPr/>
              <w:t>$</w:t>
            </w:r>
          </w:p>
        </w:tc>
        <w:tc>
          <w:tcPr>
            <w:tcW w:w="1173" w:type="dxa"/>
            <w:tcBorders/>
            <w:vAlign w:val="bottom"/>
          </w:tcPr>
          <w:p>
            <w:pPr>
              <w:pStyle w:val="TableContents"/>
              <w:bidi w:val="0"/>
              <w:spacing w:before="0" w:after="0"/>
              <w:jc w:val="right"/>
              <w:rPr/>
            </w:pPr>
            <w:r>
              <w:rPr/>
              <w:t>852,643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0"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0"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0"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2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2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263" w:type="dxa"/>
            <w:tcBorders/>
            <w:vAlign w:val="bottom"/>
          </w:tcPr>
          <w:p>
            <w:pPr>
              <w:pStyle w:val="TableContents"/>
              <w:bidi w:val="0"/>
              <w:spacing w:before="0" w:after="283"/>
              <w:jc w:val="left"/>
              <w:rPr/>
            </w:pPr>
            <w:r>
              <w:rPr/>
              <w:t> </w:t>
            </w:r>
          </w:p>
        </w:tc>
      </w:tr>
      <w:tr>
        <w:trPr/>
        <w:tc>
          <w:tcPr>
            <w:tcW w:w="1288" w:type="dxa"/>
            <w:tcBorders/>
            <w:shd w:fill="CCEEFF" w:val="clear"/>
            <w:vAlign w:val="bottom"/>
          </w:tcPr>
          <w:p>
            <w:pPr>
              <w:pStyle w:val="TableContents"/>
              <w:bidi w:val="0"/>
              <w:spacing w:before="0" w:after="0"/>
              <w:ind w:left="324" w:right="0" w:hanging="144"/>
              <w:jc w:val="left"/>
              <w:rPr/>
            </w:pPr>
            <w:r>
              <w:rPr/>
              <w:t>Estimated FV</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7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pPr>
            <w:r>
              <w:rPr/>
              <w:t>$</w:t>
            </w:r>
          </w:p>
        </w:tc>
        <w:tc>
          <w:tcPr>
            <w:tcW w:w="810" w:type="dxa"/>
            <w:tcBorders/>
            <w:shd w:fill="CCEEFF" w:val="clear"/>
            <w:vAlign w:val="bottom"/>
          </w:tcPr>
          <w:p>
            <w:pPr>
              <w:pStyle w:val="TableContents"/>
              <w:bidi w:val="0"/>
              <w:spacing w:before="0" w:after="0"/>
              <w:jc w:val="right"/>
              <w:rPr/>
            </w:pPr>
            <w:r>
              <w:rPr/>
              <w:t>860,338</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pPr>
            <w:r>
              <w:rPr/>
              <w:t>$</w:t>
            </w:r>
          </w:p>
        </w:tc>
        <w:tc>
          <w:tcPr>
            <w:tcW w:w="810" w:type="dxa"/>
            <w:tcBorders/>
            <w:shd w:fill="CCEEFF" w:val="clear"/>
            <w:vAlign w:val="bottom"/>
          </w:tcPr>
          <w:p>
            <w:pPr>
              <w:pStyle w:val="TableContents"/>
              <w:bidi w:val="0"/>
              <w:spacing w:before="0" w:after="0"/>
              <w:jc w:val="right"/>
              <w:rPr/>
            </w:pPr>
            <w:r>
              <w:rPr/>
              <w:t>858,665</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pPr>
            <w:r>
              <w:rPr/>
              <w:t>$</w:t>
            </w:r>
          </w:p>
        </w:tc>
        <w:tc>
          <w:tcPr>
            <w:tcW w:w="810" w:type="dxa"/>
            <w:tcBorders/>
            <w:shd w:fill="CCEEFF" w:val="clear"/>
            <w:vAlign w:val="bottom"/>
          </w:tcPr>
          <w:p>
            <w:pPr>
              <w:pStyle w:val="TableContents"/>
              <w:bidi w:val="0"/>
              <w:spacing w:before="0" w:after="0"/>
              <w:jc w:val="right"/>
              <w:rPr/>
            </w:pPr>
            <w:r>
              <w:rPr/>
              <w:t>856,037</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pPr>
            <w:r>
              <w:rPr/>
              <w:t>$</w:t>
            </w:r>
          </w:p>
        </w:tc>
        <w:tc>
          <w:tcPr>
            <w:tcW w:w="800" w:type="dxa"/>
            <w:tcBorders/>
            <w:shd w:fill="CCEEFF" w:val="clear"/>
            <w:vAlign w:val="bottom"/>
          </w:tcPr>
          <w:p>
            <w:pPr>
              <w:pStyle w:val="TableContents"/>
              <w:bidi w:val="0"/>
              <w:spacing w:before="0" w:after="0"/>
              <w:jc w:val="right"/>
              <w:rPr/>
            </w:pPr>
            <w:r>
              <w:rPr/>
              <w:t>848,686</w:t>
            </w:r>
          </w:p>
        </w:tc>
        <w:tc>
          <w:tcPr>
            <w:tcW w:w="2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pPr>
            <w:r>
              <w:rPr/>
              <w:t>$</w:t>
            </w:r>
          </w:p>
        </w:tc>
        <w:tc>
          <w:tcPr>
            <w:tcW w:w="800" w:type="dxa"/>
            <w:tcBorders/>
            <w:shd w:fill="CCEEFF" w:val="clear"/>
            <w:vAlign w:val="bottom"/>
          </w:tcPr>
          <w:p>
            <w:pPr>
              <w:pStyle w:val="TableContents"/>
              <w:bidi w:val="0"/>
              <w:spacing w:before="0" w:after="0"/>
              <w:jc w:val="right"/>
              <w:rPr/>
            </w:pPr>
            <w:r>
              <w:rPr/>
              <w:t>844,234</w:t>
            </w:r>
          </w:p>
        </w:tc>
        <w:tc>
          <w:tcPr>
            <w:tcW w:w="2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pPr>
            <w:r>
              <w:rPr/>
              <w:t>$</w:t>
            </w:r>
          </w:p>
        </w:tc>
        <w:tc>
          <w:tcPr>
            <w:tcW w:w="800" w:type="dxa"/>
            <w:tcBorders/>
            <w:shd w:fill="CCEEFF" w:val="clear"/>
            <w:vAlign w:val="bottom"/>
          </w:tcPr>
          <w:p>
            <w:pPr>
              <w:pStyle w:val="TableContents"/>
              <w:bidi w:val="0"/>
              <w:spacing w:before="0" w:after="0"/>
              <w:jc w:val="right"/>
              <w:rPr/>
            </w:pPr>
            <w:r>
              <w:rPr/>
              <w:t>839,359</w:t>
            </w:r>
          </w:p>
        </w:tc>
        <w:tc>
          <w:tcPr>
            <w:tcW w:w="263" w:type="dxa"/>
            <w:tcBorders/>
            <w:shd w:fill="CCEEFF" w:val="clear"/>
            <w:vAlign w:val="bottom"/>
          </w:tcPr>
          <w:p>
            <w:pPr>
              <w:pStyle w:val="TableContents"/>
              <w:bidi w:val="0"/>
              <w:spacing w:before="0" w:after="283"/>
              <w:jc w:val="left"/>
              <w:rPr/>
            </w:pPr>
            <w:r>
              <w:rPr/>
              <w:t> </w:t>
            </w:r>
          </w:p>
        </w:tc>
      </w:tr>
      <w:tr>
        <w:trPr/>
        <w:tc>
          <w:tcPr>
            <w:tcW w:w="1288" w:type="dxa"/>
            <w:tcBorders/>
            <w:vAlign w:val="bottom"/>
          </w:tcPr>
          <w:p>
            <w:pPr>
              <w:pStyle w:val="TableContents"/>
              <w:bidi w:val="0"/>
              <w:spacing w:before="0" w:after="0"/>
              <w:ind w:left="324" w:right="0" w:hanging="144"/>
              <w:jc w:val="left"/>
              <w:rPr/>
            </w:pPr>
            <w:r>
              <w:rPr/>
              <w:t>Change in FV</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7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0"/>
              <w:jc w:val="left"/>
              <w:rPr/>
            </w:pPr>
            <w:r>
              <w:rPr/>
              <w:t>$</w:t>
            </w:r>
          </w:p>
        </w:tc>
        <w:tc>
          <w:tcPr>
            <w:tcW w:w="810" w:type="dxa"/>
            <w:tcBorders/>
            <w:vAlign w:val="bottom"/>
          </w:tcPr>
          <w:p>
            <w:pPr>
              <w:pStyle w:val="TableContents"/>
              <w:bidi w:val="0"/>
              <w:spacing w:before="0" w:after="0"/>
              <w:jc w:val="right"/>
              <w:rPr/>
            </w:pPr>
            <w:r>
              <w:rPr/>
              <w:t>7,695</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0"/>
              <w:jc w:val="left"/>
              <w:rPr/>
            </w:pPr>
            <w:r>
              <w:rPr/>
              <w:t>$</w:t>
            </w:r>
          </w:p>
        </w:tc>
        <w:tc>
          <w:tcPr>
            <w:tcW w:w="810" w:type="dxa"/>
            <w:tcBorders/>
            <w:vAlign w:val="bottom"/>
          </w:tcPr>
          <w:p>
            <w:pPr>
              <w:pStyle w:val="TableContents"/>
              <w:bidi w:val="0"/>
              <w:spacing w:before="0" w:after="0"/>
              <w:jc w:val="right"/>
              <w:rPr/>
            </w:pPr>
            <w:r>
              <w:rPr/>
              <w:t>6,022</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0"/>
              <w:jc w:val="left"/>
              <w:rPr/>
            </w:pPr>
            <w:r>
              <w:rPr/>
              <w:t>$</w:t>
            </w:r>
          </w:p>
        </w:tc>
        <w:tc>
          <w:tcPr>
            <w:tcW w:w="810" w:type="dxa"/>
            <w:tcBorders/>
            <w:vAlign w:val="bottom"/>
          </w:tcPr>
          <w:p>
            <w:pPr>
              <w:pStyle w:val="TableContents"/>
              <w:bidi w:val="0"/>
              <w:spacing w:before="0" w:after="0"/>
              <w:jc w:val="right"/>
              <w:rPr/>
            </w:pPr>
            <w:r>
              <w:rPr/>
              <w:t>3,394</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0"/>
              <w:jc w:val="left"/>
              <w:rPr/>
            </w:pPr>
            <w:r>
              <w:rPr/>
              <w:t>$</w:t>
            </w:r>
          </w:p>
        </w:tc>
        <w:tc>
          <w:tcPr>
            <w:tcW w:w="800" w:type="dxa"/>
            <w:tcBorders/>
            <w:vAlign w:val="bottom"/>
          </w:tcPr>
          <w:p>
            <w:pPr>
              <w:pStyle w:val="TableContents"/>
              <w:bidi w:val="0"/>
              <w:spacing w:before="0" w:after="0"/>
              <w:jc w:val="right"/>
              <w:rPr/>
            </w:pPr>
            <w:r>
              <w:rPr/>
              <w:t>(3,957</w:t>
            </w:r>
          </w:p>
        </w:tc>
        <w:tc>
          <w:tcPr>
            <w:tcW w:w="241"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0"/>
              <w:jc w:val="left"/>
              <w:rPr/>
            </w:pPr>
            <w:r>
              <w:rPr/>
              <w:t>$</w:t>
            </w:r>
          </w:p>
        </w:tc>
        <w:tc>
          <w:tcPr>
            <w:tcW w:w="800" w:type="dxa"/>
            <w:tcBorders/>
            <w:vAlign w:val="bottom"/>
          </w:tcPr>
          <w:p>
            <w:pPr>
              <w:pStyle w:val="TableContents"/>
              <w:bidi w:val="0"/>
              <w:spacing w:before="0" w:after="0"/>
              <w:jc w:val="right"/>
              <w:rPr/>
            </w:pPr>
            <w:r>
              <w:rPr/>
              <w:t>(8,409</w:t>
            </w:r>
          </w:p>
        </w:tc>
        <w:tc>
          <w:tcPr>
            <w:tcW w:w="241"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0"/>
              <w:jc w:val="left"/>
              <w:rPr/>
            </w:pPr>
            <w:r>
              <w:rPr/>
              <w:t>$</w:t>
            </w:r>
          </w:p>
        </w:tc>
        <w:tc>
          <w:tcPr>
            <w:tcW w:w="800" w:type="dxa"/>
            <w:tcBorders/>
            <w:vAlign w:val="bottom"/>
          </w:tcPr>
          <w:p>
            <w:pPr>
              <w:pStyle w:val="TableContents"/>
              <w:bidi w:val="0"/>
              <w:spacing w:before="0" w:after="0"/>
              <w:jc w:val="right"/>
              <w:rPr/>
            </w:pPr>
            <w:r>
              <w:rPr/>
              <w:t>(13,284</w:t>
            </w:r>
          </w:p>
        </w:tc>
        <w:tc>
          <w:tcPr>
            <w:tcW w:w="263" w:type="dxa"/>
            <w:tcBorders/>
            <w:vAlign w:val="bottom"/>
          </w:tcPr>
          <w:p>
            <w:pPr>
              <w:pStyle w:val="TableContents"/>
              <w:bidi w:val="0"/>
              <w:spacing w:before="0" w:after="0"/>
              <w:jc w:val="left"/>
              <w:rPr/>
            </w:pPr>
            <w:r>
              <w:rPr/>
              <w:t>)</w:t>
            </w:r>
          </w:p>
        </w:tc>
      </w:tr>
      <w:tr>
        <w:trPr/>
        <w:tc>
          <w:tcPr>
            <w:tcW w:w="1288" w:type="dxa"/>
            <w:tcBorders/>
            <w:shd w:fill="CCEEFF" w:val="clear"/>
            <w:vAlign w:val="bottom"/>
          </w:tcPr>
          <w:p>
            <w:pPr>
              <w:pStyle w:val="TableContents"/>
              <w:bidi w:val="0"/>
              <w:spacing w:before="0" w:after="0"/>
              <w:ind w:left="324" w:right="0" w:hanging="144"/>
              <w:jc w:val="left"/>
              <w:rPr/>
            </w:pPr>
            <w:r>
              <w:rPr/>
              <w:t>% Change in FV</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7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bidi w:val="0"/>
              <w:spacing w:before="0" w:after="0"/>
              <w:jc w:val="right"/>
              <w:rPr/>
            </w:pPr>
            <w:r>
              <w:rPr/>
              <w:t>0.90</w:t>
            </w:r>
          </w:p>
        </w:tc>
        <w:tc>
          <w:tcPr>
            <w:tcW w:w="21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bidi w:val="0"/>
              <w:spacing w:before="0" w:after="0"/>
              <w:jc w:val="right"/>
              <w:rPr/>
            </w:pPr>
            <w:r>
              <w:rPr/>
              <w:t>0.71</w:t>
            </w:r>
          </w:p>
        </w:tc>
        <w:tc>
          <w:tcPr>
            <w:tcW w:w="21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bidi w:val="0"/>
              <w:spacing w:before="0" w:after="0"/>
              <w:jc w:val="right"/>
              <w:rPr/>
            </w:pPr>
            <w:r>
              <w:rPr/>
              <w:t>0.40</w:t>
            </w:r>
          </w:p>
        </w:tc>
        <w:tc>
          <w:tcPr>
            <w:tcW w:w="21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pPr>
            <w:r>
              <w:rPr/>
              <w:t>(0.46</w:t>
            </w:r>
          </w:p>
        </w:tc>
        <w:tc>
          <w:tcPr>
            <w:tcW w:w="241"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pPr>
            <w:r>
              <w:rPr/>
              <w:t>(0.99</w:t>
            </w:r>
          </w:p>
        </w:tc>
        <w:tc>
          <w:tcPr>
            <w:tcW w:w="241"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pPr>
            <w:r>
              <w:rPr/>
              <w:t>(1.56</w:t>
            </w:r>
          </w:p>
        </w:tc>
        <w:tc>
          <w:tcPr>
            <w:tcW w:w="263" w:type="dxa"/>
            <w:tcBorders/>
            <w:shd w:fill="CCEEFF" w:val="clear"/>
            <w:vAlign w:val="bottom"/>
          </w:tcPr>
          <w:p>
            <w:pPr>
              <w:pStyle w:val="TableContents"/>
              <w:bidi w:val="0"/>
              <w:spacing w:before="0" w:after="0"/>
              <w:jc w:val="left"/>
              <w:rPr/>
            </w:pPr>
            <w:r>
              <w:rPr/>
              <w:t>)%</w:t>
            </w:r>
          </w:p>
        </w:tc>
      </w:tr>
    </w:tbl>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sensitivity analysis is hypothetical and is presented solely to assist an analysis of the possible effects on the fair value under various scenarios. It is not a prediction of the amount or likelihood of a change in any particular scenario. In particular, the results are calculated by stressing a particular economic assumption independent of changes in any other assumption. In practice, changes in one factor may result in changes in another, which might counteract or amplify the sensitivities. In addition, changes in the fair value based on a 10% variation in an assumption generally may not be extrapolated because the relationship of the change in the assumption to the change in fair value may not be linear.</w:t>
      </w:r>
    </w:p>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76</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Counterparty Risk</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When we engage in repurchase transactions, we generally sell securities to lenders (i.e., the repurchase agreement counterparties) and receive cash from the lenders. The lenders are obligated to resell the same securities back to us at the end of the term of the transaction. Because the cash we receive from the lender when we initially sell the securities to the lender is less than the value of those securities (this difference is the haircut), if the lender defaults on its obligation to resell the same securities back to us we would incur a loss on the transaction equal to the amount of the haircut (assuming there was no change in the value of the securities). As of June 30, 2026, the Company’s exposure (defined as the amount of cash and securities pledged as collateral, less the borrowing under the repurchase agreement) to any of the counterparties under the repurchase agreements did not exceed five percent of the Company’s equity.</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Our interest rate swaps, Eris SOFR swap futures and U.S. Treasury futures contracts are required to be cleared on an exchange which greatly mitigates, but does not entirely eliminate, counterparty risk.</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Our investments in Servicing Related Assets are dependent on the applicable mortgage sub-servicer to perform its sub-servicing obligations. If our sub-servicer fails to perform its obligations and is terminated by one or more Agencies as an approved servicer, the value of the MSRs being subserviced by that sub-servicer may be adversely affected. In addition, when we purchase MSRs from third parties, we rely, to a certain extent, on the ability and willingness of the sellers to perform their contractual obligations to remedy breaches of representations and warranties or to repurchase the affected loan and indemnify us for any losses.</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Funding Risk</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To the extent available on desirable terms, we expect to continue to finance our RMBS with repurchase agreement financing. We also anticipate continuing to finance our MSRs with bank loans secured by a pledge of those MSRs. Over time, as market conditions change, in addition to these financings, we may use other forms of leverage. Weakness in the financial markets, the residential mortgage markets and the economy generally could adversely affect one or more of our potential lenders and could cause one or more of our potential lenders to be unwilling or unable to provide us with financing or to increase the costs of that financing.</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Liquidity Risk</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Our Servicing Related Assets, as well as some of the assets that may in the future comprise our portfolio, are not publicly traded. A portion of these assets may be subject to legal and other restrictions on resale or will otherwise be less liquid than publicly traded securities. The illiquidity of these assets may make it difficult for us to sell such assets if the need or desire arises, including in response to changes in economic and other conditions.</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Credit Risk</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Although we expect relatively low credit risk with respect to our portfolio of Agency RMBS, our investments in MSRs and any CMOs we may acquire expose us to the credit risk of borrowers.</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Inflation Risk</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Almost all of our assets and liabilities are financial in nature. As a result, changes in interest rates and other factors drive our performance more directly than does inflation. However, changes in interest rates generally correlate with inflation rates or changes in inflation rates, and therefore adverse changes in inflation or changes in inflation expectations can lead to lower returns on our investments than originally anticipated. Our consolidated financial statements are prepared in accordance with GAAP. Our activities and consolidated balance sheets are measured primarily with reference to fair value without considering inflation.</w:t>
      </w:r>
    </w:p>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77</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Normal"/>
        <w:bidi w:val="0"/>
        <w:spacing w:before="0" w:after="0"/>
        <w:jc w:val="left"/>
        <w:rPr>
          <w:sz w:val="4"/>
          <w:szCs w:val="4"/>
        </w:rPr>
      </w:pPr>
      <w:r>
        <w:rPr>
          <w:sz w:val="4"/>
          <w:szCs w:val="4"/>
        </w:rPr>
      </w:r>
      <w:bookmarkStart w:id="20" w:name="ControlsandProcedures"/>
      <w:bookmarkStart w:id="21" w:name="ControlsandProcedures"/>
      <w:bookmarkEnd w:id="21"/>
    </w:p>
    <w:tbl>
      <w:tblPr>
        <w:tblW w:w="2875" w:type="dxa"/>
        <w:jc w:val="left"/>
        <w:tblInd w:w="0" w:type="dxa"/>
        <w:tblLayout w:type="fixed"/>
        <w:tblCellMar>
          <w:top w:w="0" w:type="dxa"/>
          <w:left w:w="0" w:type="dxa"/>
          <w:bottom w:w="0" w:type="dxa"/>
          <w:right w:w="0" w:type="dxa"/>
        </w:tblCellMar>
      </w:tblPr>
      <w:tblGrid>
        <w:gridCol w:w="740"/>
        <w:gridCol w:w="2135"/>
      </w:tblGrid>
      <w:tr>
        <w:trPr/>
        <w:tc>
          <w:tcPr>
            <w:tcW w:w="740" w:type="dxa"/>
            <w:tcBorders/>
            <w:vAlign w:val="center"/>
          </w:tcPr>
          <w:p>
            <w:pPr>
              <w:pStyle w:val="TableContents"/>
              <w:bidi w:val="0"/>
              <w:spacing w:before="0" w:after="283"/>
              <w:jc w:val="left"/>
              <w:rPr>
                <w:b/>
                <w:color w:val="000000"/>
              </w:rPr>
            </w:pPr>
            <w:r>
              <w:rPr>
                <w:b/>
                <w:color w:val="000000"/>
              </w:rPr>
              <w:t>Item 4.</w:t>
            </w:r>
          </w:p>
        </w:tc>
        <w:tc>
          <w:tcPr>
            <w:tcW w:w="2135" w:type="dxa"/>
            <w:tcBorders/>
            <w:vAlign w:val="center"/>
          </w:tcPr>
          <w:p>
            <w:pPr>
              <w:pStyle w:val="TableContents"/>
              <w:bidi w:val="0"/>
              <w:spacing w:before="0" w:after="0"/>
              <w:jc w:val="left"/>
              <w:rPr>
                <w:b/>
                <w:color w:val="000000"/>
                <w:sz w:val="20"/>
              </w:rPr>
            </w:pPr>
            <w:r>
              <w:rPr>
                <w:b/>
                <w:color w:val="000000"/>
                <w:sz w:val="20"/>
              </w:rPr>
              <w:t>Controls and Procedures</w:t>
            </w:r>
          </w:p>
        </w:tc>
      </w:tr>
    </w:tbl>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b/>
          <w:color w:val="000000"/>
          <w:sz w:val="20"/>
          <w:shd w:fill="FFFFFF" w:val="clear"/>
        </w:rPr>
        <w:t xml:space="preserve">Disclosure Controls and Procedures. </w:t>
      </w:r>
      <w:r>
        <w:rPr>
          <w:rFonts w:ascii="Times New Roman" w:hAnsi="Times New Roman"/>
          <w:color w:val="000000"/>
          <w:sz w:val="20"/>
          <w:shd w:fill="FFFFFF" w:val="clear"/>
        </w:rPr>
        <w:t>The Company’s President and Chief Executive Officer and the Company’s Chief Financial Officer have evaluated the effectiveness of the Company’s disclosure controls and procedures (as such term is defined in Rules 13a-15(e) and 15d-15(e) under the Exchange Act) as of the end of the period covered by this report. The Company’s disclosure controls and procedures are designed to provide reasonable assurance that information is recorded, processed, summarized and reported accurately and on a timely basis. Based on such evaluation, the Company’s President and Chief Executive Officer and the Company’s Chief Financial Officer have concluded that, as of the end of such period, the Company’s disclosure controls and procedures are effective.</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b/>
          <w:color w:val="000000"/>
          <w:sz w:val="20"/>
          <w:shd w:fill="FFFFFF" w:val="clear"/>
        </w:rPr>
        <w:t xml:space="preserve">Changes in Internal Control Over Financial Reporting. </w:t>
      </w:r>
      <w:r>
        <w:rPr>
          <w:rFonts w:ascii="Times New Roman" w:hAnsi="Times New Roman"/>
          <w:color w:val="000000"/>
          <w:sz w:val="20"/>
          <w:shd w:fill="FFFFFF" w:val="clear"/>
        </w:rPr>
        <w:t>There have been no changes in the Company’s internal control over financial reporting (as such term is defined in Rules 13a-15(f) and 15d-15(f) under the Exchange Act) during the most recently completed fiscal quarter that have materially affected, or are reasonably likely to materially affect, the Company’s internal control over financial reporting.</w:t>
      </w:r>
    </w:p>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78</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 xml:space="preserve">PART II. </w:t>
      </w:r>
      <w:bookmarkStart w:id="22" w:name="OTHERINFORMATION"/>
      <w:bookmarkEnd w:id="22"/>
      <w:r>
        <w:rPr>
          <w:rFonts w:ascii="Times New Roman" w:hAnsi="Times New Roman"/>
          <w:b/>
          <w:color w:val="000000"/>
          <w:sz w:val="20"/>
          <w:shd w:fill="FFFFFF" w:val="clear"/>
        </w:rPr>
        <w:t>OTHER INFORMATION</w:t>
      </w:r>
    </w:p>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23" w:name="LegalProceedings"/>
      <w:bookmarkStart w:id="24" w:name="LegalProceedings"/>
      <w:bookmarkEnd w:id="24"/>
    </w:p>
    <w:tbl>
      <w:tblPr>
        <w:tblW w:w="2350" w:type="dxa"/>
        <w:jc w:val="left"/>
        <w:tblInd w:w="0" w:type="dxa"/>
        <w:tblLayout w:type="fixed"/>
        <w:tblCellMar>
          <w:top w:w="0" w:type="dxa"/>
          <w:left w:w="0" w:type="dxa"/>
          <w:bottom w:w="0" w:type="dxa"/>
          <w:right w:w="0" w:type="dxa"/>
        </w:tblCellMar>
      </w:tblPr>
      <w:tblGrid>
        <w:gridCol w:w="740"/>
        <w:gridCol w:w="1610"/>
      </w:tblGrid>
      <w:tr>
        <w:trPr/>
        <w:tc>
          <w:tcPr>
            <w:tcW w:w="740" w:type="dxa"/>
            <w:tcBorders/>
            <w:vAlign w:val="center"/>
          </w:tcPr>
          <w:p>
            <w:pPr>
              <w:pStyle w:val="TableContents"/>
              <w:bidi w:val="0"/>
              <w:spacing w:before="0" w:after="283"/>
              <w:jc w:val="left"/>
              <w:rPr>
                <w:b/>
                <w:color w:val="000000"/>
              </w:rPr>
            </w:pPr>
            <w:r>
              <w:rPr>
                <w:b/>
                <w:color w:val="000000"/>
              </w:rPr>
              <w:t>Item 1.</w:t>
            </w:r>
          </w:p>
        </w:tc>
        <w:tc>
          <w:tcPr>
            <w:tcW w:w="1610" w:type="dxa"/>
            <w:tcBorders/>
            <w:vAlign w:val="center"/>
          </w:tcPr>
          <w:p>
            <w:pPr>
              <w:pStyle w:val="TableContents"/>
              <w:bidi w:val="0"/>
              <w:spacing w:before="0" w:after="0"/>
              <w:jc w:val="left"/>
              <w:rPr>
                <w:b/>
                <w:color w:val="000000"/>
                <w:sz w:val="20"/>
              </w:rPr>
            </w:pPr>
            <w:r>
              <w:rPr>
                <w:b/>
                <w:color w:val="000000"/>
                <w:sz w:val="20"/>
              </w:rPr>
              <w:t>Legal Proceedings</w:t>
            </w:r>
          </w:p>
        </w:tc>
      </w:tr>
    </w:tbl>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From time to time, the Company may be involved in various claims and legal actions in the ordinary course of business. As of June 30, 2026, the Company is not aware of any material legal or regulatory claims or proceedings.</w:t>
      </w:r>
    </w:p>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25" w:name="RiskFactors"/>
      <w:bookmarkStart w:id="26" w:name="RiskFactors"/>
      <w:bookmarkEnd w:id="26"/>
    </w:p>
    <w:tbl>
      <w:tblPr>
        <w:tblW w:w="2020" w:type="dxa"/>
        <w:jc w:val="left"/>
        <w:tblInd w:w="0" w:type="dxa"/>
        <w:tblLayout w:type="fixed"/>
        <w:tblCellMar>
          <w:top w:w="0" w:type="dxa"/>
          <w:left w:w="0" w:type="dxa"/>
          <w:bottom w:w="0" w:type="dxa"/>
          <w:right w:w="0" w:type="dxa"/>
        </w:tblCellMar>
      </w:tblPr>
      <w:tblGrid>
        <w:gridCol w:w="920"/>
        <w:gridCol w:w="1100"/>
      </w:tblGrid>
      <w:tr>
        <w:trPr/>
        <w:tc>
          <w:tcPr>
            <w:tcW w:w="920" w:type="dxa"/>
            <w:tcBorders/>
            <w:vAlign w:val="center"/>
          </w:tcPr>
          <w:p>
            <w:pPr>
              <w:pStyle w:val="TableContents"/>
              <w:bidi w:val="0"/>
              <w:spacing w:before="0" w:after="283"/>
              <w:jc w:val="left"/>
              <w:rPr>
                <w:b/>
                <w:color w:val="000000"/>
              </w:rPr>
            </w:pPr>
            <w:r>
              <w:rPr>
                <w:b/>
                <w:color w:val="000000"/>
              </w:rPr>
              <w:t>Item 1A.</w:t>
            </w:r>
          </w:p>
        </w:tc>
        <w:tc>
          <w:tcPr>
            <w:tcW w:w="1100" w:type="dxa"/>
            <w:tcBorders/>
            <w:vAlign w:val="center"/>
          </w:tcPr>
          <w:p>
            <w:pPr>
              <w:pStyle w:val="TableContents"/>
              <w:bidi w:val="0"/>
              <w:spacing w:before="0" w:after="0"/>
              <w:jc w:val="left"/>
              <w:rPr>
                <w:b/>
                <w:color w:val="000000"/>
                <w:sz w:val="20"/>
              </w:rPr>
            </w:pPr>
            <w:r>
              <w:rPr>
                <w:b/>
                <w:color w:val="000000"/>
                <w:sz w:val="20"/>
              </w:rPr>
              <w:t>Risk Factors</w:t>
            </w:r>
          </w:p>
        </w:tc>
      </w:tr>
    </w:tbl>
    <w:p>
      <w:pPr>
        <w:pStyle w:val="TextBody"/>
        <w:bidi w:val="0"/>
        <w:spacing w:before="0" w:after="0"/>
        <w:jc w:val="left"/>
        <w:rPr>
          <w:sz w:val="20"/>
        </w:rPr>
      </w:pPr>
      <w:r>
        <w:rPr>
          <w:sz w:val="20"/>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In addition to the other information set forth in this Quarterly Report on Form 10-Q, the reader should carefully consider the factors discussed in Part I, “Item 1A. Risk Factors” in the Company’s Annual Report on Form 10-K for the year ended December 31, 2025. Except as set forth below, there have been no material changes in the Company's risk factors from those disclosed in Part I, Item 1A, of the Company's Annual Report on Form 10-K for the fiscal year ended December 31, 2025.</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Risks Related to the Pending Mergers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The exchange ratio is fixed and will not be adjusted in the event of any change to MITT’s stock price or our stock price.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As a result of the Mergers, each share of our common stock issued and outstanding immediately prior to the effective time of the Company Merger (other than Cancelled Shares) will convert into the right to receive a fixed combination of stock and cash, consisting of (A) from MITT, (i) that number of validly issued, fully paid and non-assessable shares of MITT Common Stock equal to 0.3063x, and (ii) $0.41 per share in cash, without interest, and (B) from MITT Manager, $0.52 per share in cash. The 0.3063x exchange ratio is fixed and will not be adjusted to reflect changes in MITT’s stock price or our stock price.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Changes in MITT’s stock price prior to the Mergers will affect the market value of the consideration that our common stockholders will be entitled to receive at the effective time of the Company Merger. Stock price changes may result from a variety of factors (many of which are beyond the control of us and MITT), including the following factors:</w:t>
      </w:r>
    </w:p>
    <w:p>
      <w:pPr>
        <w:pStyle w:val="TextBody"/>
        <w:bidi w:val="0"/>
        <w:spacing w:before="0" w:after="0"/>
        <w:jc w:val="left"/>
        <w:rPr>
          <w:color w:val="000000"/>
          <w:shd w:fill="FFFFFF" w:val="clear"/>
        </w:rPr>
      </w:pPr>
      <w:r>
        <w:rPr>
          <w:color w:val="000000"/>
          <w:shd w:fill="FFFFFF" w:val="clear"/>
        </w:rPr>
        <w:t> </w:t>
      </w:r>
    </w:p>
    <w:tbl>
      <w:tblPr>
        <w:tblW w:w="7915" w:type="dxa"/>
        <w:jc w:val="left"/>
        <w:tblInd w:w="0" w:type="dxa"/>
        <w:tblLayout w:type="fixed"/>
        <w:tblCellMar>
          <w:top w:w="0" w:type="dxa"/>
          <w:left w:w="0" w:type="dxa"/>
          <w:bottom w:w="0" w:type="dxa"/>
          <w:right w:w="0" w:type="dxa"/>
        </w:tblCellMar>
      </w:tblPr>
      <w:tblGrid>
        <w:gridCol w:w="75"/>
        <w:gridCol w:w="110"/>
        <w:gridCol w:w="77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jc w:val="left"/>
              <w:rPr/>
            </w:pPr>
            <w:r>
              <w:rPr/>
              <w:t>•</w:t>
            </w:r>
          </w:p>
        </w:tc>
        <w:tc>
          <w:tcPr>
            <w:tcW w:w="77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changes in the respective businesses, operations, assets, liabilities and prospects of MITT or us;</w:t>
            </w:r>
          </w:p>
        </w:tc>
      </w:tr>
    </w:tbl>
    <w:p>
      <w:pPr>
        <w:pStyle w:val="TextBody"/>
        <w:bidi w:val="0"/>
        <w:spacing w:before="0" w:after="0"/>
        <w:jc w:val="left"/>
        <w:rPr/>
      </w:pPr>
      <w:r>
        <w:rPr/>
      </w:r>
    </w:p>
    <w:tbl>
      <w:tblPr>
        <w:tblW w:w="9835" w:type="dxa"/>
        <w:jc w:val="left"/>
        <w:tblInd w:w="0" w:type="dxa"/>
        <w:tblLayout w:type="fixed"/>
        <w:tblCellMar>
          <w:top w:w="0" w:type="dxa"/>
          <w:left w:w="0" w:type="dxa"/>
          <w:bottom w:w="0" w:type="dxa"/>
          <w:right w:w="0" w:type="dxa"/>
        </w:tblCellMar>
      </w:tblPr>
      <w:tblGrid>
        <w:gridCol w:w="75"/>
        <w:gridCol w:w="110"/>
        <w:gridCol w:w="96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jc w:val="left"/>
              <w:rPr/>
            </w:pPr>
            <w:r>
              <w:rPr/>
              <w:t>•</w:t>
            </w:r>
          </w:p>
        </w:tc>
        <w:tc>
          <w:tcPr>
            <w:tcW w:w="96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changes in market assessments of the respective businesses, operations, financial position and prospects of MITT or us;</w:t>
            </w:r>
          </w:p>
        </w:tc>
      </w:tr>
    </w:tbl>
    <w:p>
      <w:pPr>
        <w:pStyle w:val="TextBody"/>
        <w:bidi w:val="0"/>
        <w:spacing w:before="0" w:after="0"/>
        <w:jc w:val="left"/>
        <w:rPr/>
      </w:pPr>
      <w:r>
        <w:rPr/>
      </w:r>
    </w:p>
    <w:tbl>
      <w:tblPr>
        <w:tblW w:w="6115" w:type="dxa"/>
        <w:jc w:val="left"/>
        <w:tblInd w:w="0" w:type="dxa"/>
        <w:tblLayout w:type="fixed"/>
        <w:tblCellMar>
          <w:top w:w="0" w:type="dxa"/>
          <w:left w:w="0" w:type="dxa"/>
          <w:bottom w:w="0" w:type="dxa"/>
          <w:right w:w="0" w:type="dxa"/>
        </w:tblCellMar>
      </w:tblPr>
      <w:tblGrid>
        <w:gridCol w:w="75"/>
        <w:gridCol w:w="110"/>
        <w:gridCol w:w="59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jc w:val="left"/>
              <w:rPr/>
            </w:pPr>
            <w:r>
              <w:rPr/>
              <w:t>•</w:t>
            </w:r>
          </w:p>
        </w:tc>
        <w:tc>
          <w:tcPr>
            <w:tcW w:w="5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market assessments of the likelihood that the Mergers will be completed;</w:t>
            </w:r>
          </w:p>
        </w:tc>
      </w:tr>
    </w:tbl>
    <w:p>
      <w:pPr>
        <w:pStyle w:val="TextBody"/>
        <w:bidi w:val="0"/>
        <w:spacing w:before="0" w:after="0"/>
        <w:jc w:val="left"/>
        <w:rPr/>
      </w:pPr>
      <w:r>
        <w:rPr/>
      </w:r>
    </w:p>
    <w:tbl>
      <w:tblPr>
        <w:tblW w:w="3115" w:type="dxa"/>
        <w:jc w:val="left"/>
        <w:tblInd w:w="0" w:type="dxa"/>
        <w:tblLayout w:type="fixed"/>
        <w:tblCellMar>
          <w:top w:w="0" w:type="dxa"/>
          <w:left w:w="0" w:type="dxa"/>
          <w:bottom w:w="0" w:type="dxa"/>
          <w:right w:w="0" w:type="dxa"/>
        </w:tblCellMar>
      </w:tblPr>
      <w:tblGrid>
        <w:gridCol w:w="75"/>
        <w:gridCol w:w="110"/>
        <w:gridCol w:w="29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jc w:val="left"/>
              <w:rPr/>
            </w:pPr>
            <w:r>
              <w:rPr/>
              <w:t>•</w:t>
            </w:r>
          </w:p>
        </w:tc>
        <w:tc>
          <w:tcPr>
            <w:tcW w:w="2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expected timing of the Mergers;</w:t>
            </w:r>
          </w:p>
        </w:tc>
      </w:tr>
    </w:tbl>
    <w:p>
      <w:pPr>
        <w:pStyle w:val="TextBody"/>
        <w:bidi w:val="0"/>
        <w:spacing w:before="0" w:after="0"/>
        <w:jc w:val="left"/>
        <w:rPr/>
      </w:pPr>
      <w:r>
        <w:rPr/>
      </w:r>
    </w:p>
    <w:tbl>
      <w:tblPr>
        <w:tblW w:w="4690" w:type="dxa"/>
        <w:jc w:val="left"/>
        <w:tblInd w:w="0" w:type="dxa"/>
        <w:tblLayout w:type="fixed"/>
        <w:tblCellMar>
          <w:top w:w="0" w:type="dxa"/>
          <w:left w:w="0" w:type="dxa"/>
          <w:bottom w:w="0" w:type="dxa"/>
          <w:right w:w="0" w:type="dxa"/>
        </w:tblCellMar>
      </w:tblPr>
      <w:tblGrid>
        <w:gridCol w:w="75"/>
        <w:gridCol w:w="110"/>
        <w:gridCol w:w="45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jc w:val="left"/>
              <w:rPr/>
            </w:pPr>
            <w:r>
              <w:rPr/>
              <w:t>•</w:t>
            </w:r>
          </w:p>
        </w:tc>
        <w:tc>
          <w:tcPr>
            <w:tcW w:w="45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interest rates, general market and economic conditions;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jc w:val="left"/>
              <w:rPr/>
            </w:pPr>
            <w:r>
              <w:rPr/>
              <w:t>•</w:t>
            </w:r>
          </w:p>
        </w:tc>
        <w:tc>
          <w:tcPr>
            <w:tcW w:w="100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federal, state and local legislation, governmental regulation and legal developments in the businesses in which MITT and we operate; and</w:t>
            </w:r>
          </w:p>
        </w:tc>
      </w:tr>
    </w:tbl>
    <w:p>
      <w:pPr>
        <w:pStyle w:val="TextBody"/>
        <w:bidi w:val="0"/>
        <w:spacing w:before="0" w:after="0"/>
        <w:jc w:val="left"/>
        <w:rPr/>
      </w:pPr>
      <w:r>
        <w:rPr/>
      </w:r>
    </w:p>
    <w:tbl>
      <w:tblPr>
        <w:tblW w:w="4030" w:type="dxa"/>
        <w:jc w:val="left"/>
        <w:tblInd w:w="0" w:type="dxa"/>
        <w:tblLayout w:type="fixed"/>
        <w:tblCellMar>
          <w:top w:w="0" w:type="dxa"/>
          <w:left w:w="0" w:type="dxa"/>
          <w:bottom w:w="0" w:type="dxa"/>
          <w:right w:w="0" w:type="dxa"/>
        </w:tblCellMar>
      </w:tblPr>
      <w:tblGrid>
        <w:gridCol w:w="75"/>
        <w:gridCol w:w="110"/>
        <w:gridCol w:w="38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jc w:val="left"/>
              <w:rPr/>
            </w:pPr>
            <w:r>
              <w:rPr/>
              <w:t>•</w:t>
            </w:r>
          </w:p>
        </w:tc>
        <w:tc>
          <w:tcPr>
            <w:tcW w:w="38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factors beyond the control of MITT or us.</w:t>
            </w:r>
          </w:p>
        </w:tc>
      </w:tr>
    </w:tbl>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MITT’s stock price at the closing of the Mergers may vary from its price on the date the Merger Agreement was executed. As a result, the market value of the MITT common stock that our stockholders will receive pursuant to the Merger Agreement will also vary. If the price of MITT’s common stock declines between the date the Merger Agreement was signed and the closing of the Mergers, including for any of the reasons described above, our common stockholders will receive MITT common stock that has a market value upon completion of the Mergers that is less than the market value of such shares calculated pursuant to the exchange ratio on the date the Merger Agreement was signed.</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Therefore, since the number of shares of MITT common stock issuable pursuant to the Merger Agreement is fixed, our common stockholders cannot be sure of the market value of the MITT common stock they will receive upon consummation of the Mergers.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Completion of the Mergers is subject to a number of conditions, some or all of which may not be satisfied, or completed on a timely basis, if at all. Failure to complete the Mergers could have material adverse effects on our business.</w:t>
      </w:r>
    </w:p>
    <w:p>
      <w:pPr>
        <w:pStyle w:val="TextBody"/>
        <w:bidi w:val="0"/>
        <w:spacing w:before="0" w:after="0"/>
        <w:jc w:val="left"/>
        <w:rPr>
          <w:rFonts w:ascii="Times New Roman" w:hAnsi="Times New Roman"/>
          <w:b/>
          <w:i/>
          <w:sz w:val="20"/>
        </w:rPr>
      </w:pPr>
      <w:r>
        <w:rPr>
          <w:rFonts w:ascii="Times New Roman" w:hAnsi="Times New Roman"/>
          <w:b/>
          <w:i/>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79</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The completion of the Mergers are subject to a number of conditions, including, among other things, the approval of each of CHMI’s and MITT’s stockholders, the effectiveness of a registration statement on Form S-4 under the Securities Act of 1933, as amended, the listing on the NYSE of the MITT common stock and the MITT preferred stock issuable in the Merger, and the receipt of certain regulatory approvals, which make the completion and timing of the Mergers uncertain. The failure to satisfy any or all of the required conditions could delay the completion of the Mergers for a significant period of time or prevent them from occurring at all. There can be no assurance that the conditions precedent to the completion of the Mergers will be satisfied or waived, or that the Merger will be completed.</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If the Mergers are not completed, we may be materially adversely affected and, without realizing any of the benefits of having completed the Mergers, will be subject to a number of risks, including the following:</w:t>
      </w:r>
    </w:p>
    <w:p>
      <w:pPr>
        <w:pStyle w:val="TextBody"/>
        <w:bidi w:val="0"/>
        <w:spacing w:before="0" w:after="0"/>
        <w:jc w:val="left"/>
        <w:rPr>
          <w:color w:val="000000"/>
          <w:shd w:fill="FFFFFF" w:val="clear"/>
        </w:rPr>
      </w:pPr>
      <w:r>
        <w:rPr>
          <w:color w:val="000000"/>
          <w:shd w:fill="FFFFFF" w:val="clear"/>
        </w:rPr>
        <w:t> </w:t>
      </w:r>
    </w:p>
    <w:tbl>
      <w:tblPr>
        <w:tblW w:w="4458" w:type="dxa"/>
        <w:jc w:val="left"/>
        <w:tblInd w:w="0" w:type="dxa"/>
        <w:tblLayout w:type="fixed"/>
        <w:tblCellMar>
          <w:top w:w="0" w:type="dxa"/>
          <w:left w:w="0" w:type="dxa"/>
          <w:bottom w:w="0" w:type="dxa"/>
          <w:right w:w="0" w:type="dxa"/>
        </w:tblCellMar>
      </w:tblPr>
      <w:tblGrid>
        <w:gridCol w:w="38"/>
        <w:gridCol w:w="110"/>
        <w:gridCol w:w="431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43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market price of our common stock could decline;</w:t>
            </w:r>
          </w:p>
        </w:tc>
      </w:tr>
    </w:tbl>
    <w:p>
      <w:pPr>
        <w:pStyle w:val="TextBody"/>
        <w:bidi w:val="0"/>
        <w:spacing w:before="0" w:after="0"/>
        <w:jc w:val="left"/>
        <w:rPr>
          <w:color w:val="000000"/>
          <w:shd w:fill="FFFFFF" w:val="clear"/>
        </w:rPr>
      </w:pPr>
      <w:r>
        <w:rPr>
          <w:color w:val="000000"/>
          <w:shd w:fill="FFFFFF" w:val="clear"/>
        </w:rPr>
        <w:t> </w:t>
      </w:r>
    </w:p>
    <w:tbl>
      <w:tblPr>
        <w:tblW w:w="6603" w:type="dxa"/>
        <w:jc w:val="left"/>
        <w:tblInd w:w="0" w:type="dxa"/>
        <w:tblLayout w:type="fixed"/>
        <w:tblCellMar>
          <w:top w:w="0" w:type="dxa"/>
          <w:left w:w="0" w:type="dxa"/>
          <w:bottom w:w="0" w:type="dxa"/>
          <w:right w:w="0" w:type="dxa"/>
        </w:tblCellMar>
      </w:tblPr>
      <w:tblGrid>
        <w:gridCol w:w="38"/>
        <w:gridCol w:w="110"/>
        <w:gridCol w:w="645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64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we could owe a substantial termination fee to MITT in specified circumstances;</w:t>
            </w:r>
          </w:p>
        </w:tc>
      </w:tr>
    </w:tbl>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time and resources, financial and other, committed by our management to matters relating to the Mergers could otherwise have been devoted to pursuing other beneficial opportunities;</w:t>
            </w:r>
          </w:p>
        </w:tc>
      </w:tr>
    </w:tbl>
    <w:p>
      <w:pPr>
        <w:pStyle w:val="TextBody"/>
        <w:bidi w:val="0"/>
        <w:spacing w:before="0" w:after="0"/>
        <w:jc w:val="left"/>
        <w:rPr>
          <w:color w:val="000000"/>
          <w:shd w:fill="FFFFFF" w:val="clear"/>
        </w:rPr>
      </w:pPr>
      <w:r>
        <w:rPr>
          <w:color w:val="000000"/>
          <w:shd w:fill="FFFFFF" w:val="clear"/>
        </w:rPr>
        <w:t> </w:t>
      </w:r>
    </w:p>
    <w:tbl>
      <w:tblPr>
        <w:tblW w:w="9768" w:type="dxa"/>
        <w:jc w:val="left"/>
        <w:tblInd w:w="0" w:type="dxa"/>
        <w:tblLayout w:type="fixed"/>
        <w:tblCellMar>
          <w:top w:w="0" w:type="dxa"/>
          <w:left w:w="0" w:type="dxa"/>
          <w:bottom w:w="0" w:type="dxa"/>
          <w:right w:w="0" w:type="dxa"/>
        </w:tblCellMar>
      </w:tblPr>
      <w:tblGrid>
        <w:gridCol w:w="38"/>
        <w:gridCol w:w="110"/>
        <w:gridCol w:w="962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96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we may experience negative reactions from the financial markets or from our counterparties, lenders or employees; and</w:t>
            </w:r>
          </w:p>
        </w:tc>
      </w:tr>
    </w:tbl>
    <w:p>
      <w:pPr>
        <w:pStyle w:val="TextBody"/>
        <w:bidi w:val="0"/>
        <w:spacing w:before="0" w:after="0"/>
        <w:jc w:val="left"/>
        <w:rPr>
          <w:color w:val="000000"/>
          <w:shd w:fill="FFFFFF" w:val="clear"/>
        </w:rPr>
      </w:pPr>
      <w:r>
        <w:rPr>
          <w:color w:val="000000"/>
          <w:shd w:fill="FFFFFF" w:val="clear"/>
        </w:rPr>
        <w:t> </w:t>
      </w:r>
    </w:p>
    <w:tbl>
      <w:tblPr>
        <w:tblW w:w="8388" w:type="dxa"/>
        <w:jc w:val="left"/>
        <w:tblInd w:w="0" w:type="dxa"/>
        <w:tblLayout w:type="fixed"/>
        <w:tblCellMar>
          <w:top w:w="0" w:type="dxa"/>
          <w:left w:w="0" w:type="dxa"/>
          <w:bottom w:w="0" w:type="dxa"/>
          <w:right w:w="0" w:type="dxa"/>
        </w:tblCellMar>
      </w:tblPr>
      <w:tblGrid>
        <w:gridCol w:w="38"/>
        <w:gridCol w:w="110"/>
        <w:gridCol w:w="824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82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we will be required to pay our costs relating to the Mergers whether or not the Mergers are completed.</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In addition, if the Mergers are not completed, we could be subject to litigation related to any failure to complete the Mergers or related to any enforcement proceeding commenced against us to perform our obligations under the Merger Agreement. Any of these risks could materially and adversely impact our ongoing business, financial condition, financial results and stock price.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Similarly, delays in the completion of the Mergers could, among other things, result in additional transaction costs, loss of revenue or other negative effects associated with delay and uncertainty about completion of the Mergers and could materially and adversely impact our ongoing business, financial condition, financial results and stock price following the completion of the Mergers.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In addition, if the Merger Agreement is terminated under certain circumstances specified therein, we may be required to pay MITT a termination fee equal to 4.0% of our equity value.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The pendency of the Mergers could adversely affect our businesses and operations.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In connection with the pendency of the Mergers, it is possible that some counterparties, servicers, lenders and other persons with whom we have a business relationship may delay or defer certain business decisions or might decide to seek to terminate, change or renegotiate their relationships with us, as the case may be, as a result of the Mergers or otherwise, which could negatively affect our financial condition, results of operations and/or cash flows, as well as the market price of our common stock, regardless of whether the Mergers are completed. Similarly, our employees may experience uncertainty about their future roles with the combined company following the Mergers, which may adversely affect our ability to attract and retain key personnel during the pendency of the Mergers. In addition, due to covenants in the Merger Agreement, we may be unable (without MITT’s prior written consent), during the pendency of the Mergers, to undertake certain business activities, including our ability in certain cases to modify or terminate contracts, acquire or dispose of assets, incur indebtedness, issue equity securities, incur capital expenditures or settle claims. In addition, our quarterly dividends on common stock are capped at $0.10 per share during the pendency of the Mergers. Such limitations could adversely affect our business and operations prior to the completion of the Mergers.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The Merger Agreement contains provisions that could make it more difficult for a third party to acquire us or could result in any competing proposal being at a lower price than it might otherwise be.</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80</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We are subject to certain restrictions on our ability to solicit alternative acquisition proposals from third parties, to enter into an acquisition agreement with respect to an alternative acquisition proposal and to participate in discussions or negotiations with or provide non-public information to any person relating to an alternative acquisition proposal, subject to customary exceptions. In addition, we may be required to pay MITT a termination fee equal to 4.0% of our equity value under specified circumstances.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Notwithstanding these restrictions, prior to obtaining the approval of our stockholders, under specified circumstances, our board of directors may change its recommendation of the Mergers, and we may also terminate the Merger Agreement to enter into an acquisition agreement with respect to a superior proposal upon payment of the termination fee described above.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These provisions could make it more difficult for a third party that might have an interest in acquiring all or a significant part of us from considering or proposing such an acquisition, even if we were prepared to pay consideration with a higher per-share cash or market value than the market value proposed to be received in the Mergers, or might result in a potential competing acquirer proposing to pay a lower price than it might otherwise have proposed to pay because of the added expense of the termination fee that may become payable in specified circumstances under the Merger Agreement.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Even if we complete the Mergers, the combined company may fail to realize the anticipated benefits of the Mergers.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No assurance can be given that the anticipated benefits, synergies, growth, profitability, cash flow generation and earnings accretion of the Mergers will be realized by the combined company or, if realized, may be realized more slowly than expected. Further, inherent in transactions such as these are the risks relating to the integration of the two businesses, including the combination of two mortgage REIT portfolios and related operations.</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27" w:name="UnregisteredSalesofEquity"/>
      <w:bookmarkStart w:id="28" w:name="UnregisteredSalesofEquity"/>
      <w:bookmarkEnd w:id="28"/>
    </w:p>
    <w:tbl>
      <w:tblPr>
        <w:tblW w:w="5770" w:type="dxa"/>
        <w:jc w:val="left"/>
        <w:tblInd w:w="0" w:type="dxa"/>
        <w:tblLayout w:type="fixed"/>
        <w:tblCellMar>
          <w:top w:w="0" w:type="dxa"/>
          <w:left w:w="0" w:type="dxa"/>
          <w:bottom w:w="0" w:type="dxa"/>
          <w:right w:w="0" w:type="dxa"/>
        </w:tblCellMar>
      </w:tblPr>
      <w:tblGrid>
        <w:gridCol w:w="740"/>
        <w:gridCol w:w="5030"/>
      </w:tblGrid>
      <w:tr>
        <w:trPr/>
        <w:tc>
          <w:tcPr>
            <w:tcW w:w="740" w:type="dxa"/>
            <w:tcBorders/>
            <w:vAlign w:val="center"/>
          </w:tcPr>
          <w:p>
            <w:pPr>
              <w:pStyle w:val="TableContents"/>
              <w:bidi w:val="0"/>
              <w:spacing w:before="0" w:after="283"/>
              <w:jc w:val="left"/>
              <w:rPr>
                <w:b/>
              </w:rPr>
            </w:pPr>
            <w:r>
              <w:rPr>
                <w:b/>
              </w:rPr>
              <w:t>Item 2.</w:t>
            </w:r>
          </w:p>
        </w:tc>
        <w:tc>
          <w:tcPr>
            <w:tcW w:w="5030" w:type="dxa"/>
            <w:tcBorders/>
            <w:vAlign w:val="center"/>
          </w:tcPr>
          <w:p>
            <w:pPr>
              <w:pStyle w:val="TableContents"/>
              <w:bidi w:val="0"/>
              <w:spacing w:before="0" w:after="0"/>
              <w:jc w:val="left"/>
              <w:rPr>
                <w:b/>
                <w:sz w:val="20"/>
              </w:rPr>
            </w:pPr>
            <w:r>
              <w:rPr>
                <w:b/>
                <w:sz w:val="20"/>
              </w:rPr>
              <w:t>Unregistered Sales of Equity Securities and Use of Proceeds</w:t>
            </w:r>
          </w:p>
        </w:tc>
      </w:tr>
    </w:tbl>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We did not have any unregistered sales of equity securities during the three months ended June 30, 2026.</w:t>
      </w:r>
    </w:p>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29" w:name="DefaultsUponSeniorSecurit"/>
      <w:bookmarkStart w:id="30" w:name="DefaultsUponSeniorSecurit"/>
      <w:bookmarkEnd w:id="30"/>
    </w:p>
    <w:tbl>
      <w:tblPr>
        <w:tblW w:w="3430" w:type="dxa"/>
        <w:jc w:val="left"/>
        <w:tblInd w:w="0" w:type="dxa"/>
        <w:tblLayout w:type="fixed"/>
        <w:tblCellMar>
          <w:top w:w="0" w:type="dxa"/>
          <w:left w:w="0" w:type="dxa"/>
          <w:bottom w:w="0" w:type="dxa"/>
          <w:right w:w="0" w:type="dxa"/>
        </w:tblCellMar>
      </w:tblPr>
      <w:tblGrid>
        <w:gridCol w:w="740"/>
        <w:gridCol w:w="2690"/>
      </w:tblGrid>
      <w:tr>
        <w:trPr/>
        <w:tc>
          <w:tcPr>
            <w:tcW w:w="740" w:type="dxa"/>
            <w:tcBorders/>
            <w:vAlign w:val="center"/>
          </w:tcPr>
          <w:p>
            <w:pPr>
              <w:pStyle w:val="TableContents"/>
              <w:bidi w:val="0"/>
              <w:spacing w:before="0" w:after="283"/>
              <w:jc w:val="left"/>
              <w:rPr>
                <w:b/>
              </w:rPr>
            </w:pPr>
            <w:r>
              <w:rPr>
                <w:b/>
              </w:rPr>
              <w:t>Item 3.</w:t>
            </w:r>
          </w:p>
        </w:tc>
        <w:tc>
          <w:tcPr>
            <w:tcW w:w="2690" w:type="dxa"/>
            <w:tcBorders/>
            <w:vAlign w:val="center"/>
          </w:tcPr>
          <w:p>
            <w:pPr>
              <w:pStyle w:val="TableContents"/>
              <w:bidi w:val="0"/>
              <w:spacing w:before="0" w:after="0"/>
              <w:jc w:val="left"/>
              <w:rPr>
                <w:b/>
                <w:sz w:val="20"/>
              </w:rPr>
            </w:pPr>
            <w:r>
              <w:rPr>
                <w:b/>
                <w:sz w:val="20"/>
              </w:rPr>
              <w:t>Defaults Upon Senior Securities</w:t>
            </w:r>
          </w:p>
        </w:tc>
      </w:tr>
    </w:tbl>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None.</w:t>
      </w:r>
    </w:p>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31" w:name="MineSafetyDisclosures"/>
      <w:bookmarkStart w:id="32" w:name="MineSafetyDisclosures"/>
      <w:bookmarkEnd w:id="32"/>
    </w:p>
    <w:tbl>
      <w:tblPr>
        <w:tblW w:w="2785" w:type="dxa"/>
        <w:jc w:val="left"/>
        <w:tblInd w:w="0" w:type="dxa"/>
        <w:tblLayout w:type="fixed"/>
        <w:tblCellMar>
          <w:top w:w="0" w:type="dxa"/>
          <w:left w:w="0" w:type="dxa"/>
          <w:bottom w:w="0" w:type="dxa"/>
          <w:right w:w="0" w:type="dxa"/>
        </w:tblCellMar>
      </w:tblPr>
      <w:tblGrid>
        <w:gridCol w:w="740"/>
        <w:gridCol w:w="2045"/>
      </w:tblGrid>
      <w:tr>
        <w:trPr/>
        <w:tc>
          <w:tcPr>
            <w:tcW w:w="740" w:type="dxa"/>
            <w:tcBorders/>
            <w:vAlign w:val="center"/>
          </w:tcPr>
          <w:p>
            <w:pPr>
              <w:pStyle w:val="TableContents"/>
              <w:bidi w:val="0"/>
              <w:spacing w:before="0" w:after="283"/>
              <w:jc w:val="left"/>
              <w:rPr>
                <w:b/>
              </w:rPr>
            </w:pPr>
            <w:r>
              <w:rPr>
                <w:b/>
              </w:rPr>
              <w:t>Item 4.</w:t>
            </w:r>
          </w:p>
        </w:tc>
        <w:tc>
          <w:tcPr>
            <w:tcW w:w="2045" w:type="dxa"/>
            <w:tcBorders/>
            <w:vAlign w:val="center"/>
          </w:tcPr>
          <w:p>
            <w:pPr>
              <w:pStyle w:val="TableContents"/>
              <w:bidi w:val="0"/>
              <w:spacing w:before="0" w:after="0"/>
              <w:jc w:val="left"/>
              <w:rPr>
                <w:b/>
                <w:sz w:val="20"/>
              </w:rPr>
            </w:pPr>
            <w:r>
              <w:rPr>
                <w:b/>
                <w:sz w:val="20"/>
              </w:rPr>
              <w:t>Mine Safety Disclosures</w:t>
            </w:r>
          </w:p>
        </w:tc>
      </w:tr>
    </w:tbl>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Not Applicable.</w:t>
      </w:r>
    </w:p>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33" w:name="OtherInfo"/>
      <w:bookmarkStart w:id="34" w:name="OtherInformation"/>
      <w:bookmarkStart w:id="35" w:name="OtherInfo"/>
      <w:bookmarkStart w:id="36" w:name="OtherInformation"/>
      <w:bookmarkEnd w:id="35"/>
      <w:bookmarkEnd w:id="36"/>
    </w:p>
    <w:tbl>
      <w:tblPr>
        <w:tblW w:w="2350" w:type="dxa"/>
        <w:jc w:val="left"/>
        <w:tblInd w:w="0" w:type="dxa"/>
        <w:tblLayout w:type="fixed"/>
        <w:tblCellMar>
          <w:top w:w="0" w:type="dxa"/>
          <w:left w:w="0" w:type="dxa"/>
          <w:bottom w:w="0" w:type="dxa"/>
          <w:right w:w="0" w:type="dxa"/>
        </w:tblCellMar>
      </w:tblPr>
      <w:tblGrid>
        <w:gridCol w:w="740"/>
        <w:gridCol w:w="1610"/>
      </w:tblGrid>
      <w:tr>
        <w:trPr/>
        <w:tc>
          <w:tcPr>
            <w:tcW w:w="740" w:type="dxa"/>
            <w:tcBorders/>
            <w:vAlign w:val="center"/>
          </w:tcPr>
          <w:p>
            <w:pPr>
              <w:pStyle w:val="TableContents"/>
              <w:bidi w:val="0"/>
              <w:spacing w:before="0" w:after="283"/>
              <w:jc w:val="left"/>
              <w:rPr>
                <w:b/>
              </w:rPr>
            </w:pPr>
            <w:r>
              <w:rPr>
                <w:b/>
              </w:rPr>
              <w:t>Item 5.</w:t>
            </w:r>
          </w:p>
        </w:tc>
        <w:tc>
          <w:tcPr>
            <w:tcW w:w="1610" w:type="dxa"/>
            <w:tcBorders/>
            <w:vAlign w:val="center"/>
          </w:tcPr>
          <w:p>
            <w:pPr>
              <w:pStyle w:val="TableContents"/>
              <w:bidi w:val="0"/>
              <w:spacing w:before="0" w:after="0"/>
              <w:jc w:val="left"/>
              <w:rPr>
                <w:b/>
                <w:sz w:val="20"/>
              </w:rPr>
            </w:pPr>
            <w:r>
              <w:rPr>
                <w:b/>
                <w:sz w:val="20"/>
              </w:rPr>
              <w:t>Other Information</w:t>
            </w:r>
          </w:p>
        </w:tc>
      </w:tr>
    </w:tbl>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b/>
          <w:color w:val="000000"/>
          <w:sz w:val="20"/>
          <w:shd w:fill="FFFFFF" w:val="clear"/>
        </w:rPr>
      </w:pPr>
      <w:r>
        <w:rPr>
          <w:rFonts w:ascii="Times New Roman" w:hAnsi="Times New Roman"/>
          <w:b/>
          <w:color w:val="000000"/>
          <w:sz w:val="20"/>
          <w:shd w:fill="FFFFFF" w:val="clear"/>
        </w:rPr>
        <w:t>Insider Trading Arrangements</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None of our officers or directors, as defined in Rule 16a-1(f) of the Securities Exchange Act of 1934, adopted, modified, or terminated a “Rule 10b5-1 trading arrangement” or a “non-Rule 10b5-1 trading arrangement,” as defined in Item 408 of Regulation S-K, during the three months ended June 30, 2026.</w:t>
      </w:r>
    </w:p>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37" w:name="Exhibits"/>
      <w:bookmarkStart w:id="38" w:name="Exhibits"/>
      <w:bookmarkEnd w:id="38"/>
    </w:p>
    <w:tbl>
      <w:tblPr>
        <w:tblW w:w="1480" w:type="dxa"/>
        <w:jc w:val="left"/>
        <w:tblInd w:w="0" w:type="dxa"/>
        <w:tblLayout w:type="fixed"/>
        <w:tblCellMar>
          <w:top w:w="0" w:type="dxa"/>
          <w:left w:w="0" w:type="dxa"/>
          <w:bottom w:w="0" w:type="dxa"/>
          <w:right w:w="0" w:type="dxa"/>
        </w:tblCellMar>
      </w:tblPr>
      <w:tblGrid>
        <w:gridCol w:w="740"/>
        <w:gridCol w:w="740"/>
      </w:tblGrid>
      <w:tr>
        <w:trPr/>
        <w:tc>
          <w:tcPr>
            <w:tcW w:w="740" w:type="dxa"/>
            <w:tcBorders/>
            <w:vAlign w:val="center"/>
          </w:tcPr>
          <w:p>
            <w:pPr>
              <w:pStyle w:val="TableContents"/>
              <w:bidi w:val="0"/>
              <w:spacing w:before="0" w:after="283"/>
              <w:jc w:val="left"/>
              <w:rPr>
                <w:b/>
              </w:rPr>
            </w:pPr>
            <w:r>
              <w:rPr>
                <w:b/>
              </w:rPr>
              <w:t>Item 6.</w:t>
            </w:r>
          </w:p>
        </w:tc>
        <w:tc>
          <w:tcPr>
            <w:tcW w:w="740" w:type="dxa"/>
            <w:tcBorders/>
            <w:vAlign w:val="center"/>
          </w:tcPr>
          <w:p>
            <w:pPr>
              <w:pStyle w:val="TableContents"/>
              <w:bidi w:val="0"/>
              <w:spacing w:before="0" w:after="0"/>
              <w:jc w:val="left"/>
              <w:rPr>
                <w:b/>
                <w:sz w:val="20"/>
              </w:rPr>
            </w:pPr>
            <w:r>
              <w:rPr>
                <w:b/>
                <w:sz w:val="20"/>
              </w:rPr>
              <w:t>Exhibits</w:t>
            </w:r>
          </w:p>
        </w:tc>
      </w:tr>
    </w:tbl>
    <w:p>
      <w:pPr>
        <w:pStyle w:val="TextBody"/>
        <w:bidi w:val="0"/>
        <w:spacing w:before="0" w:after="0"/>
        <w:jc w:val="left"/>
        <w:rPr>
          <w:sz w:val="20"/>
        </w:rPr>
      </w:pPr>
      <w:r>
        <w:rPr>
          <w:sz w:val="20"/>
        </w:rPr>
      </w:r>
    </w:p>
    <w:tbl>
      <w:tblPr>
        <w:tblW w:w="10205" w:type="dxa"/>
        <w:jc w:val="left"/>
        <w:tblInd w:w="0" w:type="dxa"/>
        <w:tblLayout w:type="fixed"/>
        <w:tblCellMar>
          <w:top w:w="0" w:type="dxa"/>
          <w:left w:w="0" w:type="dxa"/>
          <w:bottom w:w="28" w:type="dxa"/>
          <w:right w:w="0" w:type="dxa"/>
        </w:tblCellMar>
      </w:tblPr>
      <w:tblGrid>
        <w:gridCol w:w="890"/>
        <w:gridCol w:w="60"/>
        <w:gridCol w:w="9255"/>
      </w:tblGrid>
      <w:tr>
        <w:trPr/>
        <w:tc>
          <w:tcPr>
            <w:tcW w:w="890" w:type="dxa"/>
            <w:tcBorders>
              <w:bottom w:val="single" w:sz="12" w:space="0" w:color="000000"/>
            </w:tcBorders>
            <w:vAlign w:val="center"/>
          </w:tcPr>
          <w:p>
            <w:pPr>
              <w:pStyle w:val="TableContents"/>
              <w:bidi w:val="0"/>
              <w:spacing w:before="0" w:after="0"/>
              <w:jc w:val="center"/>
              <w:rPr>
                <w:b/>
                <w:color w:val="000000"/>
              </w:rPr>
            </w:pPr>
            <w:r>
              <w:rPr>
                <w:b/>
                <w:color w:val="000000"/>
              </w:rPr>
              <w:t>Exhibit</w:t>
            </w:r>
          </w:p>
          <w:p>
            <w:pPr>
              <w:pStyle w:val="TableContents"/>
              <w:bidi w:val="0"/>
              <w:spacing w:before="0" w:after="0"/>
              <w:jc w:val="center"/>
              <w:rPr>
                <w:b/>
                <w:color w:val="000000"/>
              </w:rPr>
            </w:pPr>
            <w:r>
              <w:rPr>
                <w:b/>
                <w:color w:val="000000"/>
              </w:rPr>
              <w:t>Number</w:t>
            </w:r>
          </w:p>
        </w:tc>
        <w:tc>
          <w:tcPr>
            <w:tcW w:w="60" w:type="dxa"/>
            <w:tcBorders/>
            <w:tcMar>
              <w:bottom w:w="0" w:type="dxa"/>
            </w:tcMar>
            <w:vAlign w:val="center"/>
          </w:tcPr>
          <w:p>
            <w:pPr>
              <w:pStyle w:val="TableContents"/>
              <w:bidi w:val="0"/>
              <w:spacing w:before="0" w:after="283"/>
              <w:jc w:val="left"/>
              <w:rPr/>
            </w:pPr>
            <w:r>
              <w:rPr/>
              <w:t> </w:t>
            </w:r>
          </w:p>
        </w:tc>
        <w:tc>
          <w:tcPr>
            <w:tcW w:w="9255" w:type="dxa"/>
            <w:tcBorders>
              <w:bottom w:val="single" w:sz="12" w:space="0" w:color="000000"/>
            </w:tcBorders>
            <w:vAlign w:val="center"/>
          </w:tcPr>
          <w:p>
            <w:pPr>
              <w:pStyle w:val="TableContents"/>
              <w:bidi w:val="0"/>
              <w:spacing w:before="0" w:after="0"/>
              <w:jc w:val="center"/>
              <w:rPr>
                <w:b/>
                <w:color w:val="000000"/>
                <w:sz w:val="20"/>
              </w:rPr>
            </w:pPr>
            <w:r>
              <w:rPr>
                <w:b/>
                <w:color w:val="000000"/>
                <w:sz w:val="20"/>
              </w:rPr>
              <w:t>Exhibit for 2026 Executive Compensation Plan Description</w:t>
            </w:r>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left"/>
              <w:rPr/>
            </w:pPr>
            <w:r>
              <w:rPr/>
              <w:t> </w:t>
            </w:r>
          </w:p>
        </w:tc>
      </w:tr>
      <w:tr>
        <w:trPr/>
        <w:tc>
          <w:tcPr>
            <w:tcW w:w="890" w:type="dxa"/>
            <w:tcBorders/>
            <w:shd w:fill="CCEEFF" w:val="clear"/>
            <w:tcMar>
              <w:bottom w:w="0" w:type="dxa"/>
            </w:tcMar>
            <w:vAlign w:val="center"/>
          </w:tcPr>
          <w:p>
            <w:pPr>
              <w:pStyle w:val="TableContents"/>
              <w:bidi w:val="0"/>
              <w:spacing w:before="0" w:after="283"/>
              <w:jc w:val="center"/>
              <w:rPr/>
            </w:pPr>
            <w:hyperlink w:anchor="ef20075172_ex10-1.htm">
              <w:r>
                <w:rPr>
                  <w:rStyle w:val="InternetLink"/>
                  <w:sz w:val="20"/>
                </w:rPr>
                <w:t>10.1*</w:t>
              </w:r>
            </w:hyperlink>
          </w:p>
        </w:tc>
        <w:tc>
          <w:tcPr>
            <w:tcW w:w="60" w:type="dxa"/>
            <w:tcBorders/>
            <w:shd w:fill="CCEEFF" w:val="clear"/>
            <w:tcMar>
              <w:bottom w:w="0" w:type="dxa"/>
            </w:tcMar>
            <w:vAlign w:val="center"/>
          </w:tcPr>
          <w:p>
            <w:pPr>
              <w:pStyle w:val="TableContents"/>
              <w:bidi w:val="0"/>
              <w:spacing w:before="0" w:after="283"/>
              <w:jc w:val="left"/>
              <w:rPr/>
            </w:pPr>
            <w:r>
              <w:rPr/>
            </w:r>
          </w:p>
        </w:tc>
        <w:tc>
          <w:tcPr>
            <w:tcW w:w="9255" w:type="dxa"/>
            <w:tcBorders/>
            <w:shd w:fill="CCEEFF" w:val="clear"/>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2026 Executive Compensation Plan, dated April 4, 2026</w:t>
            </w:r>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left"/>
              <w:rPr/>
            </w:pPr>
            <w:r>
              <w:rPr/>
              <w:t> </w:t>
            </w:r>
          </w:p>
        </w:tc>
      </w:tr>
      <w:tr>
        <w:trPr/>
        <w:tc>
          <w:tcPr>
            <w:tcW w:w="890" w:type="dxa"/>
            <w:tcBorders/>
            <w:shd w:fill="CCEEFF" w:val="clear"/>
            <w:tcMar>
              <w:bottom w:w="0" w:type="dxa"/>
            </w:tcMar>
            <w:vAlign w:val="center"/>
          </w:tcPr>
          <w:p>
            <w:pPr>
              <w:pStyle w:val="TableContents"/>
              <w:bidi w:val="0"/>
              <w:spacing w:before="0" w:after="0"/>
              <w:jc w:val="center"/>
              <w:rPr/>
            </w:pPr>
            <w:hyperlink w:anchor="ef20075172_ex31-1.htm">
              <w:r>
                <w:rPr>
                  <w:rStyle w:val="InternetLink"/>
                  <w:sz w:val="20"/>
                </w:rPr>
                <w:t>31.1*</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9255" w:type="dxa"/>
            <w:tcBorders/>
            <w:shd w:fill="CCEEFF" w:val="clear"/>
            <w:tcMar>
              <w:bottom w:w="0" w:type="dxa"/>
            </w:tcMar>
            <w:vAlign w:val="center"/>
          </w:tcPr>
          <w:p>
            <w:pPr>
              <w:pStyle w:val="TableContents"/>
              <w:bidi w:val="0"/>
              <w:spacing w:before="0" w:after="0"/>
              <w:jc w:val="both"/>
              <w:rPr>
                <w:color w:val="000000"/>
                <w:sz w:val="20"/>
              </w:rPr>
            </w:pPr>
            <w:r>
              <w:rPr>
                <w:color w:val="000000"/>
                <w:sz w:val="20"/>
              </w:rPr>
              <w:t>Certification of Principal Executive Officer pursuant to Rule 13a-14(a)/15d-14(a) of the Securities Exchange Act of 1934.</w:t>
            </w:r>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left"/>
              <w:rPr/>
            </w:pPr>
            <w:r>
              <w:rPr/>
              <w:t> </w:t>
            </w:r>
          </w:p>
        </w:tc>
      </w:tr>
      <w:tr>
        <w:trPr/>
        <w:tc>
          <w:tcPr>
            <w:tcW w:w="890" w:type="dxa"/>
            <w:tcBorders/>
            <w:shd w:fill="CCEEFF" w:val="clear"/>
            <w:tcMar>
              <w:bottom w:w="0" w:type="dxa"/>
            </w:tcMar>
            <w:vAlign w:val="center"/>
          </w:tcPr>
          <w:p>
            <w:pPr>
              <w:pStyle w:val="TableContents"/>
              <w:bidi w:val="0"/>
              <w:spacing w:before="0" w:after="0"/>
              <w:jc w:val="center"/>
              <w:rPr/>
            </w:pPr>
            <w:hyperlink w:anchor="ef20075172_ex31-2.htm">
              <w:r>
                <w:rPr>
                  <w:rStyle w:val="InternetLink"/>
                  <w:sz w:val="20"/>
                </w:rPr>
                <w:t>31.2*</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9255" w:type="dxa"/>
            <w:tcBorders/>
            <w:shd w:fill="CCEEFF" w:val="clear"/>
            <w:tcMar>
              <w:bottom w:w="0" w:type="dxa"/>
            </w:tcMar>
            <w:vAlign w:val="center"/>
          </w:tcPr>
          <w:p>
            <w:pPr>
              <w:pStyle w:val="TableContents"/>
              <w:bidi w:val="0"/>
              <w:spacing w:before="0" w:after="0"/>
              <w:jc w:val="both"/>
              <w:rPr>
                <w:color w:val="000000"/>
                <w:sz w:val="20"/>
              </w:rPr>
            </w:pPr>
            <w:r>
              <w:rPr>
                <w:color w:val="000000"/>
                <w:sz w:val="20"/>
              </w:rPr>
              <w:t>Certification of Principal Financial Officer pursuant to Rule 13a-14(a)/15d-14(a) of the Securities Exchange Act of 1934.</w:t>
            </w:r>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left"/>
              <w:rPr/>
            </w:pPr>
            <w:r>
              <w:rPr/>
              <w:t> </w:t>
            </w:r>
          </w:p>
        </w:tc>
      </w:tr>
      <w:tr>
        <w:trPr/>
        <w:tc>
          <w:tcPr>
            <w:tcW w:w="890" w:type="dxa"/>
            <w:tcBorders/>
            <w:shd w:fill="CCEEFF" w:val="clear"/>
            <w:tcMar>
              <w:bottom w:w="0" w:type="dxa"/>
            </w:tcMar>
            <w:vAlign w:val="center"/>
          </w:tcPr>
          <w:p>
            <w:pPr>
              <w:pStyle w:val="TableContents"/>
              <w:bidi w:val="0"/>
              <w:spacing w:before="0" w:after="0"/>
              <w:jc w:val="center"/>
              <w:rPr/>
            </w:pPr>
            <w:hyperlink w:anchor="ef20075172_ex32-1.htm">
              <w:r>
                <w:rPr>
                  <w:rStyle w:val="InternetLink"/>
                  <w:sz w:val="20"/>
                </w:rPr>
                <w:t>32.1**</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9255" w:type="dxa"/>
            <w:tcBorders/>
            <w:shd w:fill="CCEEFF" w:val="clear"/>
            <w:tcMar>
              <w:bottom w:w="0" w:type="dxa"/>
            </w:tcMar>
            <w:vAlign w:val="center"/>
          </w:tcPr>
          <w:p>
            <w:pPr>
              <w:pStyle w:val="TableContents"/>
              <w:bidi w:val="0"/>
              <w:spacing w:before="0" w:after="0"/>
              <w:jc w:val="both"/>
              <w:rPr>
                <w:color w:val="000000"/>
                <w:sz w:val="20"/>
              </w:rPr>
            </w:pPr>
            <w:r>
              <w:rPr>
                <w:color w:val="000000"/>
                <w:sz w:val="20"/>
              </w:rPr>
              <w:t>Certification of Chief Executive Officer pursuant to 18 U.S.C. Section 1350, as adopted pursuant to Section 906 of the Sarbanes-Oxley Act of 2002.</w:t>
            </w:r>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left"/>
              <w:rPr/>
            </w:pPr>
            <w:r>
              <w:rPr/>
              <w:t> </w:t>
            </w:r>
          </w:p>
        </w:tc>
      </w:tr>
      <w:tr>
        <w:trPr/>
        <w:tc>
          <w:tcPr>
            <w:tcW w:w="890" w:type="dxa"/>
            <w:tcBorders/>
            <w:shd w:fill="CCEEFF" w:val="clear"/>
            <w:tcMar>
              <w:bottom w:w="0" w:type="dxa"/>
            </w:tcMar>
            <w:vAlign w:val="center"/>
          </w:tcPr>
          <w:p>
            <w:pPr>
              <w:pStyle w:val="TableContents"/>
              <w:bidi w:val="0"/>
              <w:spacing w:before="0" w:after="0"/>
              <w:jc w:val="center"/>
              <w:rPr/>
            </w:pPr>
            <w:hyperlink w:anchor="ef20075172_ex32-2.htm">
              <w:r>
                <w:rPr>
                  <w:rStyle w:val="InternetLink"/>
                  <w:sz w:val="20"/>
                </w:rPr>
                <w:t>32.2**</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9255" w:type="dxa"/>
            <w:tcBorders/>
            <w:shd w:fill="CCEEFF" w:val="clear"/>
            <w:tcMar>
              <w:bottom w:w="0" w:type="dxa"/>
            </w:tcMar>
            <w:vAlign w:val="center"/>
          </w:tcPr>
          <w:p>
            <w:pPr>
              <w:pStyle w:val="TableContents"/>
              <w:bidi w:val="0"/>
              <w:spacing w:before="0" w:after="0"/>
              <w:jc w:val="both"/>
              <w:rPr>
                <w:color w:val="000000"/>
                <w:sz w:val="20"/>
              </w:rPr>
            </w:pPr>
            <w:r>
              <w:rPr>
                <w:color w:val="000000"/>
                <w:sz w:val="20"/>
              </w:rPr>
              <w:t>Certification of Chief Financial Officer pursuant to 18 U.S.C. Section 1350, as adopted pursuant to Section 906 of the Sarbanes-Oxley Act of 2002.</w:t>
            </w:r>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left"/>
              <w:rPr/>
            </w:pPr>
            <w:r>
              <w:rPr/>
              <w:t> </w:t>
            </w:r>
          </w:p>
        </w:tc>
      </w:tr>
      <w:tr>
        <w:trPr/>
        <w:tc>
          <w:tcPr>
            <w:tcW w:w="890" w:type="dxa"/>
            <w:tcBorders/>
            <w:shd w:fill="CCEEFF" w:val="clear"/>
            <w:tcMar>
              <w:bottom w:w="0" w:type="dxa"/>
            </w:tcMar>
            <w:vAlign w:val="center"/>
          </w:tcPr>
          <w:p>
            <w:pPr>
              <w:pStyle w:val="TableContents"/>
              <w:bidi w:val="0"/>
              <w:spacing w:before="0" w:after="0"/>
              <w:jc w:val="center"/>
              <w:rPr>
                <w:color w:val="000000"/>
                <w:sz w:val="20"/>
              </w:rPr>
            </w:pPr>
            <w:r>
              <w:rPr>
                <w:color w:val="000000"/>
                <w:sz w:val="20"/>
              </w:rPr>
              <w:t>101.INS*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55" w:type="dxa"/>
            <w:tcBorders/>
            <w:shd w:fill="CCEEFF" w:val="clear"/>
            <w:tcMar>
              <w:bottom w:w="0" w:type="dxa"/>
            </w:tcMar>
            <w:vAlign w:val="center"/>
          </w:tcPr>
          <w:p>
            <w:pPr>
              <w:pStyle w:val="TableContents"/>
              <w:bidi w:val="0"/>
              <w:spacing w:before="0" w:after="0"/>
              <w:jc w:val="both"/>
              <w:rPr>
                <w:color w:val="000000"/>
                <w:sz w:val="20"/>
              </w:rPr>
            </w:pPr>
            <w:r>
              <w:rPr>
                <w:color w:val="000000"/>
                <w:sz w:val="20"/>
              </w:rPr>
              <w:t>Inline XBRL Instance Document</w:t>
            </w:r>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left"/>
              <w:rPr/>
            </w:pPr>
            <w:r>
              <w:rPr/>
              <w:t> </w:t>
            </w:r>
          </w:p>
        </w:tc>
      </w:tr>
      <w:tr>
        <w:trPr/>
        <w:tc>
          <w:tcPr>
            <w:tcW w:w="890" w:type="dxa"/>
            <w:tcBorders/>
            <w:shd w:fill="CCEEFF" w:val="clear"/>
            <w:tcMar>
              <w:bottom w:w="0" w:type="dxa"/>
            </w:tcMar>
            <w:vAlign w:val="center"/>
          </w:tcPr>
          <w:p>
            <w:pPr>
              <w:pStyle w:val="TableContents"/>
              <w:bidi w:val="0"/>
              <w:spacing w:before="0" w:after="0"/>
              <w:jc w:val="center"/>
              <w:rPr>
                <w:color w:val="000000"/>
                <w:sz w:val="20"/>
              </w:rPr>
            </w:pPr>
            <w:r>
              <w:rPr>
                <w:color w:val="000000"/>
                <w:sz w:val="20"/>
              </w:rPr>
              <w:t>101.SCH*</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55" w:type="dxa"/>
            <w:tcBorders/>
            <w:shd w:fill="CCEEFF" w:val="clear"/>
            <w:tcMar>
              <w:bottom w:w="0" w:type="dxa"/>
            </w:tcMar>
            <w:vAlign w:val="center"/>
          </w:tcPr>
          <w:p>
            <w:pPr>
              <w:pStyle w:val="TableContents"/>
              <w:bidi w:val="0"/>
              <w:spacing w:before="0" w:after="0"/>
              <w:jc w:val="both"/>
              <w:rPr>
                <w:color w:val="000000"/>
                <w:sz w:val="20"/>
              </w:rPr>
            </w:pPr>
            <w:r>
              <w:rPr>
                <w:color w:val="000000"/>
                <w:sz w:val="20"/>
              </w:rPr>
              <w:t>Inline XBRL Taxonomy Extension Schema</w:t>
            </w:r>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left"/>
              <w:rPr/>
            </w:pPr>
            <w:r>
              <w:rPr/>
              <w:t> </w:t>
            </w:r>
          </w:p>
        </w:tc>
      </w:tr>
      <w:tr>
        <w:trPr/>
        <w:tc>
          <w:tcPr>
            <w:tcW w:w="890" w:type="dxa"/>
            <w:tcBorders/>
            <w:shd w:fill="CCEEFF" w:val="clear"/>
            <w:tcMar>
              <w:bottom w:w="0" w:type="dxa"/>
            </w:tcMar>
            <w:vAlign w:val="center"/>
          </w:tcPr>
          <w:p>
            <w:pPr>
              <w:pStyle w:val="TableContents"/>
              <w:bidi w:val="0"/>
              <w:spacing w:before="0" w:after="0"/>
              <w:jc w:val="center"/>
              <w:rPr>
                <w:color w:val="000000"/>
                <w:sz w:val="20"/>
              </w:rPr>
            </w:pPr>
            <w:r>
              <w:rPr>
                <w:color w:val="000000"/>
                <w:sz w:val="20"/>
              </w:rPr>
              <w:t>101.CAL*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55" w:type="dxa"/>
            <w:tcBorders/>
            <w:shd w:fill="CCEEFF" w:val="clear"/>
            <w:tcMar>
              <w:bottom w:w="0" w:type="dxa"/>
            </w:tcMar>
            <w:vAlign w:val="center"/>
          </w:tcPr>
          <w:p>
            <w:pPr>
              <w:pStyle w:val="TableContents"/>
              <w:bidi w:val="0"/>
              <w:spacing w:before="0" w:after="0"/>
              <w:jc w:val="both"/>
              <w:rPr>
                <w:color w:val="000000"/>
                <w:sz w:val="20"/>
              </w:rPr>
            </w:pPr>
            <w:r>
              <w:rPr>
                <w:color w:val="000000"/>
                <w:sz w:val="20"/>
              </w:rPr>
              <w:t>Inline XBRL Taxonomy Extension Calculation Linkbase</w:t>
            </w:r>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left"/>
              <w:rPr/>
            </w:pPr>
            <w:r>
              <w:rPr/>
              <w:t> </w:t>
            </w:r>
          </w:p>
        </w:tc>
      </w:tr>
      <w:tr>
        <w:trPr/>
        <w:tc>
          <w:tcPr>
            <w:tcW w:w="890" w:type="dxa"/>
            <w:tcBorders/>
            <w:shd w:fill="CCEEFF" w:val="clear"/>
            <w:tcMar>
              <w:bottom w:w="0" w:type="dxa"/>
            </w:tcMar>
            <w:vAlign w:val="center"/>
          </w:tcPr>
          <w:p>
            <w:pPr>
              <w:pStyle w:val="TableContents"/>
              <w:bidi w:val="0"/>
              <w:spacing w:before="0" w:after="0"/>
              <w:jc w:val="center"/>
              <w:rPr>
                <w:color w:val="000000"/>
                <w:sz w:val="20"/>
              </w:rPr>
            </w:pPr>
            <w:r>
              <w:rPr>
                <w:color w:val="000000"/>
                <w:sz w:val="20"/>
              </w:rPr>
              <w:t>101.DEF*</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55" w:type="dxa"/>
            <w:tcBorders/>
            <w:shd w:fill="CCEEFF" w:val="clear"/>
            <w:tcMar>
              <w:bottom w:w="0" w:type="dxa"/>
            </w:tcMar>
            <w:vAlign w:val="center"/>
          </w:tcPr>
          <w:p>
            <w:pPr>
              <w:pStyle w:val="TableContents"/>
              <w:bidi w:val="0"/>
              <w:spacing w:before="0" w:after="0"/>
              <w:jc w:val="both"/>
              <w:rPr>
                <w:color w:val="000000"/>
                <w:sz w:val="20"/>
              </w:rPr>
            </w:pPr>
            <w:r>
              <w:rPr>
                <w:color w:val="000000"/>
                <w:sz w:val="20"/>
              </w:rPr>
              <w:t>Inline XBRL Taxonomy Definition Linkbase</w:t>
            </w:r>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left"/>
              <w:rPr/>
            </w:pPr>
            <w:r>
              <w:rPr/>
              <w:t> </w:t>
            </w:r>
          </w:p>
        </w:tc>
      </w:tr>
      <w:tr>
        <w:trPr/>
        <w:tc>
          <w:tcPr>
            <w:tcW w:w="890" w:type="dxa"/>
            <w:tcBorders/>
            <w:shd w:fill="CCEEFF" w:val="clear"/>
            <w:tcMar>
              <w:bottom w:w="0" w:type="dxa"/>
            </w:tcMar>
            <w:vAlign w:val="center"/>
          </w:tcPr>
          <w:p>
            <w:pPr>
              <w:pStyle w:val="TableContents"/>
              <w:bidi w:val="0"/>
              <w:spacing w:before="0" w:after="0"/>
              <w:jc w:val="center"/>
              <w:rPr>
                <w:color w:val="000000"/>
                <w:sz w:val="20"/>
              </w:rPr>
            </w:pPr>
            <w:r>
              <w:rPr>
                <w:color w:val="000000"/>
                <w:sz w:val="20"/>
              </w:rPr>
              <w:t>101.LAB*</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55" w:type="dxa"/>
            <w:tcBorders/>
            <w:shd w:fill="CCEEFF" w:val="clear"/>
            <w:tcMar>
              <w:bottom w:w="0" w:type="dxa"/>
            </w:tcMar>
            <w:vAlign w:val="center"/>
          </w:tcPr>
          <w:p>
            <w:pPr>
              <w:pStyle w:val="TableContents"/>
              <w:bidi w:val="0"/>
              <w:spacing w:before="0" w:after="0"/>
              <w:jc w:val="both"/>
              <w:rPr>
                <w:color w:val="000000"/>
                <w:sz w:val="20"/>
              </w:rPr>
            </w:pPr>
            <w:r>
              <w:rPr>
                <w:color w:val="000000"/>
                <w:sz w:val="20"/>
              </w:rPr>
              <w:t>Inline XBRL Taxonomy Extension Label Linkbase</w:t>
            </w:r>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left"/>
              <w:rPr/>
            </w:pPr>
            <w:r>
              <w:rPr/>
              <w:t> </w:t>
            </w:r>
          </w:p>
        </w:tc>
      </w:tr>
      <w:tr>
        <w:trPr/>
        <w:tc>
          <w:tcPr>
            <w:tcW w:w="890" w:type="dxa"/>
            <w:tcBorders/>
            <w:shd w:fill="CCEEFF" w:val="clear"/>
            <w:tcMar>
              <w:bottom w:w="0" w:type="dxa"/>
            </w:tcMar>
            <w:vAlign w:val="center"/>
          </w:tcPr>
          <w:p>
            <w:pPr>
              <w:pStyle w:val="TableContents"/>
              <w:bidi w:val="0"/>
              <w:spacing w:before="0" w:after="0"/>
              <w:jc w:val="center"/>
              <w:rPr>
                <w:color w:val="000000"/>
                <w:sz w:val="20"/>
              </w:rPr>
            </w:pPr>
            <w:r>
              <w:rPr>
                <w:color w:val="000000"/>
                <w:sz w:val="20"/>
              </w:rPr>
              <w:t>101.PRE*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55" w:type="dxa"/>
            <w:tcBorders/>
            <w:shd w:fill="CCEEFF" w:val="clear"/>
            <w:tcMar>
              <w:bottom w:w="0" w:type="dxa"/>
            </w:tcMar>
            <w:vAlign w:val="center"/>
          </w:tcPr>
          <w:p>
            <w:pPr>
              <w:pStyle w:val="TableContents"/>
              <w:bidi w:val="0"/>
              <w:spacing w:before="0" w:after="0"/>
              <w:jc w:val="both"/>
              <w:rPr>
                <w:color w:val="000000"/>
                <w:sz w:val="20"/>
              </w:rPr>
            </w:pPr>
            <w:r>
              <w:rPr>
                <w:color w:val="000000"/>
                <w:sz w:val="20"/>
              </w:rPr>
              <w:t>Inline XBRL Taxonomy Extension Presentation Linkbase</w:t>
            </w:r>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left"/>
              <w:rPr/>
            </w:pPr>
            <w:r>
              <w:rPr/>
              <w:t> </w:t>
            </w:r>
          </w:p>
        </w:tc>
      </w:tr>
      <w:tr>
        <w:trPr/>
        <w:tc>
          <w:tcPr>
            <w:tcW w:w="890" w:type="dxa"/>
            <w:tcBorders/>
            <w:shd w:fill="CCEEFF" w:val="clear"/>
            <w:tcMar>
              <w:bottom w:w="0" w:type="dxa"/>
            </w:tcMar>
            <w:vAlign w:val="center"/>
          </w:tcPr>
          <w:p>
            <w:pPr>
              <w:pStyle w:val="TableContents"/>
              <w:bidi w:val="0"/>
              <w:spacing w:before="0" w:after="0"/>
              <w:jc w:val="center"/>
              <w:rPr>
                <w:color w:val="000000"/>
                <w:sz w:val="20"/>
              </w:rPr>
            </w:pPr>
            <w:r>
              <w:rPr>
                <w:color w:val="000000"/>
                <w:sz w:val="20"/>
              </w:rPr>
              <w:t>104*</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55" w:type="dxa"/>
            <w:tcBorders/>
            <w:shd w:fill="CCEEFF" w:val="clear"/>
            <w:tcMar>
              <w:bottom w:w="0" w:type="dxa"/>
            </w:tcMar>
            <w:vAlign w:val="center"/>
          </w:tcPr>
          <w:p>
            <w:pPr>
              <w:pStyle w:val="TableContents"/>
              <w:bidi w:val="0"/>
              <w:spacing w:before="0" w:after="0"/>
              <w:jc w:val="both"/>
              <w:rPr>
                <w:color w:val="000000"/>
                <w:sz w:val="20"/>
              </w:rPr>
            </w:pPr>
            <w:r>
              <w:rPr>
                <w:color w:val="000000"/>
                <w:sz w:val="20"/>
              </w:rPr>
              <w:t>Cover Page Interactive Data File - cover page XBRL tags are embedded within the Inline XBRL document</w:t>
            </w:r>
          </w:p>
        </w:tc>
      </w:tr>
    </w:tbl>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*Filed herewith.</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**Furnished herewith.</w:t>
      </w:r>
    </w:p>
    <w:p>
      <w:pPr>
        <w:pStyle w:val="TextBody"/>
        <w:bidi w:val="0"/>
        <w:spacing w:before="0" w:after="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81</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center"/>
        <w:rPr>
          <w:rFonts w:ascii="Times New Roman" w:hAnsi="Times New Roman"/>
          <w:b/>
          <w:color w:val="000000"/>
          <w:sz w:val="20"/>
          <w:shd w:fill="FFFFFF" w:val="clear"/>
        </w:rPr>
      </w:pPr>
      <w:bookmarkStart w:id="39" w:name="SIGNATURES"/>
      <w:bookmarkEnd w:id="39"/>
      <w:r>
        <w:rPr>
          <w:rFonts w:ascii="Times New Roman" w:hAnsi="Times New Roman"/>
          <w:b/>
          <w:color w:val="000000"/>
          <w:sz w:val="20"/>
          <w:shd w:fill="FFFFFF" w:val="clear"/>
        </w:rPr>
        <w:t>SIGNATURES</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Pursuant to the requirements of Section 13 or 15(d) of the Securities Exchange Act of 1934, the Company has duly caused this report to be signed on its behalf by the undersigned, thereunto duly authorized.</w:t>
      </w:r>
    </w:p>
    <w:p>
      <w:pPr>
        <w:pStyle w:val="TextBody"/>
        <w:bidi w:val="0"/>
        <w:spacing w:before="0" w:after="0"/>
        <w:jc w:val="left"/>
        <w:rPr>
          <w:sz w:val="20"/>
        </w:rPr>
      </w:pPr>
      <w:r>
        <w:rPr>
          <w:sz w:val="20"/>
        </w:rPr>
      </w:r>
    </w:p>
    <w:tbl>
      <w:tblPr>
        <w:tblW w:w="6114" w:type="dxa"/>
        <w:jc w:val="left"/>
        <w:tblInd w:w="0" w:type="dxa"/>
        <w:tblLayout w:type="fixed"/>
        <w:tblCellMar>
          <w:top w:w="0" w:type="dxa"/>
          <w:left w:w="0" w:type="dxa"/>
          <w:bottom w:w="0" w:type="dxa"/>
          <w:right w:w="0" w:type="dxa"/>
        </w:tblCellMar>
      </w:tblPr>
      <w:tblGrid>
        <w:gridCol w:w="1385"/>
        <w:gridCol w:w="836"/>
        <w:gridCol w:w="3893"/>
      </w:tblGrid>
      <w:tr>
        <w:trPr/>
        <w:tc>
          <w:tcPr>
            <w:tcW w:w="1385" w:type="dxa"/>
            <w:tcBorders/>
            <w:vAlign w:val="center"/>
          </w:tcPr>
          <w:p>
            <w:pPr>
              <w:pStyle w:val="TableContents"/>
              <w:bidi w:val="0"/>
              <w:spacing w:before="0" w:after="283"/>
              <w:jc w:val="left"/>
              <w:rPr/>
            </w:pPr>
            <w:r>
              <w:rPr/>
              <w:t> </w:t>
            </w:r>
          </w:p>
        </w:tc>
        <w:tc>
          <w:tcPr>
            <w:tcW w:w="4729" w:type="dxa"/>
            <w:gridSpan w:val="2"/>
            <w:tcBorders/>
            <w:vAlign w:val="center"/>
          </w:tcPr>
          <w:p>
            <w:pPr>
              <w:pStyle w:val="TableContents"/>
              <w:bidi w:val="0"/>
              <w:spacing w:before="0" w:after="0"/>
              <w:jc w:val="left"/>
              <w:rPr>
                <w:color w:val="000000"/>
              </w:rPr>
            </w:pPr>
            <w:r>
              <w:rPr>
                <w:color w:val="000000"/>
              </w:rPr>
              <w:t>CHERRY HILL MORTGAGE INVESTMENT</w:t>
            </w:r>
          </w:p>
          <w:p>
            <w:pPr>
              <w:pStyle w:val="TableContents"/>
              <w:bidi w:val="0"/>
              <w:spacing w:before="0" w:after="0"/>
              <w:jc w:val="left"/>
              <w:rPr>
                <w:color w:val="000000"/>
              </w:rPr>
            </w:pPr>
            <w:r>
              <w:rPr>
                <w:color w:val="000000"/>
              </w:rPr>
              <w:t>CORPORATION</w:t>
            </w:r>
          </w:p>
        </w:tc>
      </w:tr>
      <w:tr>
        <w:trPr/>
        <w:tc>
          <w:tcPr>
            <w:tcW w:w="1385" w:type="dxa"/>
            <w:tcBorders/>
            <w:vAlign w:val="center"/>
          </w:tcPr>
          <w:p>
            <w:pPr>
              <w:pStyle w:val="TableContents"/>
              <w:bidi w:val="0"/>
              <w:spacing w:before="0" w:after="283"/>
              <w:jc w:val="left"/>
              <w:rPr/>
            </w:pPr>
            <w:r>
              <w:rPr/>
              <w:t> </w:t>
            </w:r>
          </w:p>
        </w:tc>
        <w:tc>
          <w:tcPr>
            <w:tcW w:w="836" w:type="dxa"/>
            <w:tcBorders/>
            <w:vAlign w:val="center"/>
          </w:tcPr>
          <w:p>
            <w:pPr>
              <w:pStyle w:val="TableContents"/>
              <w:bidi w:val="0"/>
              <w:spacing w:before="0" w:after="283"/>
              <w:jc w:val="left"/>
              <w:rPr/>
            </w:pPr>
            <w:r>
              <w:rPr/>
              <w:t> </w:t>
            </w:r>
          </w:p>
        </w:tc>
        <w:tc>
          <w:tcPr>
            <w:tcW w:w="3893" w:type="dxa"/>
            <w:tcBorders/>
            <w:vAlign w:val="center"/>
          </w:tcPr>
          <w:p>
            <w:pPr>
              <w:pStyle w:val="TableContents"/>
              <w:bidi w:val="0"/>
              <w:spacing w:before="0" w:after="283"/>
              <w:jc w:val="left"/>
              <w:rPr/>
            </w:pPr>
            <w:r>
              <w:rPr/>
              <w:t> </w:t>
            </w:r>
          </w:p>
        </w:tc>
      </w:tr>
      <w:tr>
        <w:trPr/>
        <w:tc>
          <w:tcPr>
            <w:tcW w:w="1385" w:type="dxa"/>
            <w:tcBorders/>
            <w:vAlign w:val="center"/>
          </w:tcPr>
          <w:p>
            <w:pPr>
              <w:pStyle w:val="TableContents"/>
              <w:bidi w:val="0"/>
              <w:spacing w:before="0" w:after="0"/>
              <w:jc w:val="left"/>
              <w:rPr>
                <w:color w:val="000000"/>
                <w:sz w:val="20"/>
              </w:rPr>
            </w:pPr>
            <w:r>
              <w:rPr>
                <w:color w:val="000000"/>
                <w:sz w:val="20"/>
              </w:rPr>
              <w:t>August 10, 2026</w:t>
            </w:r>
          </w:p>
        </w:tc>
        <w:tc>
          <w:tcPr>
            <w:tcW w:w="836" w:type="dxa"/>
            <w:tcBorders/>
            <w:vAlign w:val="center"/>
          </w:tcPr>
          <w:p>
            <w:pPr>
              <w:pStyle w:val="TableContents"/>
              <w:bidi w:val="0"/>
              <w:spacing w:before="0" w:after="0"/>
              <w:jc w:val="left"/>
              <w:rPr>
                <w:color w:val="000000"/>
                <w:sz w:val="20"/>
              </w:rPr>
            </w:pPr>
            <w:r>
              <w:rPr>
                <w:color w:val="000000"/>
                <w:sz w:val="20"/>
              </w:rPr>
              <w:t>By:</w:t>
            </w:r>
          </w:p>
        </w:tc>
        <w:tc>
          <w:tcPr>
            <w:tcW w:w="3893" w:type="dxa"/>
            <w:tcBorders>
              <w:bottom w:val="single" w:sz="12" w:space="0" w:color="000000"/>
            </w:tcBorders>
            <w:tcMar>
              <w:bottom w:w="28" w:type="dxa"/>
            </w:tcMar>
            <w:vAlign w:val="center"/>
          </w:tcPr>
          <w:p>
            <w:pPr>
              <w:pStyle w:val="TableContents"/>
              <w:bidi w:val="0"/>
              <w:spacing w:before="0" w:after="0"/>
              <w:jc w:val="left"/>
              <w:rPr>
                <w:color w:val="000000"/>
                <w:sz w:val="20"/>
              </w:rPr>
            </w:pPr>
            <w:r>
              <w:rPr>
                <w:color w:val="000000"/>
                <w:sz w:val="20"/>
              </w:rPr>
              <w:t>/s/ Jeffrey Lown II</w:t>
            </w:r>
          </w:p>
        </w:tc>
      </w:tr>
      <w:tr>
        <w:trPr/>
        <w:tc>
          <w:tcPr>
            <w:tcW w:w="1385" w:type="dxa"/>
            <w:tcBorders/>
            <w:vAlign w:val="center"/>
          </w:tcPr>
          <w:p>
            <w:pPr>
              <w:pStyle w:val="TableContents"/>
              <w:bidi w:val="0"/>
              <w:spacing w:before="0" w:after="283"/>
              <w:jc w:val="left"/>
              <w:rPr/>
            </w:pPr>
            <w:r>
              <w:rPr/>
              <w:t> </w:t>
            </w:r>
          </w:p>
        </w:tc>
        <w:tc>
          <w:tcPr>
            <w:tcW w:w="4729" w:type="dxa"/>
            <w:gridSpan w:val="2"/>
            <w:tcBorders/>
            <w:vAlign w:val="center"/>
          </w:tcPr>
          <w:p>
            <w:pPr>
              <w:pStyle w:val="TableContents"/>
              <w:bidi w:val="0"/>
              <w:spacing w:before="0" w:after="0"/>
              <w:jc w:val="left"/>
              <w:rPr>
                <w:color w:val="000000"/>
                <w:sz w:val="20"/>
              </w:rPr>
            </w:pPr>
            <w:r>
              <w:rPr>
                <w:color w:val="000000"/>
                <w:sz w:val="20"/>
              </w:rPr>
              <w:t>Jeffrey Lown II</w:t>
            </w:r>
          </w:p>
        </w:tc>
      </w:tr>
      <w:tr>
        <w:trPr/>
        <w:tc>
          <w:tcPr>
            <w:tcW w:w="1385" w:type="dxa"/>
            <w:tcBorders/>
            <w:vAlign w:val="center"/>
          </w:tcPr>
          <w:p>
            <w:pPr>
              <w:pStyle w:val="TableContents"/>
              <w:bidi w:val="0"/>
              <w:spacing w:before="0" w:after="283"/>
              <w:jc w:val="left"/>
              <w:rPr/>
            </w:pPr>
            <w:r>
              <w:rPr/>
              <w:t> </w:t>
            </w:r>
          </w:p>
        </w:tc>
        <w:tc>
          <w:tcPr>
            <w:tcW w:w="4729" w:type="dxa"/>
            <w:gridSpan w:val="2"/>
            <w:tcBorders/>
            <w:vAlign w:val="center"/>
          </w:tcPr>
          <w:p>
            <w:pPr>
              <w:pStyle w:val="TableContents"/>
              <w:bidi w:val="0"/>
              <w:spacing w:before="0" w:after="0"/>
              <w:jc w:val="left"/>
              <w:rPr>
                <w:color w:val="000000"/>
                <w:sz w:val="20"/>
              </w:rPr>
            </w:pPr>
            <w:r>
              <w:rPr>
                <w:color w:val="000000"/>
                <w:sz w:val="20"/>
              </w:rPr>
              <w:t>President and Chief Executive Officer (Principal</w:t>
            </w:r>
          </w:p>
        </w:tc>
      </w:tr>
      <w:tr>
        <w:trPr/>
        <w:tc>
          <w:tcPr>
            <w:tcW w:w="1385" w:type="dxa"/>
            <w:tcBorders/>
            <w:vAlign w:val="center"/>
          </w:tcPr>
          <w:p>
            <w:pPr>
              <w:pStyle w:val="TableContents"/>
              <w:bidi w:val="0"/>
              <w:spacing w:before="0" w:after="283"/>
              <w:jc w:val="left"/>
              <w:rPr/>
            </w:pPr>
            <w:r>
              <w:rPr/>
              <w:t> </w:t>
            </w:r>
          </w:p>
        </w:tc>
        <w:tc>
          <w:tcPr>
            <w:tcW w:w="4729" w:type="dxa"/>
            <w:gridSpan w:val="2"/>
            <w:tcBorders/>
            <w:vAlign w:val="center"/>
          </w:tcPr>
          <w:p>
            <w:pPr>
              <w:pStyle w:val="TableContents"/>
              <w:bidi w:val="0"/>
              <w:spacing w:before="0" w:after="0"/>
              <w:jc w:val="left"/>
              <w:rPr>
                <w:color w:val="000000"/>
                <w:sz w:val="20"/>
              </w:rPr>
            </w:pPr>
            <w:r>
              <w:rPr>
                <w:color w:val="000000"/>
                <w:sz w:val="20"/>
              </w:rPr>
              <w:t>Executive Officer)</w:t>
            </w:r>
          </w:p>
        </w:tc>
      </w:tr>
      <w:tr>
        <w:trPr/>
        <w:tc>
          <w:tcPr>
            <w:tcW w:w="1385" w:type="dxa"/>
            <w:tcBorders/>
            <w:vAlign w:val="center"/>
          </w:tcPr>
          <w:p>
            <w:pPr>
              <w:pStyle w:val="TableContents"/>
              <w:bidi w:val="0"/>
              <w:spacing w:before="0" w:after="283"/>
              <w:jc w:val="left"/>
              <w:rPr/>
            </w:pPr>
            <w:r>
              <w:rPr/>
              <w:t> </w:t>
            </w:r>
          </w:p>
        </w:tc>
        <w:tc>
          <w:tcPr>
            <w:tcW w:w="836" w:type="dxa"/>
            <w:tcBorders/>
            <w:vAlign w:val="center"/>
          </w:tcPr>
          <w:p>
            <w:pPr>
              <w:pStyle w:val="TableContents"/>
              <w:bidi w:val="0"/>
              <w:spacing w:before="0" w:after="283"/>
              <w:jc w:val="left"/>
              <w:rPr/>
            </w:pPr>
            <w:r>
              <w:rPr/>
              <w:t> </w:t>
            </w:r>
          </w:p>
        </w:tc>
        <w:tc>
          <w:tcPr>
            <w:tcW w:w="3893" w:type="dxa"/>
            <w:tcBorders/>
            <w:vAlign w:val="center"/>
          </w:tcPr>
          <w:p>
            <w:pPr>
              <w:pStyle w:val="TableContents"/>
              <w:bidi w:val="0"/>
              <w:spacing w:before="0" w:after="283"/>
              <w:jc w:val="left"/>
              <w:rPr/>
            </w:pPr>
            <w:r>
              <w:rPr/>
              <w:t> </w:t>
            </w:r>
          </w:p>
        </w:tc>
      </w:tr>
      <w:tr>
        <w:trPr/>
        <w:tc>
          <w:tcPr>
            <w:tcW w:w="1385" w:type="dxa"/>
            <w:tcBorders/>
            <w:vAlign w:val="center"/>
          </w:tcPr>
          <w:p>
            <w:pPr>
              <w:pStyle w:val="TableContents"/>
              <w:bidi w:val="0"/>
              <w:spacing w:before="0" w:after="0"/>
              <w:jc w:val="left"/>
              <w:rPr>
                <w:color w:val="000000"/>
                <w:sz w:val="20"/>
              </w:rPr>
            </w:pPr>
            <w:r>
              <w:rPr>
                <w:color w:val="000000"/>
                <w:sz w:val="20"/>
              </w:rPr>
              <w:t>August 10, 2026</w:t>
            </w:r>
          </w:p>
        </w:tc>
        <w:tc>
          <w:tcPr>
            <w:tcW w:w="836" w:type="dxa"/>
            <w:tcBorders/>
            <w:vAlign w:val="center"/>
          </w:tcPr>
          <w:p>
            <w:pPr>
              <w:pStyle w:val="TableContents"/>
              <w:bidi w:val="0"/>
              <w:spacing w:before="0" w:after="0"/>
              <w:jc w:val="left"/>
              <w:rPr>
                <w:color w:val="000000"/>
                <w:sz w:val="20"/>
              </w:rPr>
            </w:pPr>
            <w:r>
              <w:rPr>
                <w:color w:val="000000"/>
                <w:sz w:val="20"/>
              </w:rPr>
              <w:t>By:</w:t>
            </w:r>
          </w:p>
        </w:tc>
        <w:tc>
          <w:tcPr>
            <w:tcW w:w="3893" w:type="dxa"/>
            <w:tcBorders>
              <w:bottom w:val="single" w:sz="12" w:space="0" w:color="000000"/>
            </w:tcBorders>
            <w:tcMar>
              <w:bottom w:w="28" w:type="dxa"/>
            </w:tcMar>
            <w:vAlign w:val="center"/>
          </w:tcPr>
          <w:p>
            <w:pPr>
              <w:pStyle w:val="TableContents"/>
              <w:bidi w:val="0"/>
              <w:spacing w:before="0" w:after="0"/>
              <w:jc w:val="left"/>
              <w:rPr>
                <w:color w:val="000000"/>
                <w:sz w:val="20"/>
              </w:rPr>
            </w:pPr>
            <w:r>
              <w:rPr>
                <w:color w:val="000000"/>
                <w:sz w:val="20"/>
              </w:rPr>
              <w:t>/s/ Apeksha Patel</w:t>
            </w:r>
          </w:p>
        </w:tc>
      </w:tr>
      <w:tr>
        <w:trPr/>
        <w:tc>
          <w:tcPr>
            <w:tcW w:w="1385" w:type="dxa"/>
            <w:tcBorders/>
            <w:vAlign w:val="center"/>
          </w:tcPr>
          <w:p>
            <w:pPr>
              <w:pStyle w:val="TableContents"/>
              <w:bidi w:val="0"/>
              <w:spacing w:before="0" w:after="283"/>
              <w:jc w:val="left"/>
              <w:rPr/>
            </w:pPr>
            <w:r>
              <w:rPr/>
              <w:t> </w:t>
            </w:r>
          </w:p>
        </w:tc>
        <w:tc>
          <w:tcPr>
            <w:tcW w:w="4729" w:type="dxa"/>
            <w:gridSpan w:val="2"/>
            <w:tcBorders/>
            <w:vAlign w:val="center"/>
          </w:tcPr>
          <w:p>
            <w:pPr>
              <w:pStyle w:val="TableContents"/>
              <w:bidi w:val="0"/>
              <w:spacing w:before="0" w:after="0"/>
              <w:jc w:val="left"/>
              <w:rPr>
                <w:color w:val="000000"/>
                <w:sz w:val="20"/>
              </w:rPr>
            </w:pPr>
            <w:r>
              <w:rPr>
                <w:color w:val="000000"/>
                <w:sz w:val="20"/>
              </w:rPr>
              <w:t>Apeksha Patel</w:t>
            </w:r>
          </w:p>
        </w:tc>
      </w:tr>
      <w:tr>
        <w:trPr/>
        <w:tc>
          <w:tcPr>
            <w:tcW w:w="1385" w:type="dxa"/>
            <w:tcBorders/>
            <w:vAlign w:val="center"/>
          </w:tcPr>
          <w:p>
            <w:pPr>
              <w:pStyle w:val="TableContents"/>
              <w:bidi w:val="0"/>
              <w:spacing w:before="0" w:after="283"/>
              <w:jc w:val="left"/>
              <w:rPr/>
            </w:pPr>
            <w:r>
              <w:rPr/>
              <w:t> </w:t>
            </w:r>
          </w:p>
        </w:tc>
        <w:tc>
          <w:tcPr>
            <w:tcW w:w="4729" w:type="dxa"/>
            <w:gridSpan w:val="2"/>
            <w:tcBorders/>
            <w:vAlign w:val="center"/>
          </w:tcPr>
          <w:p>
            <w:pPr>
              <w:pStyle w:val="TableContents"/>
              <w:bidi w:val="0"/>
              <w:spacing w:before="0" w:after="0"/>
              <w:jc w:val="left"/>
              <w:rPr>
                <w:color w:val="000000"/>
                <w:sz w:val="20"/>
              </w:rPr>
            </w:pPr>
            <w:r>
              <w:rPr>
                <w:color w:val="000000"/>
                <w:sz w:val="20"/>
              </w:rPr>
              <w:t>Chief Financial Officer and Treasurer</w:t>
            </w:r>
          </w:p>
        </w:tc>
      </w:tr>
      <w:tr>
        <w:trPr/>
        <w:tc>
          <w:tcPr>
            <w:tcW w:w="1385" w:type="dxa"/>
            <w:tcBorders/>
            <w:vAlign w:val="center"/>
          </w:tcPr>
          <w:p>
            <w:pPr>
              <w:pStyle w:val="TableContents"/>
              <w:bidi w:val="0"/>
              <w:spacing w:before="0" w:after="283"/>
              <w:jc w:val="left"/>
              <w:rPr/>
            </w:pPr>
            <w:r>
              <w:rPr/>
              <w:t> </w:t>
            </w:r>
          </w:p>
        </w:tc>
        <w:tc>
          <w:tcPr>
            <w:tcW w:w="4729" w:type="dxa"/>
            <w:gridSpan w:val="2"/>
            <w:tcBorders/>
            <w:vAlign w:val="center"/>
          </w:tcPr>
          <w:p>
            <w:pPr>
              <w:pStyle w:val="TableContents"/>
              <w:bidi w:val="0"/>
              <w:spacing w:before="0" w:after="0"/>
              <w:jc w:val="left"/>
              <w:rPr>
                <w:color w:val="000000"/>
                <w:sz w:val="20"/>
              </w:rPr>
            </w:pPr>
            <w:r>
              <w:rPr>
                <w:color w:val="000000"/>
                <w:sz w:val="20"/>
              </w:rPr>
              <w:t>(Principal Financial Officer)</w:t>
            </w:r>
          </w:p>
        </w:tc>
      </w:tr>
    </w:tbl>
    <w:p>
      <w:pPr>
        <w:pStyle w:val="TextBody"/>
        <w:bidi w:val="0"/>
        <w:spacing w:before="0" w:after="0"/>
        <w:jc w:val="left"/>
        <w:rPr>
          <w:sz w:val="20"/>
        </w:rPr>
      </w:pPr>
      <w:r>
        <w:rPr>
          <w:sz w:val="20"/>
        </w:rPr>
      </w:r>
    </w:p>
    <w:p>
      <w:pPr>
        <w:pStyle w:val="TextBody"/>
        <w:bidi w:val="0"/>
        <w:spacing w:before="0" w:after="0"/>
        <w:jc w:val="center"/>
        <w:rPr>
          <w:rFonts w:ascii="Times New Roman" w:hAnsi="Times New Roman"/>
          <w:color w:val="000000"/>
          <w:sz w:val="22"/>
          <w:shd w:fill="FFFFFF" w:val="clear"/>
        </w:rPr>
      </w:pPr>
      <w:r>
        <w:rPr>
          <w:rFonts w:ascii="Times New Roman" w:hAnsi="Times New Roman"/>
          <w:color w:val="000000"/>
          <w:sz w:val="22"/>
          <w:shd w:fill="FFFFFF" w:val="clear"/>
        </w:rPr>
        <w:br/>
      </w:r>
      <w:r>
        <w:rPr>
          <w:rFonts w:ascii="Times New Roman" w:hAnsi="Times New Roman"/>
          <w:b w:val="false"/>
          <w:i w:val="false"/>
          <w:caps w:val="false"/>
          <w:smallCaps w:val="false"/>
          <w:color w:val="000000"/>
          <w:sz w:val="16"/>
          <w:shd w:fill="FFFFFF" w:val="clear"/>
        </w:rPr>
        <w:t>82</w:t>
      </w:r>
      <w:r>
        <w:rPr>
          <w:rFonts w:ascii="Times New Roman" w:hAnsi="Times New Roman"/>
          <w:color w:val="000000"/>
          <w:sz w:val="22"/>
          <w:shd w:fill="FFFFFF" w:val="clear"/>
        </w:rPr>
        <w:t xml:space="preserve"> </w:t>
      </w:r>
    </w:p>
    <w:p>
      <w:pPr>
        <w:pStyle w:val="HorizontalLine"/>
        <w:bidi w:val="0"/>
        <w:jc w:val="left"/>
        <w:rPr/>
      </w:pPr>
      <w:r>
        <w:rPr/>
      </w:r>
    </w:p>
    <w:p>
      <w:pPr>
        <w:pStyle w:val="HorizontalLine"/>
        <w:pBdr>
          <w:bottom w:val="single" w:sz="12" w:space="0" w:color="808080"/>
        </w:pBdr>
        <w:bidi w:val="0"/>
        <w:jc w:val="left"/>
        <w:rPr/>
      </w:pPr>
      <w:r>
        <w:rPr/>
      </w:r>
      <w:bookmarkStart w:id="40" w:name="ef20075172_ex10-1.htm"/>
      <w:bookmarkStart w:id="41" w:name="ksef20075172_ex101"/>
      <w:bookmarkStart w:id="42" w:name="ef20075172_ex10-1.htm"/>
      <w:bookmarkStart w:id="43" w:name="ksef20075172_ex101"/>
      <w:bookmarkEnd w:id="42"/>
      <w:bookmarkEnd w:id="43"/>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10.1</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color w:val="17365D"/>
          <w:sz w:val="20"/>
        </w:rPr>
      </w:pPr>
      <w:r>
        <w:rPr>
          <w:rFonts w:ascii="Times New Roman" w:hAnsi="Times New Roman"/>
          <w:color w:val="17365D"/>
          <w:sz w:val="20"/>
        </w:rPr>
        <w:t>Cherry Hill Mortgage Investment Corporation</w:t>
      </w:r>
    </w:p>
    <w:p>
      <w:pPr>
        <w:pStyle w:val="TextBody"/>
        <w:bidi w:val="0"/>
        <w:spacing w:before="0" w:after="0"/>
        <w:jc w:val="center"/>
        <w:rPr>
          <w:rFonts w:ascii="Times New Roman" w:hAnsi="Times New Roman"/>
          <w:color w:val="17365D"/>
          <w:sz w:val="20"/>
        </w:rPr>
      </w:pPr>
      <w:r>
        <w:rPr>
          <w:rFonts w:ascii="Times New Roman" w:hAnsi="Times New Roman"/>
          <w:color w:val="17365D"/>
          <w:sz w:val="20"/>
        </w:rPr>
      </w:r>
    </w:p>
    <w:p>
      <w:pPr>
        <w:pStyle w:val="TextBody"/>
        <w:bidi w:val="0"/>
        <w:spacing w:before="0" w:after="0"/>
        <w:jc w:val="center"/>
        <w:rPr>
          <w:rFonts w:ascii="Times New Roman" w:hAnsi="Times New Roman"/>
          <w:color w:val="17365D"/>
          <w:sz w:val="20"/>
        </w:rPr>
      </w:pPr>
      <w:r>
        <w:rPr>
          <w:rFonts w:ascii="Times New Roman" w:hAnsi="Times New Roman"/>
          <w:color w:val="17365D"/>
          <w:sz w:val="20"/>
        </w:rPr>
        <w:t>2026 Executive Compensation Plan</w:t>
      </w:r>
    </w:p>
    <w:p>
      <w:pPr>
        <w:pStyle w:val="TextBody"/>
        <w:bidi w:val="0"/>
        <w:spacing w:before="0" w:after="0"/>
        <w:jc w:val="left"/>
        <w:rPr>
          <w:color w:val="000000"/>
        </w:rPr>
      </w:pPr>
      <w:r>
        <w:rPr>
          <w:color w:val="000000"/>
        </w:rPr>
        <w:t> </w:t>
      </w:r>
    </w:p>
    <w:p>
      <w:pPr>
        <w:pStyle w:val="HorizontalLine"/>
        <w:pBdr>
          <w:bottom w:val="single" w:sz="12" w:space="0" w:color="808080"/>
        </w:pBdr>
        <w:bidi w:val="0"/>
        <w:jc w:val="left"/>
        <w:rPr/>
      </w:pPr>
      <w:r>
        <w:rPr/>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compensation plan outlined herein has been designed to generally accomplish the following four key principal goals:</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44" w:name="z9eb33f72f5cf45c2acbbf84d19d83030"/>
      <w:bookmarkStart w:id="45" w:name="z9eb33f72f5cf45c2acbbf84d19d83030"/>
      <w:bookmarkEnd w:id="45"/>
    </w:p>
    <w:tbl>
      <w:tblPr>
        <w:tblW w:w="4008" w:type="dxa"/>
        <w:jc w:val="left"/>
        <w:tblInd w:w="0" w:type="dxa"/>
        <w:tblLayout w:type="fixed"/>
        <w:tblCellMar>
          <w:top w:w="0" w:type="dxa"/>
          <w:left w:w="0" w:type="dxa"/>
          <w:bottom w:w="0" w:type="dxa"/>
          <w:right w:w="0" w:type="dxa"/>
        </w:tblCellMar>
      </w:tblPr>
      <w:tblGrid>
        <w:gridCol w:w="38"/>
        <w:gridCol w:w="170"/>
        <w:gridCol w:w="3800"/>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pPr>
            <w:r>
              <w:rPr/>
              <w:t>■</w:t>
            </w:r>
          </w:p>
        </w:tc>
        <w:tc>
          <w:tcPr>
            <w:tcW w:w="380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Attract and retain highly-qualified executives;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46" w:name="zb255d36f9bc540a6ae9a56cba88aed46"/>
      <w:bookmarkStart w:id="47" w:name="zb255d36f9bc540a6ae9a56cba88aed46"/>
      <w:bookmarkEnd w:id="47"/>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Motivate these executives to achieve corporate and individual performance objectives and increase stockholder value on an annual and long-term basis;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48" w:name="z9782ba52a7b642219e59f79c426f9016"/>
      <w:bookmarkStart w:id="49" w:name="z9782ba52a7b642219e59f79c426f9016"/>
      <w:bookmarkEnd w:id="49"/>
    </w:p>
    <w:tbl>
      <w:tblPr>
        <w:tblW w:w="9003" w:type="dxa"/>
        <w:jc w:val="left"/>
        <w:tblInd w:w="0" w:type="dxa"/>
        <w:tblLayout w:type="fixed"/>
        <w:tblCellMar>
          <w:top w:w="0" w:type="dxa"/>
          <w:left w:w="0" w:type="dxa"/>
          <w:bottom w:w="0" w:type="dxa"/>
          <w:right w:w="0" w:type="dxa"/>
        </w:tblCellMar>
      </w:tblPr>
      <w:tblGrid>
        <w:gridCol w:w="38"/>
        <w:gridCol w:w="170"/>
        <w:gridCol w:w="8795"/>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pPr>
            <w:r>
              <w:rPr/>
              <w:t>■</w:t>
            </w:r>
          </w:p>
        </w:tc>
        <w:tc>
          <w:tcPr>
            <w:tcW w:w="879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Achieve an appropriate balance between risk and reward that does not incentivize excessive risk taking; and</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50" w:name="zc1f651b169be400bb111f24db6e73a2b"/>
      <w:bookmarkStart w:id="51" w:name="zc1f651b169be400bb111f24db6e73a2b"/>
      <w:bookmarkEnd w:id="51"/>
    </w:p>
    <w:tbl>
      <w:tblPr>
        <w:tblW w:w="8043" w:type="dxa"/>
        <w:jc w:val="left"/>
        <w:tblInd w:w="0" w:type="dxa"/>
        <w:tblLayout w:type="fixed"/>
        <w:tblCellMar>
          <w:top w:w="0" w:type="dxa"/>
          <w:left w:w="0" w:type="dxa"/>
          <w:bottom w:w="0" w:type="dxa"/>
          <w:right w:w="0" w:type="dxa"/>
        </w:tblCellMar>
      </w:tblPr>
      <w:tblGrid>
        <w:gridCol w:w="38"/>
        <w:gridCol w:w="170"/>
        <w:gridCol w:w="7835"/>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pPr>
            <w:r>
              <w:rPr/>
              <w:t>■</w:t>
            </w:r>
          </w:p>
        </w:tc>
        <w:tc>
          <w:tcPr>
            <w:tcW w:w="783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Promote teamwork and cooperation throughout the company and within the management group.</w:t>
            </w:r>
          </w:p>
        </w:tc>
      </w:tr>
    </w:tbl>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Separately, the compensation program developed herein has been set after a thorough market review of other mortgage REITs’ executive compensation programs, focused on establishing reasonable compensation levels for each executive on an all-in basis (i.e., the sum of salary, target cash bonus, and target equity) while being mindful to broader company financial sensitivities.</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b/>
          <w:color w:val="4F81BD"/>
          <w:sz w:val="20"/>
        </w:rPr>
      </w:pPr>
      <w:r>
        <w:rPr>
          <w:rFonts w:ascii="Times New Roman" w:hAnsi="Times New Roman"/>
          <w:b/>
          <w:color w:val="4F81BD"/>
          <w:sz w:val="20"/>
        </w:rPr>
        <w:t>Base Salary</w:t>
      </w:r>
    </w:p>
    <w:p>
      <w:pPr>
        <w:pStyle w:val="TextBody"/>
        <w:bidi w:val="0"/>
        <w:spacing w:before="0" w:after="0"/>
        <w:jc w:val="left"/>
        <w:rPr>
          <w:sz w:val="20"/>
        </w:rPr>
      </w:pPr>
      <w:r>
        <w:rPr>
          <w:sz w:val="20"/>
        </w:rPr>
      </w:r>
    </w:p>
    <w:p>
      <w:pPr>
        <w:pStyle w:val="TextBody"/>
        <w:bidi w:val="0"/>
        <w:spacing w:lineRule="auto" w:line="240" w:before="0" w:after="0"/>
        <w:jc w:val="both"/>
        <w:rPr>
          <w:rFonts w:ascii="Times New Roman" w:hAnsi="Times New Roman"/>
          <w:color w:val="000000"/>
          <w:sz w:val="20"/>
        </w:rPr>
      </w:pPr>
      <w:r>
        <w:rPr>
          <w:rFonts w:ascii="Times New Roman" w:hAnsi="Times New Roman"/>
          <w:color w:val="000000"/>
          <w:sz w:val="20"/>
        </w:rPr>
        <w:t xml:space="preserve">Base salary levels (along with incentive compensation) have been benchmarked against a peer group of public real estate investment trusts with similarity to CHMI in terms of asset focus (other residential mortgage REITs) and size.  Salary levels in the table below rank in line with the 25th percentile of the compensation peer set.  </w:t>
      </w:r>
      <w:r>
        <w:rPr>
          <w:rFonts w:ascii="Times New Roman" w:hAnsi="Times New Roman"/>
          <w:i/>
          <w:color w:val="000000"/>
          <w:sz w:val="20"/>
        </w:rPr>
        <w:t>Note that as part of the transition to an internally managed entity, executives only received salaries in 2025 and did not participate in standardized short- or long-term incentive programs.</w:t>
      </w:r>
    </w:p>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52" w:name="zf7534d2a51534b83985a884255ad657a"/>
      <w:bookmarkStart w:id="53" w:name="zf7534d2a51534b83985a884255ad657a"/>
      <w:bookmarkEnd w:id="53"/>
    </w:p>
    <w:tbl>
      <w:tblPr>
        <w:tblW w:w="5530" w:type="dxa"/>
        <w:jc w:val="left"/>
        <w:tblInd w:w="0" w:type="dxa"/>
        <w:tblLayout w:type="fixed"/>
        <w:tblCellMar>
          <w:top w:w="28" w:type="dxa"/>
          <w:left w:w="0" w:type="dxa"/>
          <w:bottom w:w="28" w:type="dxa"/>
          <w:right w:w="0" w:type="dxa"/>
        </w:tblCellMar>
      </w:tblPr>
      <w:tblGrid>
        <w:gridCol w:w="60"/>
        <w:gridCol w:w="1295"/>
        <w:gridCol w:w="1550"/>
        <w:gridCol w:w="950"/>
        <w:gridCol w:w="800"/>
        <w:gridCol w:w="875"/>
      </w:tblGrid>
      <w:tr>
        <w:trPr/>
        <w:tc>
          <w:tcPr>
            <w:tcW w:w="60" w:type="dxa"/>
            <w:vMerge w:val="restart"/>
            <w:tcBorders>
              <w:top w:val="single" w:sz="12" w:space="0" w:color="000000"/>
              <w:bottom w:val="single" w:sz="12" w:space="0" w:color="000000"/>
            </w:tcBorders>
            <w:vAlign w:val="center"/>
          </w:tcPr>
          <w:p>
            <w:pPr>
              <w:pStyle w:val="TableContents"/>
              <w:bidi w:val="0"/>
              <w:spacing w:before="0" w:after="283"/>
              <w:jc w:val="left"/>
              <w:rPr/>
            </w:pPr>
            <w:r>
              <w:rPr/>
              <w:t> </w:t>
            </w:r>
          </w:p>
        </w:tc>
        <w:tc>
          <w:tcPr>
            <w:tcW w:w="1295" w:type="dxa"/>
            <w:vMerge w:val="restart"/>
            <w:tcBorders>
              <w:top w:val="single" w:sz="12" w:space="0" w:color="000000"/>
              <w:bottom w:val="single" w:sz="12" w:space="0" w:color="000000"/>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Executive</w:t>
            </w:r>
          </w:p>
        </w:tc>
        <w:tc>
          <w:tcPr>
            <w:tcW w:w="1550" w:type="dxa"/>
            <w:vMerge w:val="restart"/>
            <w:tcBorders>
              <w:top w:val="single" w:sz="12" w:space="0" w:color="000000"/>
              <w:bottom w:val="single" w:sz="12" w:space="0" w:color="000000"/>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Position</w:t>
            </w:r>
          </w:p>
        </w:tc>
        <w:tc>
          <w:tcPr>
            <w:tcW w:w="950" w:type="dxa"/>
            <w:tcBorders>
              <w:top w:val="single" w:sz="12" w:space="0" w:color="000000"/>
            </w:tcBorders>
            <w:tcMar>
              <w:bottom w:w="0" w:type="dxa"/>
            </w:tcMar>
            <w:vAlign w:val="center"/>
          </w:tcPr>
          <w:p>
            <w:pPr>
              <w:pStyle w:val="TableContents"/>
              <w:bidi w:val="0"/>
              <w:spacing w:before="0" w:after="283"/>
              <w:jc w:val="left"/>
              <w:rPr/>
            </w:pPr>
            <w:r>
              <w:rPr/>
              <w:t> </w:t>
            </w:r>
          </w:p>
        </w:tc>
        <w:tc>
          <w:tcPr>
            <w:tcW w:w="1675" w:type="dxa"/>
            <w:gridSpan w:val="2"/>
            <w:tcBorders>
              <w:top w:val="single" w:sz="12" w:space="0" w:color="000000"/>
            </w:tcBorders>
            <w:tcMar>
              <w:bottom w:w="0"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Base Salary</w:t>
            </w:r>
          </w:p>
        </w:tc>
      </w:tr>
      <w:tr>
        <w:trPr/>
        <w:tc>
          <w:tcPr>
            <w:tcW w:w="60" w:type="dxa"/>
            <w:vMerge w:val="continue"/>
            <w:tcBorders>
              <w:top w:val="single" w:sz="12" w:space="0" w:color="000000"/>
              <w:bottom w:val="single" w:sz="12" w:space="0" w:color="000000"/>
            </w:tcBorders>
            <w:vAlign w:val="center"/>
          </w:tcPr>
          <w:p>
            <w:pPr>
              <w:pStyle w:val="Normal"/>
              <w:bidi w:val="0"/>
              <w:jc w:val="left"/>
              <w:rPr/>
            </w:pPr>
            <w:r>
              <w:rPr/>
            </w:r>
          </w:p>
        </w:tc>
        <w:tc>
          <w:tcPr>
            <w:tcW w:w="1295" w:type="dxa"/>
            <w:vMerge w:val="continue"/>
            <w:tcBorders>
              <w:top w:val="single" w:sz="12" w:space="0" w:color="000000"/>
              <w:bottom w:val="single" w:sz="12" w:space="0" w:color="000000"/>
            </w:tcBorders>
            <w:vAlign w:val="center"/>
          </w:tcPr>
          <w:p>
            <w:pPr>
              <w:pStyle w:val="Normal"/>
              <w:bidi w:val="0"/>
              <w:jc w:val="left"/>
              <w:rPr/>
            </w:pPr>
            <w:r>
              <w:rPr/>
            </w:r>
          </w:p>
        </w:tc>
        <w:tc>
          <w:tcPr>
            <w:tcW w:w="1550" w:type="dxa"/>
            <w:vMerge w:val="continue"/>
            <w:tcBorders>
              <w:top w:val="single" w:sz="12" w:space="0" w:color="000000"/>
              <w:bottom w:val="single" w:sz="12" w:space="0" w:color="000000"/>
            </w:tcBorders>
            <w:vAlign w:val="center"/>
          </w:tcPr>
          <w:p>
            <w:pPr>
              <w:pStyle w:val="Normal"/>
              <w:bidi w:val="0"/>
              <w:jc w:val="left"/>
              <w:rPr/>
            </w:pPr>
            <w:r>
              <w:rPr/>
            </w:r>
          </w:p>
        </w:tc>
        <w:tc>
          <w:tcPr>
            <w:tcW w:w="950" w:type="dxa"/>
            <w:tcBorders>
              <w:bottom w:val="single" w:sz="12" w:space="0" w:color="000000"/>
            </w:tcBorders>
            <w:tcMar>
              <w:top w:w="0"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2025</w:t>
            </w:r>
          </w:p>
        </w:tc>
        <w:tc>
          <w:tcPr>
            <w:tcW w:w="800" w:type="dxa"/>
            <w:tcBorders>
              <w:bottom w:val="single" w:sz="12" w:space="0" w:color="000000"/>
            </w:tcBorders>
            <w:tcMar>
              <w:top w:w="0"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2026</w:t>
            </w:r>
          </w:p>
        </w:tc>
        <w:tc>
          <w:tcPr>
            <w:tcW w:w="875" w:type="dxa"/>
            <w:tcBorders>
              <w:bottom w:val="single" w:sz="12" w:space="0" w:color="000000"/>
            </w:tcBorders>
            <w:tcMar>
              <w:top w:w="0" w:type="dxa"/>
            </w:tcMar>
            <w:vAlign w:val="center"/>
          </w:tcPr>
          <w:p>
            <w:pPr>
              <w:pStyle w:val="TableContents"/>
              <w:bidi w:val="0"/>
              <w:spacing w:before="0" w:after="0"/>
              <w:jc w:val="center"/>
              <w:rPr>
                <w:rFonts w:ascii="Times New Roman" w:hAnsi="Times New Roman"/>
                <w:i/>
                <w:sz w:val="20"/>
              </w:rPr>
            </w:pPr>
            <w:r>
              <w:rPr>
                <w:rFonts w:ascii="Times New Roman" w:hAnsi="Times New Roman"/>
                <w:i/>
                <w:sz w:val="20"/>
              </w:rPr>
              <w:t>% Change</w:t>
            </w:r>
          </w:p>
        </w:tc>
      </w:tr>
      <w:tr>
        <w:trPr/>
        <w:tc>
          <w:tcPr>
            <w:tcW w:w="60" w:type="dxa"/>
            <w:tcBorders/>
            <w:shd w:fill="D9D9D9" w:val="clear"/>
            <w:tcMar>
              <w:top w:w="0" w:type="dxa"/>
              <w:bottom w:w="0" w:type="dxa"/>
            </w:tcMar>
            <w:vAlign w:val="center"/>
          </w:tcPr>
          <w:p>
            <w:pPr>
              <w:pStyle w:val="TableContents"/>
              <w:bidi w:val="0"/>
              <w:spacing w:before="0" w:after="283"/>
              <w:jc w:val="left"/>
              <w:rPr/>
            </w:pPr>
            <w:r>
              <w:rPr/>
              <w:t> </w:t>
            </w:r>
          </w:p>
        </w:tc>
        <w:tc>
          <w:tcPr>
            <w:tcW w:w="1295" w:type="dxa"/>
            <w:tcBorders/>
            <w:shd w:fill="D9D9D9" w:val="clear"/>
            <w:tcMar>
              <w:top w:w="0" w:type="dxa"/>
              <w:bottom w:w="0" w:type="dxa"/>
            </w:tcMar>
            <w:vAlign w:val="center"/>
          </w:tcPr>
          <w:p>
            <w:pPr>
              <w:pStyle w:val="TableContents"/>
              <w:bidi w:val="0"/>
              <w:spacing w:before="0" w:after="0"/>
              <w:jc w:val="both"/>
              <w:rPr>
                <w:rFonts w:ascii="Times New Roman" w:hAnsi="Times New Roman"/>
                <w:sz w:val="20"/>
              </w:rPr>
            </w:pPr>
            <w:r>
              <w:rPr>
                <w:rFonts w:ascii="Times New Roman" w:hAnsi="Times New Roman"/>
                <w:sz w:val="20"/>
              </w:rPr>
              <w:t>Jeffrey B. Lown</w:t>
            </w:r>
          </w:p>
        </w:tc>
        <w:tc>
          <w:tcPr>
            <w:tcW w:w="1550" w:type="dxa"/>
            <w:tcBorders/>
            <w:shd w:fill="D9D9D9" w:val="clear"/>
            <w:tcMar>
              <w:top w:w="0" w:type="dxa"/>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President and CEO</w:t>
            </w:r>
          </w:p>
        </w:tc>
        <w:tc>
          <w:tcPr>
            <w:tcW w:w="950" w:type="dxa"/>
            <w:tcBorders/>
            <w:shd w:fill="D9D9D9" w:val="clear"/>
            <w:tcMar>
              <w:top w:w="0" w:type="dxa"/>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$1,235,000</w:t>
            </w:r>
          </w:p>
        </w:tc>
        <w:tc>
          <w:tcPr>
            <w:tcW w:w="800" w:type="dxa"/>
            <w:tcBorders/>
            <w:shd w:fill="D9D9D9" w:val="clear"/>
            <w:tcMar>
              <w:top w:w="0" w:type="dxa"/>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$900,000</w:t>
            </w:r>
          </w:p>
        </w:tc>
        <w:tc>
          <w:tcPr>
            <w:tcW w:w="875" w:type="dxa"/>
            <w:tcBorders/>
            <w:shd w:fill="D9D9D9" w:val="clear"/>
            <w:tcMar>
              <w:top w:w="0" w:type="dxa"/>
              <w:bottom w:w="0" w:type="dxa"/>
            </w:tcMar>
            <w:vAlign w:val="center"/>
          </w:tcPr>
          <w:p>
            <w:pPr>
              <w:pStyle w:val="TableContents"/>
              <w:bidi w:val="0"/>
              <w:spacing w:before="0" w:after="0"/>
              <w:jc w:val="center"/>
              <w:rPr>
                <w:rFonts w:ascii="Times New Roman" w:hAnsi="Times New Roman"/>
                <w:i/>
                <w:color w:val="000000"/>
                <w:sz w:val="20"/>
              </w:rPr>
            </w:pPr>
            <w:r>
              <w:rPr>
                <w:rFonts w:ascii="Times New Roman" w:hAnsi="Times New Roman"/>
                <w:i/>
                <w:color w:val="000000"/>
                <w:sz w:val="20"/>
              </w:rPr>
              <w:t>-27.1%</w:t>
            </w:r>
          </w:p>
        </w:tc>
      </w:tr>
      <w:tr>
        <w:trPr/>
        <w:tc>
          <w:tcPr>
            <w:tcW w:w="60" w:type="dxa"/>
            <w:tcBorders/>
            <w:tcMar>
              <w:top w:w="0" w:type="dxa"/>
              <w:bottom w:w="0" w:type="dxa"/>
            </w:tcMar>
            <w:vAlign w:val="center"/>
          </w:tcPr>
          <w:p>
            <w:pPr>
              <w:pStyle w:val="TableContents"/>
              <w:bidi w:val="0"/>
              <w:spacing w:before="0" w:after="283"/>
              <w:jc w:val="left"/>
              <w:rPr/>
            </w:pPr>
            <w:r>
              <w:rPr/>
              <w:t> </w:t>
            </w:r>
          </w:p>
        </w:tc>
        <w:tc>
          <w:tcPr>
            <w:tcW w:w="1295" w:type="dxa"/>
            <w:tcBorders/>
            <w:tcMar>
              <w:top w:w="0" w:type="dxa"/>
              <w:bottom w:w="0" w:type="dxa"/>
            </w:tcMar>
            <w:vAlign w:val="center"/>
          </w:tcPr>
          <w:p>
            <w:pPr>
              <w:pStyle w:val="TableContents"/>
              <w:bidi w:val="0"/>
              <w:spacing w:before="0" w:after="0"/>
              <w:jc w:val="both"/>
              <w:rPr>
                <w:rFonts w:ascii="Times New Roman" w:hAnsi="Times New Roman"/>
                <w:sz w:val="20"/>
              </w:rPr>
            </w:pPr>
            <w:r>
              <w:rPr>
                <w:rFonts w:ascii="Times New Roman" w:hAnsi="Times New Roman"/>
                <w:sz w:val="20"/>
              </w:rPr>
              <w:t>Julian B. Evans</w:t>
            </w:r>
          </w:p>
        </w:tc>
        <w:tc>
          <w:tcPr>
            <w:tcW w:w="1550" w:type="dxa"/>
            <w:tcBorders/>
            <w:tcMar>
              <w:top w:w="0" w:type="dxa"/>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CIO</w:t>
            </w:r>
          </w:p>
        </w:tc>
        <w:tc>
          <w:tcPr>
            <w:tcW w:w="950" w:type="dxa"/>
            <w:tcBorders/>
            <w:tcMar>
              <w:top w:w="0" w:type="dxa"/>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$550,000</w:t>
            </w:r>
          </w:p>
        </w:tc>
        <w:tc>
          <w:tcPr>
            <w:tcW w:w="800" w:type="dxa"/>
            <w:tcBorders/>
            <w:tcMar>
              <w:top w:w="0" w:type="dxa"/>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$550,000</w:t>
            </w:r>
          </w:p>
        </w:tc>
        <w:tc>
          <w:tcPr>
            <w:tcW w:w="875" w:type="dxa"/>
            <w:tcBorders/>
            <w:tcMar>
              <w:top w:w="0" w:type="dxa"/>
              <w:bottom w:w="0" w:type="dxa"/>
            </w:tcMar>
            <w:vAlign w:val="center"/>
          </w:tcPr>
          <w:p>
            <w:pPr>
              <w:pStyle w:val="TableContents"/>
              <w:bidi w:val="0"/>
              <w:spacing w:before="0" w:after="0"/>
              <w:jc w:val="center"/>
              <w:rPr>
                <w:rFonts w:ascii="Times New Roman" w:hAnsi="Times New Roman"/>
                <w:i/>
                <w:color w:val="000000"/>
                <w:sz w:val="20"/>
              </w:rPr>
            </w:pPr>
            <w:r>
              <w:rPr>
                <w:rFonts w:ascii="Times New Roman" w:hAnsi="Times New Roman"/>
                <w:i/>
                <w:color w:val="000000"/>
                <w:sz w:val="20"/>
              </w:rPr>
              <w:t>0.0%</w:t>
            </w:r>
          </w:p>
        </w:tc>
      </w:tr>
      <w:tr>
        <w:trPr/>
        <w:tc>
          <w:tcPr>
            <w:tcW w:w="60" w:type="dxa"/>
            <w:tcBorders>
              <w:bottom w:val="single" w:sz="12" w:space="0" w:color="000000"/>
            </w:tcBorders>
            <w:shd w:fill="D9D9D9" w:val="clear"/>
            <w:tcMar>
              <w:top w:w="0" w:type="dxa"/>
            </w:tcMar>
            <w:vAlign w:val="center"/>
          </w:tcPr>
          <w:p>
            <w:pPr>
              <w:pStyle w:val="TableContents"/>
              <w:bidi w:val="0"/>
              <w:spacing w:before="0" w:after="283"/>
              <w:jc w:val="left"/>
              <w:rPr/>
            </w:pPr>
            <w:r>
              <w:rPr/>
              <w:t> </w:t>
            </w:r>
          </w:p>
        </w:tc>
        <w:tc>
          <w:tcPr>
            <w:tcW w:w="1295" w:type="dxa"/>
            <w:tcBorders>
              <w:bottom w:val="single" w:sz="12" w:space="0" w:color="000000"/>
            </w:tcBorders>
            <w:shd w:fill="D9D9D9" w:val="clear"/>
            <w:tcMar>
              <w:top w:w="0" w:type="dxa"/>
            </w:tcMar>
            <w:vAlign w:val="center"/>
          </w:tcPr>
          <w:p>
            <w:pPr>
              <w:pStyle w:val="TableContents"/>
              <w:bidi w:val="0"/>
              <w:spacing w:before="0" w:after="0"/>
              <w:jc w:val="both"/>
              <w:rPr>
                <w:rFonts w:ascii="Times New Roman" w:hAnsi="Times New Roman"/>
                <w:sz w:val="20"/>
              </w:rPr>
            </w:pPr>
            <w:r>
              <w:rPr>
                <w:rFonts w:ascii="Times New Roman" w:hAnsi="Times New Roman"/>
                <w:sz w:val="20"/>
              </w:rPr>
              <w:t>Apeksha Patel</w:t>
            </w:r>
          </w:p>
        </w:tc>
        <w:tc>
          <w:tcPr>
            <w:tcW w:w="1550" w:type="dxa"/>
            <w:tcBorders>
              <w:bottom w:val="single" w:sz="12" w:space="0" w:color="000000"/>
            </w:tcBorders>
            <w:shd w:fill="D9D9D9" w:val="clear"/>
            <w:tcMar>
              <w:top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CFO</w:t>
            </w:r>
          </w:p>
        </w:tc>
        <w:tc>
          <w:tcPr>
            <w:tcW w:w="950" w:type="dxa"/>
            <w:tcBorders>
              <w:bottom w:val="single" w:sz="12" w:space="0" w:color="000000"/>
            </w:tcBorders>
            <w:shd w:fill="D9D9D9" w:val="clear"/>
            <w:tcMar>
              <w:top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$300,000</w:t>
            </w:r>
          </w:p>
        </w:tc>
        <w:tc>
          <w:tcPr>
            <w:tcW w:w="800" w:type="dxa"/>
            <w:tcBorders>
              <w:bottom w:val="single" w:sz="12" w:space="0" w:color="000000"/>
            </w:tcBorders>
            <w:shd w:fill="D9D9D9" w:val="clear"/>
            <w:tcMar>
              <w:top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$400,000</w:t>
            </w:r>
          </w:p>
        </w:tc>
        <w:tc>
          <w:tcPr>
            <w:tcW w:w="875" w:type="dxa"/>
            <w:tcBorders>
              <w:bottom w:val="single" w:sz="12" w:space="0" w:color="000000"/>
            </w:tcBorders>
            <w:shd w:fill="D9D9D9" w:val="clear"/>
            <w:tcMar>
              <w:top w:w="0" w:type="dxa"/>
            </w:tcMar>
            <w:vAlign w:val="center"/>
          </w:tcPr>
          <w:p>
            <w:pPr>
              <w:pStyle w:val="TableContents"/>
              <w:bidi w:val="0"/>
              <w:spacing w:before="0" w:after="0"/>
              <w:jc w:val="center"/>
              <w:rPr>
                <w:rFonts w:ascii="Times New Roman" w:hAnsi="Times New Roman"/>
                <w:i/>
                <w:color w:val="000000"/>
                <w:sz w:val="20"/>
              </w:rPr>
            </w:pPr>
            <w:r>
              <w:rPr>
                <w:rFonts w:ascii="Times New Roman" w:hAnsi="Times New Roman"/>
                <w:i/>
                <w:color w:val="000000"/>
                <w:sz w:val="20"/>
              </w:rPr>
              <w:t>33.3%</w:t>
            </w:r>
          </w:p>
        </w:tc>
      </w:tr>
    </w:tbl>
    <w:p>
      <w:pPr>
        <w:pStyle w:val="TextBody"/>
        <w:bidi w:val="0"/>
        <w:spacing w:before="0" w:after="0"/>
        <w:jc w:val="left"/>
        <w:rPr>
          <w:sz w:val="20"/>
        </w:rPr>
      </w:pPr>
      <w:r>
        <w:rPr>
          <w:sz w:val="20"/>
        </w:rPr>
      </w:r>
    </w:p>
    <w:tbl>
      <w:tblPr>
        <w:tblW w:w="223" w:type="dxa"/>
        <w:jc w:val="left"/>
        <w:tblInd w:w="0" w:type="dxa"/>
        <w:tblLayout w:type="fixed"/>
        <w:tblCellMar>
          <w:top w:w="28" w:type="dxa"/>
          <w:left w:w="0" w:type="dxa"/>
          <w:bottom w:w="0" w:type="dxa"/>
          <w:right w:w="0" w:type="dxa"/>
        </w:tblCellMar>
      </w:tblPr>
      <w:tblGrid>
        <w:gridCol w:w="140"/>
        <w:gridCol w:w="60"/>
        <w:gridCol w:w="23"/>
      </w:tblGrid>
      <w:tr>
        <w:trPr/>
        <w:tc>
          <w:tcPr>
            <w:tcW w:w="140" w:type="dxa"/>
            <w:tcBorders>
              <w:top w:val="single" w:sz="12" w:space="0" w:color="000000"/>
            </w:tcBorders>
            <w:vAlign w:val="center"/>
          </w:tcPr>
          <w:p>
            <w:pPr>
              <w:pStyle w:val="TableContents"/>
              <w:bidi w:val="0"/>
              <w:spacing w:before="0" w:after="283"/>
              <w:jc w:val="right"/>
              <w:rPr>
                <w:b/>
                <w:color w:val="4F81BD"/>
              </w:rPr>
            </w:pPr>
            <w:r>
              <w:rPr>
                <w:b/>
                <w:color w:val="4F81BD"/>
              </w:rPr>
              <w:t>1</w:t>
            </w:r>
          </w:p>
        </w:tc>
        <w:tc>
          <w:tcPr>
            <w:tcW w:w="60" w:type="dxa"/>
            <w:tcBorders>
              <w:top w:val="single" w:sz="12" w:space="0" w:color="000000"/>
            </w:tcBorders>
            <w:vAlign w:val="center"/>
          </w:tcPr>
          <w:p>
            <w:pPr>
              <w:pStyle w:val="TableContents"/>
              <w:bidi w:val="0"/>
              <w:spacing w:before="0" w:after="283"/>
              <w:jc w:val="right"/>
              <w:rPr>
                <w:color w:val="4F81BD"/>
              </w:rPr>
            </w:pPr>
            <w:r>
              <w:rPr>
                <w:color w:val="4F81BD"/>
              </w:rPr>
              <w:t> </w:t>
            </w:r>
          </w:p>
        </w:tc>
        <w:tc>
          <w:tcPr>
            <w:tcW w:w="23" w:type="dxa"/>
            <w:tcBorders>
              <w:top w:val="single" w:sz="12" w:space="0" w:color="000000"/>
              <w:left w:val="single" w:sz="12" w:space="0" w:color="000000"/>
            </w:tcBorders>
            <w:tcMar>
              <w:left w:w="28" w:type="dxa"/>
            </w:tcMar>
            <w:vAlign w:val="center"/>
          </w:tcPr>
          <w:p>
            <w:pPr>
              <w:pStyle w:val="TableContents"/>
              <w:bidi w:val="0"/>
              <w:spacing w:before="0" w:after="283"/>
              <w:jc w:val="left"/>
              <w:rPr/>
            </w:pPr>
            <w:r>
              <w:rPr/>
            </w:r>
          </w:p>
        </w:tc>
      </w:tr>
    </w:tbl>
    <w:p>
      <w:pPr>
        <w:pStyle w:val="HorizontalLine"/>
        <w:pBdr>
          <w:bottom w:val="single" w:sz="12" w:space="0" w:color="808080"/>
        </w:pBdr>
        <w:bidi w:val="0"/>
        <w:spacing w:before="200" w:after="200"/>
        <w:jc w:val="left"/>
        <w:rPr/>
      </w:pPr>
      <w:r>
        <w:rPr/>
      </w:r>
    </w:p>
    <w:p>
      <w:pPr>
        <w:pStyle w:val="TextBody"/>
        <w:bidi w:val="0"/>
        <w:spacing w:before="0" w:after="0"/>
        <w:jc w:val="both"/>
        <w:rPr>
          <w:rFonts w:ascii="Times New Roman" w:hAnsi="Times New Roman"/>
          <w:b/>
          <w:color w:val="4F81BD"/>
          <w:sz w:val="20"/>
        </w:rPr>
      </w:pPr>
      <w:r>
        <w:rPr>
          <w:rFonts w:ascii="Times New Roman" w:hAnsi="Times New Roman"/>
          <w:b/>
          <w:color w:val="4F81BD"/>
          <w:sz w:val="20"/>
        </w:rPr>
        <w:t>Short-Term Incentive Program (Cash Bonus)</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i/>
          <w:color w:val="4F81BD"/>
          <w:sz w:val="20"/>
        </w:rPr>
      </w:pPr>
      <w:r>
        <w:rPr>
          <w:rFonts w:ascii="Times New Roman" w:hAnsi="Times New Roman"/>
          <w:i/>
          <w:color w:val="4F81BD"/>
          <w:sz w:val="20"/>
        </w:rPr>
        <w:t>Purpose</w:t>
      </w:r>
    </w:p>
    <w:p>
      <w:pPr>
        <w:pStyle w:val="TextBody"/>
        <w:bidi w:val="0"/>
        <w:spacing w:before="0" w:after="0"/>
        <w:jc w:val="both"/>
        <w:rPr>
          <w:rFonts w:ascii="Times New Roman" w:hAnsi="Times New Roman"/>
          <w:i/>
          <w:color w:val="4F81BD"/>
          <w:sz w:val="20"/>
        </w:rPr>
      </w:pPr>
      <w:r>
        <w:rPr>
          <w:rFonts w:ascii="Times New Roman" w:hAnsi="Times New Roman"/>
          <w:i/>
          <w:color w:val="4F81BD"/>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purpose of CHMI’s short-term incentive program (“</w:t>
      </w:r>
      <w:r>
        <w:rPr>
          <w:rFonts w:ascii="Times New Roman" w:hAnsi="Times New Roman"/>
          <w:b/>
          <w:color w:val="000000"/>
          <w:sz w:val="20"/>
        </w:rPr>
        <w:t>STIP</w:t>
      </w:r>
      <w:r>
        <w:rPr>
          <w:rFonts w:ascii="Times New Roman" w:hAnsi="Times New Roman"/>
          <w:color w:val="000000"/>
          <w:sz w:val="20"/>
        </w:rPr>
        <w:t>”) is to encourage outstanding company and individual performance by motivating the named executive officers to achieve short-term company and individual goals and rewarding performance measured against key annual objectives.  The resulting STIP will be paid 100% in cash.</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i/>
          <w:color w:val="4F81BD"/>
          <w:sz w:val="20"/>
        </w:rPr>
      </w:pPr>
      <w:r>
        <w:rPr>
          <w:rFonts w:ascii="Times New Roman" w:hAnsi="Times New Roman"/>
          <w:i/>
          <w:color w:val="4F81BD"/>
          <w:sz w:val="20"/>
        </w:rPr>
        <w:t>Performance Period</w:t>
      </w:r>
    </w:p>
    <w:p>
      <w:pPr>
        <w:pStyle w:val="TextBody"/>
        <w:bidi w:val="0"/>
        <w:spacing w:before="0" w:after="0"/>
        <w:jc w:val="both"/>
        <w:rPr>
          <w:rFonts w:ascii="Times New Roman" w:hAnsi="Times New Roman"/>
          <w:i/>
          <w:color w:val="4F81BD"/>
          <w:sz w:val="20"/>
        </w:rPr>
      </w:pPr>
      <w:r>
        <w:rPr>
          <w:rFonts w:ascii="Times New Roman" w:hAnsi="Times New Roman"/>
          <w:i/>
          <w:color w:val="4F81BD"/>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STIP is intended to cover annual performance periods (consistent with CHMI’s fiscal year) on a continuing basis.  Note: given the annual structure, the STIP may be modified year-to-year (though not necessarily overhauled, unless circumstances require).</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i/>
          <w:color w:val="4F81BD"/>
          <w:sz w:val="20"/>
        </w:rPr>
      </w:pPr>
      <w:r>
        <w:rPr>
          <w:rFonts w:ascii="Times New Roman" w:hAnsi="Times New Roman"/>
          <w:i/>
          <w:color w:val="4F81BD"/>
          <w:sz w:val="20"/>
        </w:rPr>
        <w:t>Eligibility</w:t>
      </w:r>
    </w:p>
    <w:p>
      <w:pPr>
        <w:pStyle w:val="TextBody"/>
        <w:bidi w:val="0"/>
        <w:spacing w:before="0" w:after="0"/>
        <w:jc w:val="both"/>
        <w:rPr>
          <w:rFonts w:ascii="Times New Roman" w:hAnsi="Times New Roman"/>
          <w:i/>
          <w:color w:val="4F81BD"/>
          <w:sz w:val="20"/>
        </w:rPr>
      </w:pPr>
      <w:r>
        <w:rPr>
          <w:rFonts w:ascii="Times New Roman" w:hAnsi="Times New Roman"/>
          <w:i/>
          <w:color w:val="4F81BD"/>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All employees of the company will be eligible to participate (the “</w:t>
      </w:r>
      <w:r>
        <w:rPr>
          <w:rFonts w:ascii="Times New Roman" w:hAnsi="Times New Roman"/>
          <w:b/>
          <w:color w:val="000000"/>
          <w:sz w:val="20"/>
        </w:rPr>
        <w:t>Participants</w:t>
      </w:r>
      <w:r>
        <w:rPr>
          <w:rFonts w:ascii="Times New Roman" w:hAnsi="Times New Roman"/>
          <w:color w:val="000000"/>
          <w:sz w:val="20"/>
        </w:rPr>
        <w:t>”) in the STIP.  Depending on the organizational hierarchy, each level will have varying degrees of the STIP allocated across corporate and individual goals, pending the individual’s ability to influence the resulting performance.  company/financial objectives will be based on certain quantifiable/objective criteria, whereas Individual Performance will be predicated on subjective goals.</w:t>
      </w:r>
    </w:p>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54" w:name="z811b1e41b1a042f09e4b5bd4b9b367aa"/>
      <w:bookmarkStart w:id="55" w:name="z811b1e41b1a042f09e4b5bd4b9b367aa"/>
      <w:bookmarkEnd w:id="55"/>
    </w:p>
    <w:tbl>
      <w:tblPr>
        <w:tblW w:w="4245" w:type="dxa"/>
        <w:jc w:val="center"/>
        <w:tblInd w:w="0" w:type="dxa"/>
        <w:tblLayout w:type="fixed"/>
        <w:tblCellMar>
          <w:top w:w="0" w:type="dxa"/>
          <w:left w:w="0" w:type="dxa"/>
          <w:bottom w:w="0" w:type="dxa"/>
          <w:right w:w="0" w:type="dxa"/>
        </w:tblCellMar>
      </w:tblPr>
      <w:tblGrid>
        <w:gridCol w:w="60"/>
        <w:gridCol w:w="1295"/>
        <w:gridCol w:w="1760"/>
        <w:gridCol w:w="1130"/>
      </w:tblGrid>
      <w:tr>
        <w:trPr/>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0"/>
              <w:jc w:val="both"/>
              <w:rPr>
                <w:rFonts w:ascii="Times New Roman" w:hAnsi="Times New Roman"/>
                <w:b/>
                <w:color w:val="000000"/>
                <w:sz w:val="20"/>
              </w:rPr>
            </w:pPr>
            <w:r>
              <w:rPr>
                <w:rFonts w:ascii="Times New Roman" w:hAnsi="Times New Roman"/>
                <w:b/>
                <w:color w:val="000000"/>
                <w:sz w:val="20"/>
              </w:rPr>
              <w:t>Participant</w:t>
            </w:r>
          </w:p>
        </w:tc>
        <w:tc>
          <w:tcPr>
            <w:tcW w:w="176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Company/Financial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Metrics</w:t>
            </w:r>
          </w:p>
        </w:tc>
        <w:tc>
          <w:tcPr>
            <w:tcW w:w="113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Individual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Performance</w:t>
            </w:r>
          </w:p>
        </w:tc>
      </w:tr>
      <w:tr>
        <w:trPr/>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tcMar>
              <w:bottom w:w="28" w:type="dxa"/>
            </w:tcMar>
            <w:vAlign w:val="center"/>
          </w:tcPr>
          <w:p>
            <w:pPr>
              <w:pStyle w:val="TableContents"/>
              <w:bidi w:val="0"/>
              <w:spacing w:before="0" w:after="283"/>
              <w:jc w:val="left"/>
              <w:rPr/>
            </w:pPr>
            <w:r>
              <w:rPr/>
              <w:t> </w:t>
            </w:r>
          </w:p>
        </w:tc>
        <w:tc>
          <w:tcPr>
            <w:tcW w:w="176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tcMar>
              <w:bottom w:w="28" w:type="dxa"/>
            </w:tcMar>
            <w:vAlign w:val="center"/>
          </w:tcPr>
          <w:p>
            <w:pPr>
              <w:pStyle w:val="TableContents"/>
              <w:bidi w:val="0"/>
              <w:spacing w:before="0" w:after="0"/>
              <w:jc w:val="both"/>
              <w:rPr>
                <w:rFonts w:ascii="Times New Roman" w:hAnsi="Times New Roman"/>
                <w:sz w:val="20"/>
              </w:rPr>
            </w:pPr>
            <w:r>
              <w:rPr>
                <w:rFonts w:ascii="Times New Roman" w:hAnsi="Times New Roman"/>
                <w:sz w:val="20"/>
              </w:rPr>
              <w:t>Jeffrey B. Lown</w:t>
            </w:r>
          </w:p>
        </w:tc>
        <w:tc>
          <w:tcPr>
            <w:tcW w:w="1760" w:type="dxa"/>
            <w:tcBorders>
              <w:bottom w:val="single" w:sz="12" w:space="0" w:color="000000"/>
            </w:tcBorders>
            <w:tcMar>
              <w:bottom w:w="28"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70%</w:t>
            </w:r>
          </w:p>
        </w:tc>
        <w:tc>
          <w:tcPr>
            <w:tcW w:w="1130" w:type="dxa"/>
            <w:tcBorders>
              <w:bottom w:val="single" w:sz="12" w:space="0" w:color="000000"/>
            </w:tcBorders>
            <w:tcMar>
              <w:bottom w:w="28"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30%</w:t>
            </w:r>
          </w:p>
        </w:tc>
      </w:tr>
      <w:tr>
        <w:trPr/>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tcMar>
              <w:bottom w:w="28" w:type="dxa"/>
            </w:tcMar>
            <w:vAlign w:val="center"/>
          </w:tcPr>
          <w:p>
            <w:pPr>
              <w:pStyle w:val="TableContents"/>
              <w:bidi w:val="0"/>
              <w:spacing w:before="0" w:after="0"/>
              <w:jc w:val="both"/>
              <w:rPr>
                <w:rFonts w:ascii="Times New Roman" w:hAnsi="Times New Roman"/>
                <w:sz w:val="20"/>
              </w:rPr>
            </w:pPr>
            <w:r>
              <w:rPr>
                <w:rFonts w:ascii="Times New Roman" w:hAnsi="Times New Roman"/>
                <w:sz w:val="20"/>
              </w:rPr>
              <w:t>Julian B. Evans</w:t>
            </w:r>
          </w:p>
        </w:tc>
        <w:tc>
          <w:tcPr>
            <w:tcW w:w="1760" w:type="dxa"/>
            <w:tcBorders>
              <w:bottom w:val="single" w:sz="12" w:space="0" w:color="000000"/>
            </w:tcBorders>
            <w:tcMar>
              <w:bottom w:w="28"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70%</w:t>
            </w:r>
          </w:p>
        </w:tc>
        <w:tc>
          <w:tcPr>
            <w:tcW w:w="1130" w:type="dxa"/>
            <w:tcBorders>
              <w:bottom w:val="single" w:sz="12" w:space="0" w:color="000000"/>
            </w:tcBorders>
            <w:tcMar>
              <w:bottom w:w="28"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30%</w:t>
            </w:r>
          </w:p>
        </w:tc>
      </w:tr>
      <w:tr>
        <w:trPr/>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tcMar>
              <w:bottom w:w="28" w:type="dxa"/>
            </w:tcMar>
            <w:vAlign w:val="center"/>
          </w:tcPr>
          <w:p>
            <w:pPr>
              <w:pStyle w:val="TableContents"/>
              <w:bidi w:val="0"/>
              <w:spacing w:before="0" w:after="0"/>
              <w:jc w:val="both"/>
              <w:rPr>
                <w:rFonts w:ascii="Times New Roman" w:hAnsi="Times New Roman"/>
                <w:sz w:val="20"/>
              </w:rPr>
            </w:pPr>
            <w:r>
              <w:rPr>
                <w:rFonts w:ascii="Times New Roman" w:hAnsi="Times New Roman"/>
                <w:sz w:val="20"/>
              </w:rPr>
              <w:t>Apeksha Patel</w:t>
            </w:r>
          </w:p>
        </w:tc>
        <w:tc>
          <w:tcPr>
            <w:tcW w:w="1760" w:type="dxa"/>
            <w:tcBorders>
              <w:bottom w:val="single" w:sz="12" w:space="0" w:color="000000"/>
            </w:tcBorders>
            <w:tcMar>
              <w:bottom w:w="28"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70%</w:t>
            </w:r>
          </w:p>
        </w:tc>
        <w:tc>
          <w:tcPr>
            <w:tcW w:w="1130" w:type="dxa"/>
            <w:tcBorders>
              <w:bottom w:val="single" w:sz="12" w:space="0" w:color="000000"/>
            </w:tcBorders>
            <w:tcMar>
              <w:bottom w:w="28"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30%</w:t>
            </w:r>
          </w:p>
        </w:tc>
      </w:tr>
    </w:tbl>
    <w:p>
      <w:pPr>
        <w:pStyle w:val="TextBody"/>
        <w:bidi w:val="0"/>
        <w:spacing w:before="0" w:after="0"/>
        <w:jc w:val="left"/>
        <w:rPr>
          <w:sz w:val="20"/>
        </w:rPr>
      </w:pPr>
      <w:r>
        <w:rPr>
          <w:sz w:val="20"/>
        </w:rPr>
      </w:r>
    </w:p>
    <w:p>
      <w:pPr>
        <w:pStyle w:val="TextBody"/>
        <w:bidi w:val="0"/>
        <w:spacing w:before="0" w:after="0"/>
        <w:jc w:val="both"/>
        <w:rPr>
          <w:rFonts w:ascii="Times New Roman" w:hAnsi="Times New Roman"/>
          <w:i/>
          <w:color w:val="4F81BD"/>
          <w:sz w:val="20"/>
        </w:rPr>
      </w:pPr>
      <w:r>
        <w:rPr>
          <w:rFonts w:ascii="Times New Roman" w:hAnsi="Times New Roman"/>
          <w:i/>
          <w:color w:val="4F81BD"/>
          <w:sz w:val="20"/>
        </w:rPr>
        <w:t>Opportunity</w:t>
      </w:r>
    </w:p>
    <w:p>
      <w:pPr>
        <w:pStyle w:val="TextBody"/>
        <w:bidi w:val="0"/>
        <w:spacing w:before="0" w:after="0"/>
        <w:jc w:val="both"/>
        <w:rPr>
          <w:rFonts w:ascii="Times New Roman" w:hAnsi="Times New Roman"/>
          <w:i/>
          <w:color w:val="4F81BD"/>
          <w:sz w:val="20"/>
        </w:rPr>
      </w:pPr>
      <w:r>
        <w:rPr>
          <w:rFonts w:ascii="Times New Roman" w:hAnsi="Times New Roman"/>
          <w:i/>
          <w:color w:val="4F81BD"/>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Awards under the STIP are expressed as a dollar amount that is a percentage of each Participant’s base salary. Awards have a range of earning opportunity across three distinct levels, specifically a defined threshold, target, and maximum though linear interpolation shall apply to the extent performance falls between two levels, and consequently, the payouts shall be calculated in a similar manner.  The earned award is generally based on the achievement of the defined criteria (see Performance Criteria) per annum.</w:t>
      </w:r>
    </w:p>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56" w:name="z848456c0b91848b6a5fd4ee0efa40962"/>
      <w:bookmarkStart w:id="57" w:name="z848456c0b91848b6a5fd4ee0efa40962"/>
      <w:bookmarkEnd w:id="57"/>
    </w:p>
    <w:tbl>
      <w:tblPr>
        <w:tblW w:w="4073" w:type="dxa"/>
        <w:jc w:val="left"/>
        <w:tblInd w:w="0" w:type="dxa"/>
        <w:tblLayout w:type="fixed"/>
        <w:tblCellMar>
          <w:top w:w="28" w:type="dxa"/>
          <w:left w:w="0" w:type="dxa"/>
          <w:bottom w:w="28" w:type="dxa"/>
          <w:right w:w="0" w:type="dxa"/>
        </w:tblCellMar>
      </w:tblPr>
      <w:tblGrid>
        <w:gridCol w:w="60"/>
        <w:gridCol w:w="1370"/>
        <w:gridCol w:w="980"/>
        <w:gridCol w:w="666"/>
        <w:gridCol w:w="997"/>
      </w:tblGrid>
      <w:tr>
        <w:trPr/>
        <w:tc>
          <w:tcPr>
            <w:tcW w:w="60" w:type="dxa"/>
            <w:vMerge w:val="restart"/>
            <w:tcBorders>
              <w:top w:val="single" w:sz="12" w:space="0" w:color="000000"/>
              <w:bottom w:val="single" w:sz="12" w:space="0" w:color="000000"/>
            </w:tcBorders>
            <w:vAlign w:val="center"/>
          </w:tcPr>
          <w:p>
            <w:pPr>
              <w:pStyle w:val="TableContents"/>
              <w:bidi w:val="0"/>
              <w:spacing w:before="0" w:after="283"/>
              <w:jc w:val="left"/>
              <w:rPr/>
            </w:pPr>
            <w:r>
              <w:rPr/>
              <w:t> </w:t>
            </w:r>
          </w:p>
        </w:tc>
        <w:tc>
          <w:tcPr>
            <w:tcW w:w="1370" w:type="dxa"/>
            <w:vMerge w:val="restart"/>
            <w:tcBorders>
              <w:top w:val="single" w:sz="12" w:space="0" w:color="000000"/>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Executive</w:t>
            </w:r>
          </w:p>
        </w:tc>
        <w:tc>
          <w:tcPr>
            <w:tcW w:w="2643" w:type="dxa"/>
            <w:gridSpan w:val="3"/>
            <w:tcBorders>
              <w:top w:val="single" w:sz="12" w:space="0" w:color="000000"/>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As a Percentage of Base Salary</w:t>
            </w:r>
          </w:p>
        </w:tc>
      </w:tr>
      <w:tr>
        <w:trPr/>
        <w:tc>
          <w:tcPr>
            <w:tcW w:w="60" w:type="dxa"/>
            <w:vMerge w:val="continue"/>
            <w:tcBorders>
              <w:top w:val="single" w:sz="12" w:space="0" w:color="000000"/>
              <w:bottom w:val="single" w:sz="12" w:space="0" w:color="000000"/>
            </w:tcBorders>
            <w:vAlign w:val="center"/>
          </w:tcPr>
          <w:p>
            <w:pPr>
              <w:pStyle w:val="Normal"/>
              <w:bidi w:val="0"/>
              <w:jc w:val="left"/>
              <w:rPr/>
            </w:pPr>
            <w:r>
              <w:rPr/>
            </w:r>
          </w:p>
        </w:tc>
        <w:tc>
          <w:tcPr>
            <w:tcW w:w="1370" w:type="dxa"/>
            <w:vMerge w:val="continue"/>
            <w:tcBorders>
              <w:top w:val="single" w:sz="12" w:space="0" w:color="000000"/>
              <w:bottom w:val="single" w:sz="12" w:space="0" w:color="000000"/>
            </w:tcBorders>
            <w:vAlign w:val="center"/>
          </w:tcPr>
          <w:p>
            <w:pPr>
              <w:pStyle w:val="Normal"/>
              <w:bidi w:val="0"/>
              <w:jc w:val="left"/>
              <w:rPr/>
            </w:pPr>
            <w:r>
              <w:rPr/>
            </w:r>
          </w:p>
        </w:tc>
        <w:tc>
          <w:tcPr>
            <w:tcW w:w="980" w:type="dxa"/>
            <w:tcBorders>
              <w:bottom w:val="single" w:sz="12" w:space="0" w:color="000000"/>
            </w:tcBorders>
            <w:tcMar>
              <w:top w:w="0"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Threshold</w:t>
            </w:r>
          </w:p>
        </w:tc>
        <w:tc>
          <w:tcPr>
            <w:tcW w:w="666" w:type="dxa"/>
            <w:tcBorders>
              <w:bottom w:val="single" w:sz="12" w:space="0" w:color="000000"/>
            </w:tcBorders>
            <w:tcMar>
              <w:top w:w="0"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Target</w:t>
            </w:r>
          </w:p>
        </w:tc>
        <w:tc>
          <w:tcPr>
            <w:tcW w:w="997" w:type="dxa"/>
            <w:tcBorders>
              <w:bottom w:val="single" w:sz="12" w:space="0" w:color="000000"/>
            </w:tcBorders>
            <w:tcMar>
              <w:top w:w="0"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Maximum</w:t>
            </w:r>
          </w:p>
        </w:tc>
      </w:tr>
      <w:tr>
        <w:trPr/>
        <w:tc>
          <w:tcPr>
            <w:tcW w:w="60" w:type="dxa"/>
            <w:tcBorders/>
            <w:shd w:fill="C0C0C0" w:val="clear"/>
            <w:tcMar>
              <w:top w:w="0" w:type="dxa"/>
              <w:bottom w:w="0" w:type="dxa"/>
            </w:tcMar>
            <w:vAlign w:val="center"/>
          </w:tcPr>
          <w:p>
            <w:pPr>
              <w:pStyle w:val="TableContents"/>
              <w:bidi w:val="0"/>
              <w:spacing w:before="0" w:after="283"/>
              <w:jc w:val="left"/>
              <w:rPr/>
            </w:pPr>
            <w:r>
              <w:rPr/>
              <w:t> </w:t>
            </w:r>
          </w:p>
        </w:tc>
        <w:tc>
          <w:tcPr>
            <w:tcW w:w="1370" w:type="dxa"/>
            <w:tcBorders/>
            <w:shd w:fill="C0C0C0" w:val="clear"/>
            <w:tcMar>
              <w:top w:w="0" w:type="dxa"/>
              <w:bottom w:w="0" w:type="dxa"/>
            </w:tcMar>
            <w:vAlign w:val="center"/>
          </w:tcPr>
          <w:p>
            <w:pPr>
              <w:pStyle w:val="TableContents"/>
              <w:bidi w:val="0"/>
              <w:spacing w:before="0" w:after="0"/>
              <w:jc w:val="both"/>
              <w:rPr>
                <w:rFonts w:ascii="Times New Roman" w:hAnsi="Times New Roman"/>
                <w:b/>
                <w:sz w:val="20"/>
              </w:rPr>
            </w:pPr>
            <w:r>
              <w:rPr>
                <w:rFonts w:ascii="Times New Roman" w:hAnsi="Times New Roman"/>
                <w:b/>
                <w:sz w:val="20"/>
              </w:rPr>
              <w:t>Jeffrey B. Lown</w:t>
            </w:r>
          </w:p>
        </w:tc>
        <w:tc>
          <w:tcPr>
            <w:tcW w:w="980" w:type="dxa"/>
            <w:tcBorders/>
            <w:shd w:fill="C0C0C0" w:val="clear"/>
            <w:tcMar>
              <w:top w:w="0" w:type="dxa"/>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20.0%</w:t>
            </w:r>
          </w:p>
        </w:tc>
        <w:tc>
          <w:tcPr>
            <w:tcW w:w="666" w:type="dxa"/>
            <w:tcBorders/>
            <w:shd w:fill="C0C0C0" w:val="clear"/>
            <w:tcMar>
              <w:top w:w="0" w:type="dxa"/>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40.0%</w:t>
            </w:r>
          </w:p>
        </w:tc>
        <w:tc>
          <w:tcPr>
            <w:tcW w:w="997" w:type="dxa"/>
            <w:tcBorders/>
            <w:shd w:fill="C0C0C0" w:val="clear"/>
            <w:tcMar>
              <w:top w:w="0" w:type="dxa"/>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60.0%</w:t>
            </w:r>
          </w:p>
        </w:tc>
      </w:tr>
      <w:tr>
        <w:trPr/>
        <w:tc>
          <w:tcPr>
            <w:tcW w:w="60" w:type="dxa"/>
            <w:tcBorders/>
            <w:tcMar>
              <w:top w:w="0" w:type="dxa"/>
              <w:bottom w:w="0" w:type="dxa"/>
            </w:tcMar>
            <w:vAlign w:val="center"/>
          </w:tcPr>
          <w:p>
            <w:pPr>
              <w:pStyle w:val="TableContents"/>
              <w:bidi w:val="0"/>
              <w:spacing w:before="0" w:after="283"/>
              <w:jc w:val="left"/>
              <w:rPr/>
            </w:pPr>
            <w:r>
              <w:rPr/>
              <w:t> </w:t>
            </w:r>
          </w:p>
        </w:tc>
        <w:tc>
          <w:tcPr>
            <w:tcW w:w="1370" w:type="dxa"/>
            <w:tcBorders/>
            <w:tcMar>
              <w:top w:w="0" w:type="dxa"/>
              <w:bottom w:w="0" w:type="dxa"/>
            </w:tcMar>
            <w:vAlign w:val="center"/>
          </w:tcPr>
          <w:p>
            <w:pPr>
              <w:pStyle w:val="TableContents"/>
              <w:bidi w:val="0"/>
              <w:spacing w:before="0" w:after="0"/>
              <w:jc w:val="both"/>
              <w:rPr>
                <w:rFonts w:ascii="Times New Roman" w:hAnsi="Times New Roman"/>
                <w:b/>
                <w:sz w:val="20"/>
              </w:rPr>
            </w:pPr>
            <w:r>
              <w:rPr>
                <w:rFonts w:ascii="Times New Roman" w:hAnsi="Times New Roman"/>
                <w:b/>
                <w:sz w:val="20"/>
              </w:rPr>
              <w:t>Julian B. Evans</w:t>
            </w:r>
          </w:p>
        </w:tc>
        <w:tc>
          <w:tcPr>
            <w:tcW w:w="980" w:type="dxa"/>
            <w:tcBorders/>
            <w:tcMar>
              <w:top w:w="0" w:type="dxa"/>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25.0%</w:t>
            </w:r>
          </w:p>
        </w:tc>
        <w:tc>
          <w:tcPr>
            <w:tcW w:w="666" w:type="dxa"/>
            <w:tcBorders/>
            <w:tcMar>
              <w:top w:w="0" w:type="dxa"/>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50.0%</w:t>
            </w:r>
          </w:p>
        </w:tc>
        <w:tc>
          <w:tcPr>
            <w:tcW w:w="997" w:type="dxa"/>
            <w:tcBorders/>
            <w:tcMar>
              <w:top w:w="0" w:type="dxa"/>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75.0%</w:t>
            </w:r>
          </w:p>
        </w:tc>
      </w:tr>
      <w:tr>
        <w:trPr/>
        <w:tc>
          <w:tcPr>
            <w:tcW w:w="60" w:type="dxa"/>
            <w:tcBorders>
              <w:bottom w:val="single" w:sz="12" w:space="0" w:color="000000"/>
            </w:tcBorders>
            <w:shd w:fill="C0C0C0" w:val="clear"/>
            <w:tcMar>
              <w:top w:w="0" w:type="dxa"/>
            </w:tcMar>
            <w:vAlign w:val="center"/>
          </w:tcPr>
          <w:p>
            <w:pPr>
              <w:pStyle w:val="TableContents"/>
              <w:bidi w:val="0"/>
              <w:spacing w:before="0" w:after="283"/>
              <w:jc w:val="left"/>
              <w:rPr/>
            </w:pPr>
            <w:r>
              <w:rPr/>
              <w:t> </w:t>
            </w:r>
          </w:p>
        </w:tc>
        <w:tc>
          <w:tcPr>
            <w:tcW w:w="1370" w:type="dxa"/>
            <w:tcBorders>
              <w:bottom w:val="single" w:sz="12" w:space="0" w:color="000000"/>
            </w:tcBorders>
            <w:shd w:fill="C0C0C0" w:val="clear"/>
            <w:tcMar>
              <w:top w:w="0" w:type="dxa"/>
            </w:tcMar>
            <w:vAlign w:val="center"/>
          </w:tcPr>
          <w:p>
            <w:pPr>
              <w:pStyle w:val="TableContents"/>
              <w:bidi w:val="0"/>
              <w:spacing w:before="0" w:after="0"/>
              <w:jc w:val="both"/>
              <w:rPr>
                <w:rFonts w:ascii="Times New Roman" w:hAnsi="Times New Roman"/>
                <w:b/>
                <w:sz w:val="20"/>
              </w:rPr>
            </w:pPr>
            <w:r>
              <w:rPr>
                <w:rFonts w:ascii="Times New Roman" w:hAnsi="Times New Roman"/>
                <w:b/>
                <w:sz w:val="20"/>
              </w:rPr>
              <w:t>Apeksha Patel</w:t>
            </w:r>
          </w:p>
        </w:tc>
        <w:tc>
          <w:tcPr>
            <w:tcW w:w="980" w:type="dxa"/>
            <w:tcBorders>
              <w:bottom w:val="single" w:sz="12" w:space="0" w:color="000000"/>
            </w:tcBorders>
            <w:shd w:fill="C0C0C0" w:val="clear"/>
            <w:tcMar>
              <w:top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25.0%</w:t>
            </w:r>
          </w:p>
        </w:tc>
        <w:tc>
          <w:tcPr>
            <w:tcW w:w="666" w:type="dxa"/>
            <w:tcBorders>
              <w:bottom w:val="single" w:sz="12" w:space="0" w:color="000000"/>
            </w:tcBorders>
            <w:shd w:fill="C0C0C0" w:val="clear"/>
            <w:tcMar>
              <w:top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50.0%</w:t>
            </w:r>
          </w:p>
        </w:tc>
        <w:tc>
          <w:tcPr>
            <w:tcW w:w="997" w:type="dxa"/>
            <w:tcBorders>
              <w:bottom w:val="single" w:sz="12" w:space="0" w:color="000000"/>
            </w:tcBorders>
            <w:shd w:fill="C0C0C0" w:val="clear"/>
            <w:tcMar>
              <w:top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75.0%</w:t>
            </w:r>
          </w:p>
        </w:tc>
      </w:tr>
    </w:tbl>
    <w:p>
      <w:pPr>
        <w:pStyle w:val="TextBody"/>
        <w:bidi w:val="0"/>
        <w:spacing w:before="0" w:after="0"/>
        <w:jc w:val="left"/>
        <w:rPr>
          <w:sz w:val="20"/>
        </w:rPr>
      </w:pPr>
      <w:r>
        <w:rPr>
          <w:sz w:val="20"/>
        </w:rPr>
      </w:r>
    </w:p>
    <w:tbl>
      <w:tblPr>
        <w:tblW w:w="223" w:type="dxa"/>
        <w:jc w:val="left"/>
        <w:tblInd w:w="0" w:type="dxa"/>
        <w:tblLayout w:type="fixed"/>
        <w:tblCellMar>
          <w:top w:w="28" w:type="dxa"/>
          <w:left w:w="0" w:type="dxa"/>
          <w:bottom w:w="0" w:type="dxa"/>
          <w:right w:w="0" w:type="dxa"/>
        </w:tblCellMar>
      </w:tblPr>
      <w:tblGrid>
        <w:gridCol w:w="140"/>
        <w:gridCol w:w="60"/>
        <w:gridCol w:w="23"/>
      </w:tblGrid>
      <w:tr>
        <w:trPr/>
        <w:tc>
          <w:tcPr>
            <w:tcW w:w="140" w:type="dxa"/>
            <w:tcBorders>
              <w:top w:val="single" w:sz="12" w:space="0" w:color="000000"/>
            </w:tcBorders>
            <w:vAlign w:val="center"/>
          </w:tcPr>
          <w:p>
            <w:pPr>
              <w:pStyle w:val="TableContents"/>
              <w:bidi w:val="0"/>
              <w:spacing w:before="0" w:after="283"/>
              <w:jc w:val="right"/>
              <w:rPr>
                <w:b/>
                <w:color w:val="4F81BD"/>
              </w:rPr>
            </w:pPr>
            <w:r>
              <w:rPr>
                <w:b/>
                <w:color w:val="4F81BD"/>
              </w:rPr>
              <w:t>2</w:t>
            </w:r>
          </w:p>
        </w:tc>
        <w:tc>
          <w:tcPr>
            <w:tcW w:w="60" w:type="dxa"/>
            <w:tcBorders>
              <w:top w:val="single" w:sz="12" w:space="0" w:color="000000"/>
            </w:tcBorders>
            <w:vAlign w:val="center"/>
          </w:tcPr>
          <w:p>
            <w:pPr>
              <w:pStyle w:val="TableContents"/>
              <w:bidi w:val="0"/>
              <w:spacing w:before="0" w:after="283"/>
              <w:jc w:val="right"/>
              <w:rPr>
                <w:color w:val="4F81BD"/>
              </w:rPr>
            </w:pPr>
            <w:r>
              <w:rPr>
                <w:color w:val="4F81BD"/>
              </w:rPr>
              <w:t> </w:t>
            </w:r>
          </w:p>
        </w:tc>
        <w:tc>
          <w:tcPr>
            <w:tcW w:w="23" w:type="dxa"/>
            <w:tcBorders>
              <w:top w:val="single" w:sz="12" w:space="0" w:color="000000"/>
              <w:left w:val="single" w:sz="12" w:space="0" w:color="000000"/>
            </w:tcBorders>
            <w:tcMar>
              <w:left w:w="28" w:type="dxa"/>
            </w:tcMar>
            <w:vAlign w:val="center"/>
          </w:tcPr>
          <w:p>
            <w:pPr>
              <w:pStyle w:val="TableContents"/>
              <w:bidi w:val="0"/>
              <w:spacing w:before="0" w:after="283"/>
              <w:jc w:val="left"/>
              <w:rPr/>
            </w:pPr>
            <w:r>
              <w:rPr/>
            </w:r>
          </w:p>
        </w:tc>
      </w:tr>
    </w:tbl>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58" w:name="zce7620ad33b7437a87f76da330646b59"/>
      <w:bookmarkStart w:id="59" w:name="zce7620ad33b7437a87f76da330646b59"/>
      <w:bookmarkEnd w:id="59"/>
    </w:p>
    <w:tbl>
      <w:tblPr>
        <w:tblW w:w="4025" w:type="dxa"/>
        <w:jc w:val="left"/>
        <w:tblInd w:w="0" w:type="dxa"/>
        <w:tblLayout w:type="fixed"/>
        <w:tblCellMar>
          <w:top w:w="28" w:type="dxa"/>
          <w:left w:w="0" w:type="dxa"/>
          <w:bottom w:w="28" w:type="dxa"/>
          <w:right w:w="0" w:type="dxa"/>
        </w:tblCellMar>
      </w:tblPr>
      <w:tblGrid>
        <w:gridCol w:w="60"/>
        <w:gridCol w:w="1370"/>
        <w:gridCol w:w="890"/>
        <w:gridCol w:w="800"/>
        <w:gridCol w:w="905"/>
      </w:tblGrid>
      <w:tr>
        <w:trPr/>
        <w:tc>
          <w:tcPr>
            <w:tcW w:w="60" w:type="dxa"/>
            <w:vMerge w:val="restart"/>
            <w:tcBorders>
              <w:top w:val="single" w:sz="12" w:space="0" w:color="000000"/>
              <w:bottom w:val="single" w:sz="12" w:space="0" w:color="000000"/>
            </w:tcBorders>
            <w:vAlign w:val="center"/>
          </w:tcPr>
          <w:p>
            <w:pPr>
              <w:pStyle w:val="TableContents"/>
              <w:bidi w:val="0"/>
              <w:spacing w:before="0" w:after="283"/>
              <w:jc w:val="left"/>
              <w:rPr/>
            </w:pPr>
            <w:r>
              <w:rPr/>
              <w:t> </w:t>
            </w:r>
          </w:p>
        </w:tc>
        <w:tc>
          <w:tcPr>
            <w:tcW w:w="1370" w:type="dxa"/>
            <w:vMerge w:val="restart"/>
            <w:tcBorders>
              <w:top w:val="single" w:sz="12" w:space="0" w:color="000000"/>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Executive</w:t>
            </w:r>
          </w:p>
        </w:tc>
        <w:tc>
          <w:tcPr>
            <w:tcW w:w="2595" w:type="dxa"/>
            <w:gridSpan w:val="3"/>
            <w:tcBorders>
              <w:top w:val="single" w:sz="12" w:space="0" w:color="000000"/>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Dollar Value of Opportunity</w:t>
            </w:r>
          </w:p>
        </w:tc>
      </w:tr>
      <w:tr>
        <w:trPr/>
        <w:tc>
          <w:tcPr>
            <w:tcW w:w="60" w:type="dxa"/>
            <w:vMerge w:val="continue"/>
            <w:tcBorders>
              <w:top w:val="single" w:sz="12" w:space="0" w:color="000000"/>
              <w:bottom w:val="single" w:sz="12" w:space="0" w:color="000000"/>
            </w:tcBorders>
            <w:vAlign w:val="center"/>
          </w:tcPr>
          <w:p>
            <w:pPr>
              <w:pStyle w:val="Normal"/>
              <w:bidi w:val="0"/>
              <w:jc w:val="left"/>
              <w:rPr/>
            </w:pPr>
            <w:r>
              <w:rPr/>
            </w:r>
          </w:p>
        </w:tc>
        <w:tc>
          <w:tcPr>
            <w:tcW w:w="1370" w:type="dxa"/>
            <w:vMerge w:val="continue"/>
            <w:tcBorders>
              <w:top w:val="single" w:sz="12" w:space="0" w:color="000000"/>
              <w:bottom w:val="single" w:sz="12" w:space="0" w:color="000000"/>
            </w:tcBorders>
            <w:vAlign w:val="center"/>
          </w:tcPr>
          <w:p>
            <w:pPr>
              <w:pStyle w:val="Normal"/>
              <w:bidi w:val="0"/>
              <w:jc w:val="left"/>
              <w:rPr/>
            </w:pPr>
            <w:r>
              <w:rPr/>
            </w:r>
          </w:p>
        </w:tc>
        <w:tc>
          <w:tcPr>
            <w:tcW w:w="890" w:type="dxa"/>
            <w:tcBorders>
              <w:bottom w:val="single" w:sz="12" w:space="0" w:color="000000"/>
            </w:tcBorders>
            <w:tcMar>
              <w:top w:w="0"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Threshold</w:t>
            </w:r>
          </w:p>
        </w:tc>
        <w:tc>
          <w:tcPr>
            <w:tcW w:w="800" w:type="dxa"/>
            <w:tcBorders>
              <w:bottom w:val="single" w:sz="12" w:space="0" w:color="000000"/>
            </w:tcBorders>
            <w:tcMar>
              <w:top w:w="0"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Target</w:t>
            </w:r>
          </w:p>
        </w:tc>
        <w:tc>
          <w:tcPr>
            <w:tcW w:w="905" w:type="dxa"/>
            <w:tcBorders>
              <w:bottom w:val="single" w:sz="12" w:space="0" w:color="000000"/>
            </w:tcBorders>
            <w:tcMar>
              <w:top w:w="0"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Maximum</w:t>
            </w:r>
          </w:p>
        </w:tc>
      </w:tr>
      <w:tr>
        <w:trPr/>
        <w:tc>
          <w:tcPr>
            <w:tcW w:w="60" w:type="dxa"/>
            <w:tcBorders/>
            <w:shd w:fill="C0C0C0" w:val="clear"/>
            <w:tcMar>
              <w:top w:w="0" w:type="dxa"/>
              <w:bottom w:w="0" w:type="dxa"/>
            </w:tcMar>
            <w:vAlign w:val="center"/>
          </w:tcPr>
          <w:p>
            <w:pPr>
              <w:pStyle w:val="TableContents"/>
              <w:bidi w:val="0"/>
              <w:spacing w:before="0" w:after="283"/>
              <w:jc w:val="left"/>
              <w:rPr/>
            </w:pPr>
            <w:r>
              <w:rPr/>
              <w:t> </w:t>
            </w:r>
          </w:p>
        </w:tc>
        <w:tc>
          <w:tcPr>
            <w:tcW w:w="1370" w:type="dxa"/>
            <w:tcBorders/>
            <w:shd w:fill="C0C0C0" w:val="clear"/>
            <w:tcMar>
              <w:top w:w="0" w:type="dxa"/>
              <w:bottom w:w="0" w:type="dxa"/>
            </w:tcMar>
            <w:vAlign w:val="center"/>
          </w:tcPr>
          <w:p>
            <w:pPr>
              <w:pStyle w:val="TableContents"/>
              <w:bidi w:val="0"/>
              <w:spacing w:before="0" w:after="0"/>
              <w:jc w:val="both"/>
              <w:rPr>
                <w:rFonts w:ascii="Times New Roman" w:hAnsi="Times New Roman"/>
                <w:b/>
                <w:sz w:val="20"/>
              </w:rPr>
            </w:pPr>
            <w:r>
              <w:rPr>
                <w:rFonts w:ascii="Times New Roman" w:hAnsi="Times New Roman"/>
                <w:b/>
                <w:sz w:val="20"/>
              </w:rPr>
              <w:t>Jeffrey B. Lown</w:t>
            </w:r>
          </w:p>
        </w:tc>
        <w:tc>
          <w:tcPr>
            <w:tcW w:w="890" w:type="dxa"/>
            <w:tcBorders/>
            <w:shd w:fill="C0C0C0" w:val="clear"/>
            <w:tcMar>
              <w:top w:w="0" w:type="dxa"/>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$180,000</w:t>
            </w:r>
          </w:p>
        </w:tc>
        <w:tc>
          <w:tcPr>
            <w:tcW w:w="800" w:type="dxa"/>
            <w:tcBorders/>
            <w:shd w:fill="C0C0C0" w:val="clear"/>
            <w:tcMar>
              <w:top w:w="0" w:type="dxa"/>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$360,000</w:t>
            </w:r>
          </w:p>
        </w:tc>
        <w:tc>
          <w:tcPr>
            <w:tcW w:w="905" w:type="dxa"/>
            <w:tcBorders/>
            <w:shd w:fill="C0C0C0" w:val="clear"/>
            <w:tcMar>
              <w:top w:w="0" w:type="dxa"/>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$540,000</w:t>
            </w:r>
          </w:p>
        </w:tc>
      </w:tr>
      <w:tr>
        <w:trPr/>
        <w:tc>
          <w:tcPr>
            <w:tcW w:w="60" w:type="dxa"/>
            <w:tcBorders/>
            <w:tcMar>
              <w:top w:w="0" w:type="dxa"/>
              <w:bottom w:w="0" w:type="dxa"/>
            </w:tcMar>
            <w:vAlign w:val="center"/>
          </w:tcPr>
          <w:p>
            <w:pPr>
              <w:pStyle w:val="TableContents"/>
              <w:bidi w:val="0"/>
              <w:spacing w:before="0" w:after="283"/>
              <w:jc w:val="left"/>
              <w:rPr/>
            </w:pPr>
            <w:r>
              <w:rPr/>
              <w:t> </w:t>
            </w:r>
          </w:p>
        </w:tc>
        <w:tc>
          <w:tcPr>
            <w:tcW w:w="1370" w:type="dxa"/>
            <w:tcBorders/>
            <w:tcMar>
              <w:top w:w="0" w:type="dxa"/>
              <w:bottom w:w="0" w:type="dxa"/>
            </w:tcMar>
            <w:vAlign w:val="center"/>
          </w:tcPr>
          <w:p>
            <w:pPr>
              <w:pStyle w:val="TableContents"/>
              <w:bidi w:val="0"/>
              <w:spacing w:before="0" w:after="0"/>
              <w:jc w:val="both"/>
              <w:rPr>
                <w:rFonts w:ascii="Times New Roman" w:hAnsi="Times New Roman"/>
                <w:b/>
                <w:sz w:val="20"/>
              </w:rPr>
            </w:pPr>
            <w:r>
              <w:rPr>
                <w:rFonts w:ascii="Times New Roman" w:hAnsi="Times New Roman"/>
                <w:b/>
                <w:sz w:val="20"/>
              </w:rPr>
              <w:t>Julian B. Evans</w:t>
            </w:r>
          </w:p>
        </w:tc>
        <w:tc>
          <w:tcPr>
            <w:tcW w:w="890" w:type="dxa"/>
            <w:tcBorders/>
            <w:tcMar>
              <w:top w:w="0" w:type="dxa"/>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$137,500</w:t>
            </w:r>
          </w:p>
        </w:tc>
        <w:tc>
          <w:tcPr>
            <w:tcW w:w="800" w:type="dxa"/>
            <w:tcBorders/>
            <w:tcMar>
              <w:top w:w="0" w:type="dxa"/>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$275,000</w:t>
            </w:r>
          </w:p>
        </w:tc>
        <w:tc>
          <w:tcPr>
            <w:tcW w:w="905" w:type="dxa"/>
            <w:tcBorders/>
            <w:tcMar>
              <w:top w:w="0" w:type="dxa"/>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$412,500</w:t>
            </w:r>
          </w:p>
        </w:tc>
      </w:tr>
      <w:tr>
        <w:trPr/>
        <w:tc>
          <w:tcPr>
            <w:tcW w:w="60" w:type="dxa"/>
            <w:tcBorders>
              <w:bottom w:val="single" w:sz="12" w:space="0" w:color="000000"/>
            </w:tcBorders>
            <w:shd w:fill="C0C0C0" w:val="clear"/>
            <w:tcMar>
              <w:top w:w="0" w:type="dxa"/>
            </w:tcMar>
            <w:vAlign w:val="center"/>
          </w:tcPr>
          <w:p>
            <w:pPr>
              <w:pStyle w:val="TableContents"/>
              <w:bidi w:val="0"/>
              <w:spacing w:before="0" w:after="283"/>
              <w:jc w:val="left"/>
              <w:rPr/>
            </w:pPr>
            <w:r>
              <w:rPr/>
              <w:t> </w:t>
            </w:r>
          </w:p>
        </w:tc>
        <w:tc>
          <w:tcPr>
            <w:tcW w:w="1370" w:type="dxa"/>
            <w:tcBorders>
              <w:bottom w:val="single" w:sz="12" w:space="0" w:color="000000"/>
            </w:tcBorders>
            <w:shd w:fill="C0C0C0" w:val="clear"/>
            <w:tcMar>
              <w:top w:w="0" w:type="dxa"/>
            </w:tcMar>
            <w:vAlign w:val="center"/>
          </w:tcPr>
          <w:p>
            <w:pPr>
              <w:pStyle w:val="TableContents"/>
              <w:bidi w:val="0"/>
              <w:spacing w:before="0" w:after="0"/>
              <w:jc w:val="both"/>
              <w:rPr>
                <w:rFonts w:ascii="Times New Roman" w:hAnsi="Times New Roman"/>
                <w:b/>
                <w:sz w:val="20"/>
              </w:rPr>
            </w:pPr>
            <w:r>
              <w:rPr>
                <w:rFonts w:ascii="Times New Roman" w:hAnsi="Times New Roman"/>
                <w:b/>
                <w:sz w:val="20"/>
              </w:rPr>
              <w:t>Apeksha Patel</w:t>
            </w:r>
          </w:p>
        </w:tc>
        <w:tc>
          <w:tcPr>
            <w:tcW w:w="890" w:type="dxa"/>
            <w:tcBorders>
              <w:bottom w:val="single" w:sz="12" w:space="0" w:color="000000"/>
            </w:tcBorders>
            <w:shd w:fill="C0C0C0" w:val="clear"/>
            <w:tcMar>
              <w:top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$100,000</w:t>
            </w:r>
          </w:p>
        </w:tc>
        <w:tc>
          <w:tcPr>
            <w:tcW w:w="800" w:type="dxa"/>
            <w:tcBorders>
              <w:bottom w:val="single" w:sz="12" w:space="0" w:color="000000"/>
            </w:tcBorders>
            <w:shd w:fill="C0C0C0" w:val="clear"/>
            <w:tcMar>
              <w:top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$200,000</w:t>
            </w:r>
          </w:p>
        </w:tc>
        <w:tc>
          <w:tcPr>
            <w:tcW w:w="905" w:type="dxa"/>
            <w:tcBorders>
              <w:bottom w:val="single" w:sz="12" w:space="0" w:color="000000"/>
            </w:tcBorders>
            <w:shd w:fill="C0C0C0" w:val="clear"/>
            <w:tcMar>
              <w:top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$300,000</w:t>
            </w:r>
          </w:p>
        </w:tc>
      </w:tr>
    </w:tbl>
    <w:p>
      <w:pPr>
        <w:pStyle w:val="TextBody"/>
        <w:bidi w:val="0"/>
        <w:spacing w:before="0" w:after="0"/>
        <w:jc w:val="left"/>
        <w:rPr>
          <w:sz w:val="20"/>
        </w:rPr>
      </w:pPr>
      <w:r>
        <w:rPr>
          <w:sz w:val="20"/>
        </w:rPr>
      </w:r>
    </w:p>
    <w:p>
      <w:pPr>
        <w:pStyle w:val="TextBody"/>
        <w:bidi w:val="0"/>
        <w:spacing w:before="0" w:after="0"/>
        <w:jc w:val="both"/>
        <w:rPr>
          <w:rFonts w:ascii="Times New Roman" w:hAnsi="Times New Roman"/>
          <w:i/>
          <w:color w:val="4F81BD"/>
          <w:sz w:val="20"/>
        </w:rPr>
      </w:pPr>
      <w:r>
        <w:rPr>
          <w:rFonts w:ascii="Times New Roman" w:hAnsi="Times New Roman"/>
          <w:i/>
          <w:color w:val="4F81BD"/>
          <w:sz w:val="20"/>
        </w:rPr>
        <w:t>Performance Criteria: STIP</w:t>
      </w:r>
    </w:p>
    <w:p>
      <w:pPr>
        <w:pStyle w:val="TextBody"/>
        <w:bidi w:val="0"/>
        <w:spacing w:before="0" w:after="0"/>
        <w:jc w:val="both"/>
        <w:rPr>
          <w:rFonts w:ascii="Times New Roman" w:hAnsi="Times New Roman"/>
          <w:i/>
          <w:color w:val="4F81BD"/>
          <w:sz w:val="20"/>
        </w:rPr>
      </w:pPr>
      <w:r>
        <w:rPr>
          <w:rFonts w:ascii="Times New Roman" w:hAnsi="Times New Roman"/>
          <w:i/>
          <w:color w:val="4F81BD"/>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performance goals and respective weightings of the 2026 STIP are as follows:</w:t>
      </w:r>
    </w:p>
    <w:p>
      <w:pPr>
        <w:pStyle w:val="TextBody"/>
        <w:bidi w:val="0"/>
        <w:spacing w:before="0" w:after="0"/>
        <w:jc w:val="both"/>
        <w:rPr>
          <w:rFonts w:ascii="Times New Roman" w:hAnsi="Times New Roman"/>
          <w:sz w:val="20"/>
        </w:rPr>
      </w:pPr>
      <w:r>
        <w:rPr>
          <w:rFonts w:ascii="Times New Roman" w:hAnsi="Times New Roman"/>
          <w:sz w:val="20"/>
        </w:rPr>
      </w:r>
    </w:p>
    <w:p>
      <w:pPr>
        <w:pStyle w:val="Normal"/>
        <w:bidi w:val="0"/>
        <w:spacing w:before="0" w:after="0"/>
        <w:jc w:val="left"/>
        <w:rPr>
          <w:sz w:val="4"/>
          <w:szCs w:val="4"/>
        </w:rPr>
      </w:pPr>
      <w:r>
        <w:rPr>
          <w:sz w:val="4"/>
          <w:szCs w:val="4"/>
        </w:rPr>
      </w:r>
      <w:bookmarkStart w:id="60" w:name="z41ed21dc4501493dafafea57c679de10"/>
      <w:bookmarkStart w:id="61" w:name="z41ed21dc4501493dafafea57c679de10"/>
      <w:bookmarkEnd w:id="61"/>
    </w:p>
    <w:tbl>
      <w:tblPr>
        <w:tblW w:w="8455" w:type="dxa"/>
        <w:jc w:val="left"/>
        <w:tblInd w:w="-15" w:type="dxa"/>
        <w:tblLayout w:type="fixed"/>
        <w:tblCellMar>
          <w:top w:w="28" w:type="dxa"/>
          <w:left w:w="28" w:type="dxa"/>
          <w:bottom w:w="0" w:type="dxa"/>
          <w:right w:w="0" w:type="dxa"/>
        </w:tblCellMar>
      </w:tblPr>
      <w:tblGrid>
        <w:gridCol w:w="60"/>
        <w:gridCol w:w="3740"/>
        <w:gridCol w:w="905"/>
        <w:gridCol w:w="1250"/>
        <w:gridCol w:w="1250"/>
        <w:gridCol w:w="1250"/>
      </w:tblGrid>
      <w:tr>
        <w:trPr/>
        <w:tc>
          <w:tcPr>
            <w:tcW w:w="60" w:type="dxa"/>
            <w:tcBorders>
              <w:top w:val="single" w:sz="12" w:space="0" w:color="4F81BD"/>
              <w:left w:val="single" w:sz="12" w:space="0" w:color="4F81BD"/>
            </w:tcBorders>
            <w:shd w:fill="4F81BD" w:val="clear"/>
            <w:vAlign w:val="center"/>
          </w:tcPr>
          <w:p>
            <w:pPr>
              <w:pStyle w:val="TableContents"/>
              <w:bidi w:val="0"/>
              <w:spacing w:before="0" w:after="283"/>
              <w:jc w:val="left"/>
              <w:rPr/>
            </w:pPr>
            <w:r>
              <w:rPr/>
              <w:t> </w:t>
            </w:r>
          </w:p>
        </w:tc>
        <w:tc>
          <w:tcPr>
            <w:tcW w:w="3740" w:type="dxa"/>
            <w:tcBorders>
              <w:top w:val="single" w:sz="12" w:space="0" w:color="4F81BD"/>
            </w:tcBorders>
            <w:shd w:fill="4F81BD" w:val="clear"/>
            <w:tcMar>
              <w:left w:w="0" w:type="dxa"/>
            </w:tcMar>
            <w:vAlign w:val="center"/>
          </w:tcPr>
          <w:p>
            <w:pPr>
              <w:pStyle w:val="TableContents"/>
              <w:bidi w:val="0"/>
              <w:spacing w:before="0" w:after="0"/>
              <w:jc w:val="both"/>
              <w:rPr>
                <w:rFonts w:ascii="Times New Roman" w:hAnsi="Times New Roman"/>
                <w:b/>
                <w:color w:val="FFFFFF"/>
                <w:sz w:val="20"/>
              </w:rPr>
            </w:pPr>
            <w:r>
              <w:rPr>
                <w:rFonts w:ascii="Times New Roman" w:hAnsi="Times New Roman"/>
                <w:b/>
                <w:color w:val="FFFFFF"/>
                <w:sz w:val="20"/>
              </w:rPr>
              <w:t>Metric</w:t>
            </w:r>
          </w:p>
        </w:tc>
        <w:tc>
          <w:tcPr>
            <w:tcW w:w="905" w:type="dxa"/>
            <w:tcBorders>
              <w:top w:val="single" w:sz="12" w:space="0" w:color="4F81BD"/>
            </w:tcBorders>
            <w:shd w:fill="4F81BD" w:val="clear"/>
            <w:tcMar>
              <w:left w:w="0" w:type="dxa"/>
            </w:tcMar>
            <w:vAlign w:val="center"/>
          </w:tcPr>
          <w:p>
            <w:pPr>
              <w:pStyle w:val="TableContents"/>
              <w:bidi w:val="0"/>
              <w:spacing w:before="0" w:after="0"/>
              <w:jc w:val="center"/>
              <w:rPr>
                <w:rFonts w:ascii="Times New Roman" w:hAnsi="Times New Roman"/>
                <w:b/>
                <w:color w:val="FFFFFF"/>
                <w:sz w:val="20"/>
              </w:rPr>
            </w:pPr>
            <w:r>
              <w:rPr>
                <w:rFonts w:ascii="Times New Roman" w:hAnsi="Times New Roman"/>
                <w:b/>
                <w:color w:val="FFFFFF"/>
                <w:sz w:val="20"/>
              </w:rPr>
              <w:t>Weighting</w:t>
            </w:r>
          </w:p>
        </w:tc>
        <w:tc>
          <w:tcPr>
            <w:tcW w:w="1250" w:type="dxa"/>
            <w:tcBorders>
              <w:top w:val="single" w:sz="12" w:space="0" w:color="4F81BD"/>
            </w:tcBorders>
            <w:shd w:fill="4F81BD" w:val="clear"/>
            <w:tcMar>
              <w:left w:w="0" w:type="dxa"/>
            </w:tcMar>
            <w:vAlign w:val="center"/>
          </w:tcPr>
          <w:p>
            <w:pPr>
              <w:pStyle w:val="TableContents"/>
              <w:bidi w:val="0"/>
              <w:spacing w:before="0" w:after="0"/>
              <w:jc w:val="center"/>
              <w:rPr>
                <w:rFonts w:ascii="Times New Roman" w:hAnsi="Times New Roman"/>
                <w:b/>
                <w:color w:val="FFFFFF"/>
                <w:sz w:val="20"/>
              </w:rPr>
            </w:pPr>
            <w:r>
              <w:rPr>
                <w:rFonts w:ascii="Times New Roman" w:hAnsi="Times New Roman"/>
                <w:b/>
                <w:color w:val="FFFFFF"/>
                <w:sz w:val="20"/>
              </w:rPr>
              <w:t>Threshold</w:t>
            </w:r>
          </w:p>
        </w:tc>
        <w:tc>
          <w:tcPr>
            <w:tcW w:w="1250" w:type="dxa"/>
            <w:tcBorders>
              <w:top w:val="single" w:sz="12" w:space="0" w:color="4F81BD"/>
            </w:tcBorders>
            <w:shd w:fill="4F81BD" w:val="clear"/>
            <w:tcMar>
              <w:left w:w="0" w:type="dxa"/>
            </w:tcMar>
            <w:vAlign w:val="center"/>
          </w:tcPr>
          <w:p>
            <w:pPr>
              <w:pStyle w:val="TableContents"/>
              <w:bidi w:val="0"/>
              <w:spacing w:before="0" w:after="0"/>
              <w:jc w:val="center"/>
              <w:rPr>
                <w:rFonts w:ascii="Times New Roman" w:hAnsi="Times New Roman"/>
                <w:b/>
                <w:color w:val="FFFFFF"/>
                <w:sz w:val="20"/>
              </w:rPr>
            </w:pPr>
            <w:r>
              <w:rPr>
                <w:rFonts w:ascii="Times New Roman" w:hAnsi="Times New Roman"/>
                <w:b/>
                <w:color w:val="FFFFFF"/>
                <w:sz w:val="20"/>
              </w:rPr>
              <w:t>Target</w:t>
            </w:r>
          </w:p>
        </w:tc>
        <w:tc>
          <w:tcPr>
            <w:tcW w:w="1250" w:type="dxa"/>
            <w:tcBorders>
              <w:top w:val="single" w:sz="12" w:space="0" w:color="4F81BD"/>
            </w:tcBorders>
            <w:shd w:fill="4F81BD" w:val="clear"/>
            <w:tcMar>
              <w:left w:w="0" w:type="dxa"/>
            </w:tcMar>
            <w:vAlign w:val="center"/>
          </w:tcPr>
          <w:p>
            <w:pPr>
              <w:pStyle w:val="TableContents"/>
              <w:bidi w:val="0"/>
              <w:spacing w:before="0" w:after="0"/>
              <w:jc w:val="center"/>
              <w:rPr>
                <w:rFonts w:ascii="Times New Roman" w:hAnsi="Times New Roman"/>
                <w:b/>
                <w:color w:val="FFFFFF"/>
                <w:sz w:val="20"/>
              </w:rPr>
            </w:pPr>
            <w:r>
              <w:rPr>
                <w:rFonts w:ascii="Times New Roman" w:hAnsi="Times New Roman"/>
                <w:b/>
                <w:color w:val="FFFFFF"/>
                <w:sz w:val="20"/>
              </w:rPr>
              <w:t>Maximum</w:t>
            </w:r>
          </w:p>
        </w:tc>
      </w:tr>
      <w:tr>
        <w:trPr/>
        <w:tc>
          <w:tcPr>
            <w:tcW w:w="60" w:type="dxa"/>
            <w:tcBorders>
              <w:left w:val="single" w:sz="12" w:space="0" w:color="4F81BD"/>
              <w:bottom w:val="single" w:sz="12" w:space="0" w:color="4F81BD"/>
            </w:tcBorders>
            <w:tcMar>
              <w:top w:w="0" w:type="dxa"/>
              <w:bottom w:w="28" w:type="dxa"/>
            </w:tcMar>
            <w:vAlign w:val="center"/>
          </w:tcPr>
          <w:p>
            <w:pPr>
              <w:pStyle w:val="TableContents"/>
              <w:bidi w:val="0"/>
              <w:spacing w:before="0" w:after="283"/>
              <w:jc w:val="left"/>
              <w:rPr/>
            </w:pPr>
            <w:r>
              <w:rPr/>
              <w:t> </w:t>
            </w:r>
          </w:p>
        </w:tc>
        <w:tc>
          <w:tcPr>
            <w:tcW w:w="3740" w:type="dxa"/>
            <w:tcBorders>
              <w:bottom w:val="single" w:sz="12" w:space="0" w:color="4F81BD"/>
            </w:tcBorders>
            <w:tcMar>
              <w:top w:w="0" w:type="dxa"/>
              <w:left w:w="0" w:type="dxa"/>
              <w:bottom w:w="28"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EAD ROAE</w:t>
            </w:r>
          </w:p>
        </w:tc>
        <w:tc>
          <w:tcPr>
            <w:tcW w:w="905" w:type="dxa"/>
            <w:tcBorders>
              <w:bottom w:val="single" w:sz="12" w:space="0" w:color="000000"/>
            </w:tcBorders>
            <w:tcMar>
              <w:top w:w="0" w:type="dxa"/>
              <w:left w:w="0" w:type="dxa"/>
              <w:bottom w:w="28"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35%</w:t>
            </w:r>
          </w:p>
        </w:tc>
        <w:tc>
          <w:tcPr>
            <w:tcW w:w="1250" w:type="dxa"/>
            <w:tcBorders>
              <w:bottom w:val="single" w:sz="12" w:space="0" w:color="000000"/>
            </w:tcBorders>
            <w:tcMar>
              <w:top w:w="0" w:type="dxa"/>
              <w:left w:w="0" w:type="dxa"/>
              <w:bottom w:w="28"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5%</w:t>
            </w:r>
          </w:p>
        </w:tc>
        <w:tc>
          <w:tcPr>
            <w:tcW w:w="1250" w:type="dxa"/>
            <w:tcBorders>
              <w:bottom w:val="single" w:sz="12" w:space="0" w:color="000000"/>
            </w:tcBorders>
            <w:tcMar>
              <w:top w:w="0" w:type="dxa"/>
              <w:left w:w="0" w:type="dxa"/>
              <w:bottom w:w="28"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9%</w:t>
            </w:r>
          </w:p>
        </w:tc>
        <w:tc>
          <w:tcPr>
            <w:tcW w:w="1250" w:type="dxa"/>
            <w:tcBorders>
              <w:bottom w:val="single" w:sz="12" w:space="0" w:color="000000"/>
              <w:right w:val="single" w:sz="12" w:space="0" w:color="000000"/>
            </w:tcBorders>
            <w:tcMar>
              <w:top w:w="0" w:type="dxa"/>
              <w:left w:w="0" w:type="dxa"/>
              <w:bottom w:w="28" w:type="dxa"/>
              <w:right w:w="28"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13%</w:t>
            </w:r>
          </w:p>
        </w:tc>
      </w:tr>
      <w:tr>
        <w:trPr/>
        <w:tc>
          <w:tcPr>
            <w:tcW w:w="60" w:type="dxa"/>
            <w:tcBorders>
              <w:left w:val="single" w:sz="12" w:space="0" w:color="4F81BD"/>
              <w:bottom w:val="single" w:sz="12" w:space="0" w:color="4F81BD"/>
            </w:tcBorders>
            <w:tcMar>
              <w:top w:w="0" w:type="dxa"/>
              <w:bottom w:w="28" w:type="dxa"/>
            </w:tcMar>
            <w:vAlign w:val="center"/>
          </w:tcPr>
          <w:p>
            <w:pPr>
              <w:pStyle w:val="TableContents"/>
              <w:bidi w:val="0"/>
              <w:spacing w:before="0" w:after="283"/>
              <w:jc w:val="left"/>
              <w:rPr/>
            </w:pPr>
            <w:r>
              <w:rPr/>
              <w:t> </w:t>
            </w:r>
          </w:p>
        </w:tc>
        <w:tc>
          <w:tcPr>
            <w:tcW w:w="3740" w:type="dxa"/>
            <w:tcBorders>
              <w:bottom w:val="single" w:sz="12" w:space="0" w:color="4F81BD"/>
            </w:tcBorders>
            <w:tcMar>
              <w:top w:w="0" w:type="dxa"/>
              <w:left w:w="0" w:type="dxa"/>
              <w:bottom w:w="28"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Relative Price/Net Tangible Book Value</w:t>
            </w:r>
          </w:p>
        </w:tc>
        <w:tc>
          <w:tcPr>
            <w:tcW w:w="905" w:type="dxa"/>
            <w:tcBorders>
              <w:bottom w:val="single" w:sz="12" w:space="0" w:color="000000"/>
            </w:tcBorders>
            <w:tcMar>
              <w:top w:w="0" w:type="dxa"/>
              <w:left w:w="0" w:type="dxa"/>
              <w:bottom w:w="28"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35%</w:t>
            </w:r>
          </w:p>
        </w:tc>
        <w:tc>
          <w:tcPr>
            <w:tcW w:w="1250" w:type="dxa"/>
            <w:tcBorders>
              <w:bottom w:val="single" w:sz="12" w:space="0" w:color="000000"/>
            </w:tcBorders>
            <w:tcMar>
              <w:top w:w="0" w:type="dxa"/>
              <w:left w:w="0" w:type="dxa"/>
              <w:bottom w:w="28" w:type="dxa"/>
            </w:tcMar>
            <w:vAlign w:val="center"/>
          </w:tcPr>
          <w:p>
            <w:pPr>
              <w:pStyle w:val="TableContents"/>
              <w:bidi w:val="0"/>
              <w:spacing w:lineRule="auto" w:line="240" w:before="0" w:after="0"/>
              <w:jc w:val="center"/>
              <w:rPr>
                <w:rFonts w:ascii="Times New Roman" w:hAnsi="Times New Roman"/>
                <w:sz w:val="20"/>
              </w:rPr>
            </w:pPr>
            <w:r>
              <w:rPr>
                <w:rFonts w:ascii="Times New Roman" w:hAnsi="Times New Roman"/>
                <w:sz w:val="20"/>
              </w:rPr>
              <w:t>25th percentile</w:t>
            </w:r>
          </w:p>
        </w:tc>
        <w:tc>
          <w:tcPr>
            <w:tcW w:w="1250" w:type="dxa"/>
            <w:tcBorders>
              <w:bottom w:val="single" w:sz="12" w:space="0" w:color="000000"/>
            </w:tcBorders>
            <w:tcMar>
              <w:top w:w="0" w:type="dxa"/>
              <w:left w:w="0" w:type="dxa"/>
              <w:bottom w:w="28" w:type="dxa"/>
            </w:tcMar>
            <w:vAlign w:val="center"/>
          </w:tcPr>
          <w:p>
            <w:pPr>
              <w:pStyle w:val="TableContents"/>
              <w:bidi w:val="0"/>
              <w:spacing w:lineRule="auto" w:line="240" w:before="0" w:after="0"/>
              <w:jc w:val="center"/>
              <w:rPr>
                <w:rFonts w:ascii="Times New Roman" w:hAnsi="Times New Roman"/>
                <w:sz w:val="20"/>
              </w:rPr>
            </w:pPr>
            <w:r>
              <w:rPr>
                <w:rFonts w:ascii="Times New Roman" w:hAnsi="Times New Roman"/>
                <w:sz w:val="20"/>
              </w:rPr>
              <w:t>50th percentile</w:t>
            </w:r>
          </w:p>
        </w:tc>
        <w:tc>
          <w:tcPr>
            <w:tcW w:w="1250" w:type="dxa"/>
            <w:tcBorders>
              <w:bottom w:val="single" w:sz="12" w:space="0" w:color="000000"/>
              <w:right w:val="single" w:sz="12" w:space="0" w:color="000000"/>
            </w:tcBorders>
            <w:tcMar>
              <w:top w:w="0" w:type="dxa"/>
              <w:left w:w="0" w:type="dxa"/>
              <w:bottom w:w="28" w:type="dxa"/>
              <w:right w:w="28" w:type="dxa"/>
            </w:tcMar>
            <w:vAlign w:val="center"/>
          </w:tcPr>
          <w:p>
            <w:pPr>
              <w:pStyle w:val="TableContents"/>
              <w:bidi w:val="0"/>
              <w:spacing w:lineRule="auto" w:line="240" w:before="0" w:after="0"/>
              <w:jc w:val="center"/>
              <w:rPr>
                <w:rFonts w:ascii="Times New Roman" w:hAnsi="Times New Roman"/>
                <w:sz w:val="20"/>
              </w:rPr>
            </w:pPr>
            <w:r>
              <w:rPr>
                <w:rFonts w:ascii="Times New Roman" w:hAnsi="Times New Roman"/>
                <w:sz w:val="20"/>
              </w:rPr>
              <w:t>75th percentile</w:t>
            </w:r>
          </w:p>
        </w:tc>
      </w:tr>
      <w:tr>
        <w:trPr/>
        <w:tc>
          <w:tcPr>
            <w:tcW w:w="60" w:type="dxa"/>
            <w:tcBorders>
              <w:left w:val="single" w:sz="12" w:space="0" w:color="4F81BD"/>
              <w:bottom w:val="single" w:sz="12" w:space="0" w:color="4F81BD"/>
            </w:tcBorders>
            <w:tcMar>
              <w:top w:w="0" w:type="dxa"/>
              <w:bottom w:w="28" w:type="dxa"/>
            </w:tcMar>
            <w:vAlign w:val="center"/>
          </w:tcPr>
          <w:p>
            <w:pPr>
              <w:pStyle w:val="TableContents"/>
              <w:bidi w:val="0"/>
              <w:spacing w:before="0" w:after="283"/>
              <w:jc w:val="left"/>
              <w:rPr/>
            </w:pPr>
            <w:r>
              <w:rPr/>
              <w:t> </w:t>
            </w:r>
          </w:p>
        </w:tc>
        <w:tc>
          <w:tcPr>
            <w:tcW w:w="3740" w:type="dxa"/>
            <w:tcBorders>
              <w:bottom w:val="single" w:sz="12" w:space="0" w:color="4F81BD"/>
            </w:tcBorders>
            <w:tcMar>
              <w:top w:w="0" w:type="dxa"/>
              <w:left w:w="0" w:type="dxa"/>
              <w:bottom w:w="28"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Individual Performance/Strategic (Subjective)</w:t>
            </w:r>
          </w:p>
        </w:tc>
        <w:tc>
          <w:tcPr>
            <w:tcW w:w="905" w:type="dxa"/>
            <w:tcBorders>
              <w:bottom w:val="single" w:sz="12" w:space="0" w:color="4F81BD"/>
            </w:tcBorders>
            <w:tcMar>
              <w:top w:w="0" w:type="dxa"/>
              <w:left w:w="0" w:type="dxa"/>
              <w:bottom w:w="28"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30%</w:t>
            </w:r>
          </w:p>
        </w:tc>
        <w:tc>
          <w:tcPr>
            <w:tcW w:w="3750" w:type="dxa"/>
            <w:gridSpan w:val="3"/>
            <w:tcBorders>
              <w:bottom w:val="single" w:sz="12" w:space="0" w:color="4F81BD"/>
              <w:right w:val="single" w:sz="12" w:space="0" w:color="000000"/>
            </w:tcBorders>
            <w:tcMar>
              <w:top w:w="0" w:type="dxa"/>
              <w:left w:w="0" w:type="dxa"/>
              <w:bottom w:w="28" w:type="dxa"/>
              <w:right w:w="28"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Subjectively Assessed</w:t>
            </w:r>
          </w:p>
        </w:tc>
      </w:tr>
    </w:tbl>
    <w:p>
      <w:pPr>
        <w:pStyle w:val="TextBody"/>
        <w:bidi w:val="0"/>
        <w:spacing w:before="0" w:after="0"/>
        <w:jc w:val="both"/>
        <w:rPr>
          <w:rFonts w:ascii="Times New Roman" w:hAnsi="Times New Roman"/>
          <w:i/>
          <w:color w:val="000000"/>
          <w:sz w:val="20"/>
        </w:rPr>
      </w:pPr>
      <w:r>
        <w:rPr>
          <w:rFonts w:ascii="Times New Roman" w:hAnsi="Times New Roman"/>
          <w:i/>
          <w:color w:val="000000"/>
          <w:sz w:val="20"/>
        </w:rPr>
        <w:t>Please refer to the Appendix for definitions of each metric.</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Each of the above goals are determined independently of the others.  Note: to the extent performance falls between two levels, linear interpolation will apply.  In the event that CHMI’s actual performance does not meet the Threshold requirement as noted above, no award will be earned for such performance requirement.  If CHMI’s actual performance for the Performance Period is above the Maximum for a performance requirement, the resulting outcome is capped at the Maximum level.</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To the extent desired, the Compensation Committee has the ability to modify the performance metrics/weightings of future STIPs.</w:t>
      </w:r>
    </w:p>
    <w:p>
      <w:pPr>
        <w:pStyle w:val="TextBody"/>
        <w:bidi w:val="0"/>
        <w:spacing w:before="0" w:after="0"/>
        <w:jc w:val="both"/>
        <w:rPr>
          <w:rFonts w:ascii="Times New Roman" w:hAnsi="Times New Roman"/>
          <w:sz w:val="20"/>
        </w:rPr>
      </w:pPr>
      <w:r>
        <w:rPr>
          <w:rFonts w:ascii="Times New Roman" w:hAnsi="Times New Roman"/>
          <w:sz w:val="20"/>
        </w:rPr>
      </w:r>
    </w:p>
    <w:tbl>
      <w:tblPr>
        <w:tblW w:w="223" w:type="dxa"/>
        <w:jc w:val="left"/>
        <w:tblInd w:w="0" w:type="dxa"/>
        <w:tblLayout w:type="fixed"/>
        <w:tblCellMar>
          <w:top w:w="28" w:type="dxa"/>
          <w:left w:w="0" w:type="dxa"/>
          <w:bottom w:w="0" w:type="dxa"/>
          <w:right w:w="0" w:type="dxa"/>
        </w:tblCellMar>
      </w:tblPr>
      <w:tblGrid>
        <w:gridCol w:w="140"/>
        <w:gridCol w:w="60"/>
        <w:gridCol w:w="23"/>
      </w:tblGrid>
      <w:tr>
        <w:trPr/>
        <w:tc>
          <w:tcPr>
            <w:tcW w:w="140" w:type="dxa"/>
            <w:tcBorders>
              <w:top w:val="single" w:sz="12" w:space="0" w:color="000000"/>
            </w:tcBorders>
            <w:vAlign w:val="center"/>
          </w:tcPr>
          <w:p>
            <w:pPr>
              <w:pStyle w:val="TableContents"/>
              <w:bidi w:val="0"/>
              <w:spacing w:before="0" w:after="283"/>
              <w:jc w:val="right"/>
              <w:rPr>
                <w:b/>
                <w:color w:val="4F81BD"/>
              </w:rPr>
            </w:pPr>
            <w:r>
              <w:rPr>
                <w:b/>
                <w:color w:val="4F81BD"/>
              </w:rPr>
              <w:t>3</w:t>
            </w:r>
          </w:p>
        </w:tc>
        <w:tc>
          <w:tcPr>
            <w:tcW w:w="60" w:type="dxa"/>
            <w:tcBorders>
              <w:top w:val="single" w:sz="12" w:space="0" w:color="000000"/>
            </w:tcBorders>
            <w:vAlign w:val="center"/>
          </w:tcPr>
          <w:p>
            <w:pPr>
              <w:pStyle w:val="TableContents"/>
              <w:bidi w:val="0"/>
              <w:spacing w:before="0" w:after="283"/>
              <w:jc w:val="right"/>
              <w:rPr>
                <w:color w:val="4F81BD"/>
              </w:rPr>
            </w:pPr>
            <w:r>
              <w:rPr>
                <w:color w:val="4F81BD"/>
              </w:rPr>
              <w:t> </w:t>
            </w:r>
          </w:p>
        </w:tc>
        <w:tc>
          <w:tcPr>
            <w:tcW w:w="23" w:type="dxa"/>
            <w:tcBorders>
              <w:top w:val="single" w:sz="12" w:space="0" w:color="000000"/>
              <w:left w:val="single" w:sz="12" w:space="0" w:color="000000"/>
            </w:tcBorders>
            <w:tcMar>
              <w:left w:w="28" w:type="dxa"/>
            </w:tcMar>
            <w:vAlign w:val="center"/>
          </w:tcPr>
          <w:p>
            <w:pPr>
              <w:pStyle w:val="TableContents"/>
              <w:bidi w:val="0"/>
              <w:spacing w:before="0" w:after="283"/>
              <w:jc w:val="left"/>
              <w:rPr/>
            </w:pPr>
            <w:r>
              <w:rPr/>
            </w:r>
          </w:p>
        </w:tc>
      </w:tr>
    </w:tbl>
    <w:p>
      <w:pPr>
        <w:pStyle w:val="HorizontalLine"/>
        <w:pBdr>
          <w:bottom w:val="single" w:sz="12" w:space="0" w:color="808080"/>
        </w:pBdr>
        <w:bidi w:val="0"/>
        <w:spacing w:before="200" w:after="200"/>
        <w:jc w:val="left"/>
        <w:rPr/>
      </w:pPr>
      <w:r>
        <w:rPr/>
      </w:r>
    </w:p>
    <w:p>
      <w:pPr>
        <w:pStyle w:val="TextBody"/>
        <w:bidi w:val="0"/>
        <w:spacing w:before="0" w:after="0"/>
        <w:jc w:val="both"/>
        <w:rPr>
          <w:rFonts w:ascii="Times New Roman" w:hAnsi="Times New Roman"/>
          <w:b/>
          <w:color w:val="4F81BD"/>
          <w:sz w:val="20"/>
        </w:rPr>
      </w:pPr>
      <w:r>
        <w:rPr>
          <w:rFonts w:ascii="Times New Roman" w:hAnsi="Times New Roman"/>
          <w:b/>
          <w:color w:val="4F81BD"/>
          <w:sz w:val="20"/>
        </w:rPr>
        <w:t>Long-Term Incentive Program</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i/>
          <w:color w:val="4F81BD"/>
          <w:sz w:val="20"/>
        </w:rPr>
      </w:pPr>
      <w:r>
        <w:rPr>
          <w:rFonts w:ascii="Times New Roman" w:hAnsi="Times New Roman"/>
          <w:i/>
          <w:color w:val="4F81BD"/>
          <w:sz w:val="20"/>
        </w:rPr>
        <w:t>Purpose</w:t>
      </w:r>
    </w:p>
    <w:p>
      <w:pPr>
        <w:pStyle w:val="TextBody"/>
        <w:bidi w:val="0"/>
        <w:spacing w:before="0" w:after="0"/>
        <w:jc w:val="both"/>
        <w:rPr>
          <w:rFonts w:ascii="Times New Roman" w:hAnsi="Times New Roman"/>
          <w:i/>
          <w:color w:val="4F81BD"/>
          <w:sz w:val="20"/>
        </w:rPr>
      </w:pPr>
      <w:r>
        <w:rPr>
          <w:rFonts w:ascii="Times New Roman" w:hAnsi="Times New Roman"/>
          <w:i/>
          <w:color w:val="4F81BD"/>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purpose of CHMI’s long-term incentive program (</w:t>
      </w:r>
      <w:r>
        <w:rPr>
          <w:rFonts w:ascii="Times New Roman" w:hAnsi="Times New Roman"/>
          <w:b/>
          <w:color w:val="000000"/>
          <w:sz w:val="20"/>
        </w:rPr>
        <w:t>LTIP</w:t>
      </w:r>
      <w:r>
        <w:rPr>
          <w:rFonts w:ascii="Times New Roman" w:hAnsi="Times New Roman"/>
          <w:color w:val="000000"/>
          <w:sz w:val="20"/>
        </w:rPr>
        <w:t>”) is to attract and retain talented executives and to link compensation to shareholder results over a multi-year period.</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i/>
          <w:color w:val="4F81BD"/>
          <w:sz w:val="20"/>
        </w:rPr>
      </w:pPr>
      <w:r>
        <w:rPr>
          <w:rFonts w:ascii="Times New Roman" w:hAnsi="Times New Roman"/>
          <w:i/>
          <w:color w:val="4F81BD"/>
          <w:sz w:val="20"/>
        </w:rPr>
        <w:t>Eligibility</w:t>
      </w:r>
    </w:p>
    <w:p>
      <w:pPr>
        <w:pStyle w:val="TextBody"/>
        <w:bidi w:val="0"/>
        <w:spacing w:before="0" w:after="0"/>
        <w:jc w:val="both"/>
        <w:rPr>
          <w:rFonts w:ascii="Times New Roman" w:hAnsi="Times New Roman"/>
          <w:i/>
          <w:color w:val="4F81BD"/>
          <w:sz w:val="20"/>
        </w:rPr>
      </w:pPr>
      <w:r>
        <w:rPr>
          <w:rFonts w:ascii="Times New Roman" w:hAnsi="Times New Roman"/>
          <w:i/>
          <w:color w:val="4F81BD"/>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 limited group of individuals shall be eligible to participate (the “</w:t>
      </w:r>
      <w:r>
        <w:rPr>
          <w:rFonts w:ascii="Times New Roman" w:hAnsi="Times New Roman"/>
          <w:b/>
          <w:color w:val="000000"/>
          <w:sz w:val="20"/>
        </w:rPr>
        <w:t>LTIP Participants</w:t>
      </w:r>
      <w:r>
        <w:rPr>
          <w:rFonts w:ascii="Times New Roman" w:hAnsi="Times New Roman"/>
          <w:color w:val="000000"/>
          <w:sz w:val="20"/>
        </w:rPr>
        <w:t>”) in the LTIP.  At program commencement, the eligible participants include CHMI’s executive team and select additional employees.  Additional new hires and/or promoted employees, resulting in organizational rankings consistent with those in the existing pool, may become eligible to participate in the future.</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i/>
          <w:color w:val="4F81BD"/>
          <w:sz w:val="20"/>
        </w:rPr>
      </w:pPr>
      <w:r>
        <w:rPr>
          <w:rFonts w:ascii="Times New Roman" w:hAnsi="Times New Roman"/>
          <w:i/>
          <w:color w:val="4F81BD"/>
          <w:sz w:val="20"/>
        </w:rPr>
        <w:t>Effective Date, Opportunity, and Award Determination</w:t>
      </w:r>
    </w:p>
    <w:p>
      <w:pPr>
        <w:pStyle w:val="TextBody"/>
        <w:bidi w:val="0"/>
        <w:spacing w:before="0" w:after="0"/>
        <w:jc w:val="both"/>
        <w:rPr>
          <w:rFonts w:ascii="Times New Roman" w:hAnsi="Times New Roman"/>
          <w:i/>
          <w:color w:val="4F81BD"/>
          <w:sz w:val="20"/>
        </w:rPr>
      </w:pPr>
      <w:r>
        <w:rPr>
          <w:rFonts w:ascii="Times New Roman" w:hAnsi="Times New Roman"/>
          <w:i/>
          <w:color w:val="4F81BD"/>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2026 will be the first year in which LTIP grants are made under the new program.  The program is intended to cover consecutive, rolling three-year tranches (36 months each) for an indefinite period.  The first fiscal year tranche under the LTIP covers the period from January 1, 2026 through December 31, 2028.  The second such tranche under the LTIP will cover the period from January 1, 2027 through December 31, 2029, and so on.  Each tranche is referred to as a separate “Performance Period”.</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Awards under the LTIP are expressed as a dollar amount that is then converted to equity based on a split across time-based vesting and performance-based vesting, further calculated into units based on the grant date fair market value (the latter of which shall use a Monte-Carlo valuation obtained by a third-party valuation firm).  Presented below is the dollar value of LTI award opportunities in total for the 2026 grants.  Thereafter, we have illustrated the portion that vests based only on time and the portion tied to future multi-year performance.</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Immediately below is the total dollar value of LTI award opportunities.  We have shown threshold, target, and maximum payouts pending performance outcomes (on the performance-based portion of the award, as the time-based portion does not fluctuate based on performance goals).</w:t>
      </w:r>
    </w:p>
    <w:p>
      <w:pPr>
        <w:pStyle w:val="TextBody"/>
        <w:bidi w:val="0"/>
        <w:spacing w:before="0" w:after="0"/>
        <w:jc w:val="both"/>
        <w:rPr>
          <w:rFonts w:ascii="Times New Roman" w:hAnsi="Times New Roman"/>
          <w:sz w:val="20"/>
        </w:rPr>
      </w:pPr>
      <w:r>
        <w:rPr>
          <w:rFonts w:ascii="Times New Roman" w:hAnsi="Times New Roman"/>
          <w:sz w:val="20"/>
        </w:rPr>
      </w:r>
    </w:p>
    <w:p>
      <w:pPr>
        <w:pStyle w:val="Normal"/>
        <w:bidi w:val="0"/>
        <w:spacing w:before="0" w:after="0"/>
        <w:jc w:val="left"/>
        <w:rPr>
          <w:sz w:val="4"/>
          <w:szCs w:val="4"/>
        </w:rPr>
      </w:pPr>
      <w:r>
        <w:rPr>
          <w:sz w:val="4"/>
          <w:szCs w:val="4"/>
        </w:rPr>
      </w:r>
      <w:bookmarkStart w:id="62" w:name="z33617490fa3f4e02843a975083cd7b6a"/>
      <w:bookmarkStart w:id="63" w:name="z33617490fa3f4e02843a975083cd7b6a"/>
      <w:bookmarkEnd w:id="63"/>
    </w:p>
    <w:tbl>
      <w:tblPr>
        <w:tblW w:w="4974" w:type="dxa"/>
        <w:jc w:val="left"/>
        <w:tblInd w:w="0" w:type="dxa"/>
        <w:tblLayout w:type="fixed"/>
        <w:tblCellMar>
          <w:top w:w="28" w:type="dxa"/>
          <w:left w:w="0" w:type="dxa"/>
          <w:bottom w:w="28" w:type="dxa"/>
          <w:right w:w="0" w:type="dxa"/>
        </w:tblCellMar>
      </w:tblPr>
      <w:tblGrid>
        <w:gridCol w:w="60"/>
        <w:gridCol w:w="1370"/>
        <w:gridCol w:w="1195"/>
        <w:gridCol w:w="1074"/>
        <w:gridCol w:w="1275"/>
      </w:tblGrid>
      <w:tr>
        <w:trPr/>
        <w:tc>
          <w:tcPr>
            <w:tcW w:w="60" w:type="dxa"/>
            <w:vMerge w:val="restart"/>
            <w:tcBorders>
              <w:top w:val="single" w:sz="12" w:space="0" w:color="000000"/>
              <w:bottom w:val="single" w:sz="12" w:space="0" w:color="000000"/>
            </w:tcBorders>
            <w:vAlign w:val="center"/>
          </w:tcPr>
          <w:p>
            <w:pPr>
              <w:pStyle w:val="TableContents"/>
              <w:bidi w:val="0"/>
              <w:spacing w:before="0" w:after="283"/>
              <w:jc w:val="left"/>
              <w:rPr/>
            </w:pPr>
            <w:r>
              <w:rPr/>
              <w:t> </w:t>
            </w:r>
          </w:p>
        </w:tc>
        <w:tc>
          <w:tcPr>
            <w:tcW w:w="1370" w:type="dxa"/>
            <w:vMerge w:val="restart"/>
            <w:tcBorders>
              <w:top w:val="single" w:sz="12" w:space="0" w:color="000000"/>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Executive</w:t>
            </w:r>
          </w:p>
        </w:tc>
        <w:tc>
          <w:tcPr>
            <w:tcW w:w="3544" w:type="dxa"/>
            <w:gridSpan w:val="3"/>
            <w:tcBorders>
              <w:top w:val="single" w:sz="12" w:space="0" w:color="000000"/>
            </w:tcBorders>
            <w:tcMar>
              <w:bottom w:w="0"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Dollar Value of LTI Award Opportunities</w:t>
            </w:r>
          </w:p>
        </w:tc>
      </w:tr>
      <w:tr>
        <w:trPr/>
        <w:tc>
          <w:tcPr>
            <w:tcW w:w="60" w:type="dxa"/>
            <w:vMerge w:val="continue"/>
            <w:tcBorders>
              <w:top w:val="single" w:sz="12" w:space="0" w:color="000000"/>
              <w:bottom w:val="single" w:sz="12" w:space="0" w:color="000000"/>
            </w:tcBorders>
            <w:vAlign w:val="center"/>
          </w:tcPr>
          <w:p>
            <w:pPr>
              <w:pStyle w:val="Normal"/>
              <w:bidi w:val="0"/>
              <w:jc w:val="left"/>
              <w:rPr/>
            </w:pPr>
            <w:r>
              <w:rPr/>
            </w:r>
          </w:p>
        </w:tc>
        <w:tc>
          <w:tcPr>
            <w:tcW w:w="1370" w:type="dxa"/>
            <w:vMerge w:val="continue"/>
            <w:tcBorders>
              <w:top w:val="single" w:sz="12" w:space="0" w:color="000000"/>
              <w:bottom w:val="single" w:sz="12" w:space="0" w:color="000000"/>
            </w:tcBorders>
            <w:vAlign w:val="center"/>
          </w:tcPr>
          <w:p>
            <w:pPr>
              <w:pStyle w:val="Normal"/>
              <w:bidi w:val="0"/>
              <w:jc w:val="left"/>
              <w:rPr/>
            </w:pPr>
            <w:r>
              <w:rPr/>
            </w:r>
          </w:p>
        </w:tc>
        <w:tc>
          <w:tcPr>
            <w:tcW w:w="1195" w:type="dxa"/>
            <w:tcBorders>
              <w:bottom w:val="single" w:sz="12" w:space="0" w:color="000000"/>
            </w:tcBorders>
            <w:tcMar>
              <w:top w:w="0"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Threshold</w:t>
            </w:r>
          </w:p>
        </w:tc>
        <w:tc>
          <w:tcPr>
            <w:tcW w:w="1074" w:type="dxa"/>
            <w:tcBorders>
              <w:bottom w:val="single" w:sz="12" w:space="0" w:color="000000"/>
            </w:tcBorders>
            <w:tcMar>
              <w:top w:w="0"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Target</w:t>
            </w:r>
          </w:p>
        </w:tc>
        <w:tc>
          <w:tcPr>
            <w:tcW w:w="1275" w:type="dxa"/>
            <w:tcBorders>
              <w:bottom w:val="single" w:sz="12" w:space="0" w:color="000000"/>
            </w:tcBorders>
            <w:tcMar>
              <w:top w:w="0"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Maximum</w:t>
            </w:r>
          </w:p>
        </w:tc>
      </w:tr>
      <w:tr>
        <w:trPr/>
        <w:tc>
          <w:tcPr>
            <w:tcW w:w="60" w:type="dxa"/>
            <w:tcBorders/>
            <w:shd w:fill="C0C0C0" w:val="clear"/>
            <w:tcMar>
              <w:top w:w="0" w:type="dxa"/>
              <w:bottom w:w="0" w:type="dxa"/>
            </w:tcMar>
            <w:vAlign w:val="center"/>
          </w:tcPr>
          <w:p>
            <w:pPr>
              <w:pStyle w:val="TableContents"/>
              <w:bidi w:val="0"/>
              <w:spacing w:before="0" w:after="283"/>
              <w:jc w:val="left"/>
              <w:rPr/>
            </w:pPr>
            <w:r>
              <w:rPr/>
              <w:t> </w:t>
            </w:r>
          </w:p>
        </w:tc>
        <w:tc>
          <w:tcPr>
            <w:tcW w:w="1370" w:type="dxa"/>
            <w:tcBorders/>
            <w:shd w:fill="C0C0C0" w:val="clear"/>
            <w:tcMar>
              <w:top w:w="0" w:type="dxa"/>
              <w:bottom w:w="0" w:type="dxa"/>
            </w:tcMar>
            <w:vAlign w:val="center"/>
          </w:tcPr>
          <w:p>
            <w:pPr>
              <w:pStyle w:val="TableContents"/>
              <w:bidi w:val="0"/>
              <w:spacing w:before="0" w:after="0"/>
              <w:jc w:val="both"/>
              <w:rPr>
                <w:rFonts w:ascii="Times New Roman" w:hAnsi="Times New Roman"/>
                <w:b/>
                <w:sz w:val="20"/>
              </w:rPr>
            </w:pPr>
            <w:r>
              <w:rPr>
                <w:rFonts w:ascii="Times New Roman" w:hAnsi="Times New Roman"/>
                <w:b/>
                <w:sz w:val="20"/>
              </w:rPr>
              <w:t>Jeffrey B. Lown</w:t>
            </w:r>
          </w:p>
        </w:tc>
        <w:tc>
          <w:tcPr>
            <w:tcW w:w="1195" w:type="dxa"/>
            <w:tcBorders/>
            <w:shd w:fill="C0C0C0" w:val="clear"/>
            <w:tcMar>
              <w:top w:w="0" w:type="dxa"/>
              <w:bottom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$675,000</w:t>
            </w:r>
          </w:p>
        </w:tc>
        <w:tc>
          <w:tcPr>
            <w:tcW w:w="1074" w:type="dxa"/>
            <w:tcBorders/>
            <w:shd w:fill="C0C0C0" w:val="clear"/>
            <w:tcMar>
              <w:top w:w="0" w:type="dxa"/>
              <w:bottom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$900,000</w:t>
            </w:r>
          </w:p>
        </w:tc>
        <w:tc>
          <w:tcPr>
            <w:tcW w:w="1275" w:type="dxa"/>
            <w:tcBorders/>
            <w:shd w:fill="C0C0C0" w:val="clear"/>
            <w:tcMar>
              <w:top w:w="0" w:type="dxa"/>
              <w:bottom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$1,350,000</w:t>
            </w:r>
          </w:p>
        </w:tc>
      </w:tr>
      <w:tr>
        <w:trPr/>
        <w:tc>
          <w:tcPr>
            <w:tcW w:w="60" w:type="dxa"/>
            <w:tcBorders/>
            <w:tcMar>
              <w:top w:w="0" w:type="dxa"/>
              <w:bottom w:w="0" w:type="dxa"/>
            </w:tcMar>
            <w:vAlign w:val="center"/>
          </w:tcPr>
          <w:p>
            <w:pPr>
              <w:pStyle w:val="TableContents"/>
              <w:bidi w:val="0"/>
              <w:spacing w:before="0" w:after="283"/>
              <w:jc w:val="left"/>
              <w:rPr/>
            </w:pPr>
            <w:r>
              <w:rPr/>
              <w:t> </w:t>
            </w:r>
          </w:p>
        </w:tc>
        <w:tc>
          <w:tcPr>
            <w:tcW w:w="1370" w:type="dxa"/>
            <w:tcBorders/>
            <w:tcMar>
              <w:top w:w="0" w:type="dxa"/>
              <w:bottom w:w="0" w:type="dxa"/>
            </w:tcMar>
            <w:vAlign w:val="center"/>
          </w:tcPr>
          <w:p>
            <w:pPr>
              <w:pStyle w:val="TableContents"/>
              <w:bidi w:val="0"/>
              <w:spacing w:before="0" w:after="0"/>
              <w:jc w:val="both"/>
              <w:rPr>
                <w:rFonts w:ascii="Times New Roman" w:hAnsi="Times New Roman"/>
                <w:b/>
                <w:sz w:val="20"/>
              </w:rPr>
            </w:pPr>
            <w:r>
              <w:rPr>
                <w:rFonts w:ascii="Times New Roman" w:hAnsi="Times New Roman"/>
                <w:b/>
                <w:sz w:val="20"/>
              </w:rPr>
              <w:t>Julian B. Evans</w:t>
            </w:r>
          </w:p>
        </w:tc>
        <w:tc>
          <w:tcPr>
            <w:tcW w:w="1195" w:type="dxa"/>
            <w:tcBorders/>
            <w:tcMar>
              <w:top w:w="0" w:type="dxa"/>
              <w:bottom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$412,500</w:t>
            </w:r>
          </w:p>
        </w:tc>
        <w:tc>
          <w:tcPr>
            <w:tcW w:w="1074" w:type="dxa"/>
            <w:tcBorders/>
            <w:tcMar>
              <w:top w:w="0" w:type="dxa"/>
              <w:bottom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$550,000</w:t>
            </w:r>
          </w:p>
        </w:tc>
        <w:tc>
          <w:tcPr>
            <w:tcW w:w="1275" w:type="dxa"/>
            <w:tcBorders/>
            <w:tcMar>
              <w:top w:w="0" w:type="dxa"/>
              <w:bottom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$825,000</w:t>
            </w:r>
          </w:p>
        </w:tc>
      </w:tr>
      <w:tr>
        <w:trPr/>
        <w:tc>
          <w:tcPr>
            <w:tcW w:w="60" w:type="dxa"/>
            <w:tcBorders>
              <w:bottom w:val="single" w:sz="12" w:space="0" w:color="000000"/>
            </w:tcBorders>
            <w:shd w:fill="C0C0C0" w:val="clear"/>
            <w:tcMar>
              <w:top w:w="0" w:type="dxa"/>
            </w:tcMar>
            <w:vAlign w:val="center"/>
          </w:tcPr>
          <w:p>
            <w:pPr>
              <w:pStyle w:val="TableContents"/>
              <w:bidi w:val="0"/>
              <w:spacing w:before="0" w:after="283"/>
              <w:jc w:val="left"/>
              <w:rPr/>
            </w:pPr>
            <w:r>
              <w:rPr/>
              <w:t> </w:t>
            </w:r>
          </w:p>
        </w:tc>
        <w:tc>
          <w:tcPr>
            <w:tcW w:w="1370" w:type="dxa"/>
            <w:tcBorders>
              <w:bottom w:val="single" w:sz="12" w:space="0" w:color="000000"/>
            </w:tcBorders>
            <w:shd w:fill="C0C0C0" w:val="clear"/>
            <w:tcMar>
              <w:top w:w="0" w:type="dxa"/>
            </w:tcMar>
            <w:vAlign w:val="center"/>
          </w:tcPr>
          <w:p>
            <w:pPr>
              <w:pStyle w:val="TableContents"/>
              <w:bidi w:val="0"/>
              <w:spacing w:before="0" w:after="0"/>
              <w:jc w:val="both"/>
              <w:rPr>
                <w:rFonts w:ascii="Times New Roman" w:hAnsi="Times New Roman"/>
                <w:b/>
                <w:sz w:val="20"/>
              </w:rPr>
            </w:pPr>
            <w:r>
              <w:rPr>
                <w:rFonts w:ascii="Times New Roman" w:hAnsi="Times New Roman"/>
                <w:b/>
                <w:sz w:val="20"/>
              </w:rPr>
              <w:t>Apeksha Patel</w:t>
            </w:r>
          </w:p>
        </w:tc>
        <w:tc>
          <w:tcPr>
            <w:tcW w:w="1195" w:type="dxa"/>
            <w:tcBorders>
              <w:bottom w:val="single" w:sz="12" w:space="0" w:color="000000"/>
            </w:tcBorders>
            <w:shd w:fill="C0C0C0" w:val="clear"/>
            <w:tcMar>
              <w:top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$300,000</w:t>
            </w:r>
          </w:p>
        </w:tc>
        <w:tc>
          <w:tcPr>
            <w:tcW w:w="1074" w:type="dxa"/>
            <w:tcBorders>
              <w:bottom w:val="single" w:sz="12" w:space="0" w:color="000000"/>
            </w:tcBorders>
            <w:shd w:fill="C0C0C0" w:val="clear"/>
            <w:tcMar>
              <w:top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$400,000</w:t>
            </w:r>
          </w:p>
        </w:tc>
        <w:tc>
          <w:tcPr>
            <w:tcW w:w="1275" w:type="dxa"/>
            <w:tcBorders>
              <w:bottom w:val="single" w:sz="12" w:space="0" w:color="000000"/>
            </w:tcBorders>
            <w:shd w:fill="C0C0C0" w:val="clear"/>
            <w:tcMar>
              <w:top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$600,000</w:t>
            </w:r>
          </w:p>
        </w:tc>
      </w:tr>
    </w:tbl>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total opportunity is then subdivided into a time-based portion (50%), which is based on target, is fixed in nature, and then converted into a number of shares/units (the ultimate award value fluctuates with future stock price performance, but no additional/fewer shares/units are thereafter awarded).</w:t>
      </w:r>
    </w:p>
    <w:p>
      <w:pPr>
        <w:pStyle w:val="TextBody"/>
        <w:bidi w:val="0"/>
        <w:spacing w:before="0" w:after="0"/>
        <w:jc w:val="both"/>
        <w:rPr>
          <w:rFonts w:ascii="Times New Roman" w:hAnsi="Times New Roman"/>
          <w:sz w:val="20"/>
        </w:rPr>
      </w:pPr>
      <w:r>
        <w:rPr>
          <w:rFonts w:ascii="Times New Roman" w:hAnsi="Times New Roman"/>
          <w:sz w:val="20"/>
        </w:rPr>
      </w:r>
    </w:p>
    <w:tbl>
      <w:tblPr>
        <w:tblW w:w="223" w:type="dxa"/>
        <w:jc w:val="left"/>
        <w:tblInd w:w="0" w:type="dxa"/>
        <w:tblLayout w:type="fixed"/>
        <w:tblCellMar>
          <w:top w:w="28" w:type="dxa"/>
          <w:left w:w="0" w:type="dxa"/>
          <w:bottom w:w="0" w:type="dxa"/>
          <w:right w:w="0" w:type="dxa"/>
        </w:tblCellMar>
      </w:tblPr>
      <w:tblGrid>
        <w:gridCol w:w="140"/>
        <w:gridCol w:w="60"/>
        <w:gridCol w:w="23"/>
      </w:tblGrid>
      <w:tr>
        <w:trPr/>
        <w:tc>
          <w:tcPr>
            <w:tcW w:w="140" w:type="dxa"/>
            <w:tcBorders>
              <w:top w:val="single" w:sz="12" w:space="0" w:color="000000"/>
            </w:tcBorders>
            <w:vAlign w:val="center"/>
          </w:tcPr>
          <w:p>
            <w:pPr>
              <w:pStyle w:val="TableContents"/>
              <w:bidi w:val="0"/>
              <w:spacing w:before="0" w:after="283"/>
              <w:jc w:val="right"/>
              <w:rPr>
                <w:b/>
                <w:color w:val="4F81BD"/>
              </w:rPr>
            </w:pPr>
            <w:r>
              <w:rPr>
                <w:b/>
                <w:color w:val="4F81BD"/>
              </w:rPr>
              <w:t>4</w:t>
            </w:r>
          </w:p>
        </w:tc>
        <w:tc>
          <w:tcPr>
            <w:tcW w:w="60" w:type="dxa"/>
            <w:tcBorders>
              <w:top w:val="single" w:sz="12" w:space="0" w:color="000000"/>
            </w:tcBorders>
            <w:vAlign w:val="center"/>
          </w:tcPr>
          <w:p>
            <w:pPr>
              <w:pStyle w:val="TableContents"/>
              <w:bidi w:val="0"/>
              <w:spacing w:before="0" w:after="283"/>
              <w:jc w:val="right"/>
              <w:rPr>
                <w:color w:val="4F81BD"/>
              </w:rPr>
            </w:pPr>
            <w:r>
              <w:rPr>
                <w:color w:val="4F81BD"/>
              </w:rPr>
              <w:t> </w:t>
            </w:r>
          </w:p>
        </w:tc>
        <w:tc>
          <w:tcPr>
            <w:tcW w:w="23" w:type="dxa"/>
            <w:tcBorders>
              <w:top w:val="single" w:sz="12" w:space="0" w:color="000000"/>
              <w:left w:val="single" w:sz="12" w:space="0" w:color="000000"/>
            </w:tcBorders>
            <w:tcMar>
              <w:left w:w="28" w:type="dxa"/>
            </w:tcMar>
            <w:vAlign w:val="center"/>
          </w:tcPr>
          <w:p>
            <w:pPr>
              <w:pStyle w:val="TableContents"/>
              <w:bidi w:val="0"/>
              <w:spacing w:before="0" w:after="283"/>
              <w:jc w:val="left"/>
              <w:rPr/>
            </w:pPr>
            <w:r>
              <w:rPr/>
            </w:r>
          </w:p>
        </w:tc>
      </w:tr>
    </w:tbl>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64" w:name="zf325de88ecfc4a2d861cb90fefc195f6"/>
      <w:bookmarkStart w:id="65" w:name="zf325de88ecfc4a2d861cb90fefc195f6"/>
      <w:bookmarkEnd w:id="65"/>
    </w:p>
    <w:tbl>
      <w:tblPr>
        <w:tblW w:w="4839" w:type="dxa"/>
        <w:jc w:val="left"/>
        <w:tblInd w:w="0" w:type="dxa"/>
        <w:tblLayout w:type="fixed"/>
        <w:tblCellMar>
          <w:top w:w="28" w:type="dxa"/>
          <w:left w:w="0" w:type="dxa"/>
          <w:bottom w:w="28" w:type="dxa"/>
          <w:right w:w="0" w:type="dxa"/>
        </w:tblCellMar>
      </w:tblPr>
      <w:tblGrid>
        <w:gridCol w:w="60"/>
        <w:gridCol w:w="1370"/>
        <w:gridCol w:w="219"/>
        <w:gridCol w:w="2964"/>
        <w:gridCol w:w="226"/>
      </w:tblGrid>
      <w:tr>
        <w:trPr/>
        <w:tc>
          <w:tcPr>
            <w:tcW w:w="60" w:type="dxa"/>
            <w:vMerge w:val="restart"/>
            <w:tcBorders>
              <w:top w:val="single" w:sz="12" w:space="0" w:color="000000"/>
              <w:bottom w:val="single" w:sz="12" w:space="0" w:color="000000"/>
            </w:tcBorders>
            <w:vAlign w:val="center"/>
          </w:tcPr>
          <w:p>
            <w:pPr>
              <w:pStyle w:val="TableContents"/>
              <w:bidi w:val="0"/>
              <w:spacing w:before="0" w:after="283"/>
              <w:jc w:val="left"/>
              <w:rPr/>
            </w:pPr>
            <w:r>
              <w:rPr/>
              <w:t> </w:t>
            </w:r>
          </w:p>
        </w:tc>
        <w:tc>
          <w:tcPr>
            <w:tcW w:w="1370" w:type="dxa"/>
            <w:vMerge w:val="restart"/>
            <w:tcBorders>
              <w:top w:val="single" w:sz="12" w:space="0" w:color="000000"/>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Executive</w:t>
            </w:r>
          </w:p>
        </w:tc>
        <w:tc>
          <w:tcPr>
            <w:tcW w:w="3409" w:type="dxa"/>
            <w:gridSpan w:val="3"/>
            <w:tcBorders>
              <w:top w:val="single" w:sz="12" w:space="0" w:color="000000"/>
              <w:bottom w:val="single" w:sz="12" w:space="0" w:color="000000"/>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Dollar Value of Time-Based Component</w:t>
            </w:r>
          </w:p>
        </w:tc>
      </w:tr>
      <w:tr>
        <w:trPr/>
        <w:tc>
          <w:tcPr>
            <w:tcW w:w="60" w:type="dxa"/>
            <w:vMerge w:val="continue"/>
            <w:tcBorders>
              <w:top w:val="single" w:sz="12" w:space="0" w:color="000000"/>
              <w:bottom w:val="single" w:sz="12" w:space="0" w:color="000000"/>
            </w:tcBorders>
            <w:vAlign w:val="center"/>
          </w:tcPr>
          <w:p>
            <w:pPr>
              <w:pStyle w:val="Normal"/>
              <w:bidi w:val="0"/>
              <w:jc w:val="left"/>
              <w:rPr/>
            </w:pPr>
            <w:r>
              <w:rPr/>
            </w:r>
          </w:p>
        </w:tc>
        <w:tc>
          <w:tcPr>
            <w:tcW w:w="1370" w:type="dxa"/>
            <w:vMerge w:val="continue"/>
            <w:tcBorders>
              <w:top w:val="single" w:sz="12" w:space="0" w:color="000000"/>
              <w:bottom w:val="single" w:sz="12" w:space="0" w:color="000000"/>
            </w:tcBorders>
            <w:vAlign w:val="center"/>
          </w:tcPr>
          <w:p>
            <w:pPr>
              <w:pStyle w:val="Normal"/>
              <w:bidi w:val="0"/>
              <w:jc w:val="left"/>
              <w:rPr/>
            </w:pPr>
            <w:r>
              <w:rPr/>
            </w:r>
          </w:p>
        </w:tc>
        <w:tc>
          <w:tcPr>
            <w:tcW w:w="219" w:type="dxa"/>
            <w:tcBorders>
              <w:bottom w:val="single" w:sz="12" w:space="0" w:color="000000"/>
            </w:tcBorders>
            <w:tcMar>
              <w:top w:w="0" w:type="dxa"/>
            </w:tcMar>
            <w:vAlign w:val="center"/>
          </w:tcPr>
          <w:p>
            <w:pPr>
              <w:pStyle w:val="TableContents"/>
              <w:bidi w:val="0"/>
              <w:spacing w:before="0" w:after="283"/>
              <w:jc w:val="left"/>
              <w:rPr/>
            </w:pPr>
            <w:r>
              <w:rPr/>
              <w:t> </w:t>
            </w:r>
          </w:p>
        </w:tc>
        <w:tc>
          <w:tcPr>
            <w:tcW w:w="2964" w:type="dxa"/>
            <w:tcBorders>
              <w:bottom w:val="single" w:sz="12" w:space="0" w:color="000000"/>
            </w:tcBorders>
            <w:tcMar>
              <w:top w:w="0"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Target</w:t>
            </w:r>
          </w:p>
        </w:tc>
        <w:tc>
          <w:tcPr>
            <w:tcW w:w="226" w:type="dxa"/>
            <w:tcBorders>
              <w:bottom w:val="single" w:sz="12" w:space="0" w:color="000000"/>
            </w:tcBorders>
            <w:tcMar>
              <w:top w:w="0" w:type="dxa"/>
            </w:tcMar>
            <w:vAlign w:val="center"/>
          </w:tcPr>
          <w:p>
            <w:pPr>
              <w:pStyle w:val="TableContents"/>
              <w:bidi w:val="0"/>
              <w:spacing w:before="0" w:after="283"/>
              <w:jc w:val="left"/>
              <w:rPr/>
            </w:pPr>
            <w:r>
              <w:rPr/>
              <w:t> </w:t>
            </w:r>
          </w:p>
        </w:tc>
      </w:tr>
      <w:tr>
        <w:trPr/>
        <w:tc>
          <w:tcPr>
            <w:tcW w:w="60" w:type="dxa"/>
            <w:tcBorders/>
            <w:shd w:fill="C0C0C0" w:val="clear"/>
            <w:tcMar>
              <w:top w:w="0" w:type="dxa"/>
              <w:bottom w:w="0" w:type="dxa"/>
            </w:tcMar>
            <w:vAlign w:val="center"/>
          </w:tcPr>
          <w:p>
            <w:pPr>
              <w:pStyle w:val="TableContents"/>
              <w:bidi w:val="0"/>
              <w:spacing w:before="0" w:after="283"/>
              <w:jc w:val="left"/>
              <w:rPr/>
            </w:pPr>
            <w:r>
              <w:rPr/>
              <w:t> </w:t>
            </w:r>
          </w:p>
        </w:tc>
        <w:tc>
          <w:tcPr>
            <w:tcW w:w="1370" w:type="dxa"/>
            <w:tcBorders/>
            <w:shd w:fill="C0C0C0" w:val="clear"/>
            <w:tcMar>
              <w:top w:w="0" w:type="dxa"/>
              <w:bottom w:w="0" w:type="dxa"/>
            </w:tcMar>
            <w:vAlign w:val="center"/>
          </w:tcPr>
          <w:p>
            <w:pPr>
              <w:pStyle w:val="TableContents"/>
              <w:bidi w:val="0"/>
              <w:spacing w:before="0" w:after="0"/>
              <w:jc w:val="both"/>
              <w:rPr>
                <w:rFonts w:ascii="Times New Roman" w:hAnsi="Times New Roman"/>
                <w:b/>
                <w:sz w:val="20"/>
              </w:rPr>
            </w:pPr>
            <w:r>
              <w:rPr>
                <w:rFonts w:ascii="Times New Roman" w:hAnsi="Times New Roman"/>
                <w:b/>
                <w:sz w:val="20"/>
              </w:rPr>
              <w:t>Jeffrey B. Lown</w:t>
            </w:r>
          </w:p>
        </w:tc>
        <w:tc>
          <w:tcPr>
            <w:tcW w:w="219" w:type="dxa"/>
            <w:tcBorders/>
            <w:shd w:fill="C0C0C0" w:val="clear"/>
            <w:tcMar>
              <w:top w:w="0" w:type="dxa"/>
              <w:bottom w:w="0" w:type="dxa"/>
            </w:tcMar>
            <w:vAlign w:val="center"/>
          </w:tcPr>
          <w:p>
            <w:pPr>
              <w:pStyle w:val="TableContents"/>
              <w:bidi w:val="0"/>
              <w:spacing w:before="0" w:after="283"/>
              <w:jc w:val="left"/>
              <w:rPr/>
            </w:pPr>
            <w:r>
              <w:rPr/>
              <w:t> </w:t>
            </w:r>
          </w:p>
        </w:tc>
        <w:tc>
          <w:tcPr>
            <w:tcW w:w="2964" w:type="dxa"/>
            <w:tcBorders/>
            <w:shd w:fill="C0C0C0" w:val="clear"/>
            <w:tcMar>
              <w:top w:w="0" w:type="dxa"/>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$450,000</w:t>
            </w:r>
          </w:p>
        </w:tc>
        <w:tc>
          <w:tcPr>
            <w:tcW w:w="226" w:type="dxa"/>
            <w:tcBorders/>
            <w:shd w:fill="C0C0C0" w:val="clear"/>
            <w:tcMar>
              <w:top w:w="0" w:type="dxa"/>
              <w:bottom w:w="0" w:type="dxa"/>
            </w:tcMar>
            <w:vAlign w:val="center"/>
          </w:tcPr>
          <w:p>
            <w:pPr>
              <w:pStyle w:val="TableContents"/>
              <w:bidi w:val="0"/>
              <w:spacing w:before="0" w:after="283"/>
              <w:jc w:val="left"/>
              <w:rPr/>
            </w:pPr>
            <w:r>
              <w:rPr/>
              <w:t> </w:t>
            </w:r>
          </w:p>
        </w:tc>
      </w:tr>
      <w:tr>
        <w:trPr/>
        <w:tc>
          <w:tcPr>
            <w:tcW w:w="60" w:type="dxa"/>
            <w:tcBorders/>
            <w:tcMar>
              <w:top w:w="0" w:type="dxa"/>
              <w:bottom w:w="0" w:type="dxa"/>
            </w:tcMar>
            <w:vAlign w:val="center"/>
          </w:tcPr>
          <w:p>
            <w:pPr>
              <w:pStyle w:val="TableContents"/>
              <w:bidi w:val="0"/>
              <w:spacing w:before="0" w:after="283"/>
              <w:jc w:val="left"/>
              <w:rPr/>
            </w:pPr>
            <w:r>
              <w:rPr/>
              <w:t> </w:t>
            </w:r>
          </w:p>
        </w:tc>
        <w:tc>
          <w:tcPr>
            <w:tcW w:w="1370" w:type="dxa"/>
            <w:tcBorders/>
            <w:tcMar>
              <w:top w:w="0" w:type="dxa"/>
              <w:bottom w:w="0" w:type="dxa"/>
            </w:tcMar>
            <w:vAlign w:val="center"/>
          </w:tcPr>
          <w:p>
            <w:pPr>
              <w:pStyle w:val="TableContents"/>
              <w:bidi w:val="0"/>
              <w:spacing w:before="0" w:after="0"/>
              <w:jc w:val="both"/>
              <w:rPr>
                <w:rFonts w:ascii="Times New Roman" w:hAnsi="Times New Roman"/>
                <w:b/>
                <w:sz w:val="20"/>
              </w:rPr>
            </w:pPr>
            <w:r>
              <w:rPr>
                <w:rFonts w:ascii="Times New Roman" w:hAnsi="Times New Roman"/>
                <w:b/>
                <w:sz w:val="20"/>
              </w:rPr>
              <w:t>Julian B. Evans</w:t>
            </w:r>
          </w:p>
        </w:tc>
        <w:tc>
          <w:tcPr>
            <w:tcW w:w="219" w:type="dxa"/>
            <w:tcBorders/>
            <w:tcMar>
              <w:top w:w="0" w:type="dxa"/>
              <w:bottom w:w="0" w:type="dxa"/>
            </w:tcMar>
            <w:vAlign w:val="center"/>
          </w:tcPr>
          <w:p>
            <w:pPr>
              <w:pStyle w:val="TableContents"/>
              <w:bidi w:val="0"/>
              <w:spacing w:before="0" w:after="283"/>
              <w:jc w:val="left"/>
              <w:rPr/>
            </w:pPr>
            <w:r>
              <w:rPr/>
              <w:t> </w:t>
            </w:r>
          </w:p>
        </w:tc>
        <w:tc>
          <w:tcPr>
            <w:tcW w:w="2964" w:type="dxa"/>
            <w:tcBorders/>
            <w:tcMar>
              <w:top w:w="0" w:type="dxa"/>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$275,000</w:t>
            </w:r>
          </w:p>
        </w:tc>
        <w:tc>
          <w:tcPr>
            <w:tcW w:w="226" w:type="dxa"/>
            <w:tcBorders/>
            <w:tcMar>
              <w:top w:w="0" w:type="dxa"/>
              <w:bottom w:w="0" w:type="dxa"/>
            </w:tcMar>
            <w:vAlign w:val="center"/>
          </w:tcPr>
          <w:p>
            <w:pPr>
              <w:pStyle w:val="TableContents"/>
              <w:bidi w:val="0"/>
              <w:spacing w:before="0" w:after="283"/>
              <w:jc w:val="left"/>
              <w:rPr/>
            </w:pPr>
            <w:r>
              <w:rPr/>
              <w:t> </w:t>
            </w:r>
          </w:p>
        </w:tc>
      </w:tr>
      <w:tr>
        <w:trPr/>
        <w:tc>
          <w:tcPr>
            <w:tcW w:w="60" w:type="dxa"/>
            <w:tcBorders>
              <w:bottom w:val="single" w:sz="12" w:space="0" w:color="000000"/>
            </w:tcBorders>
            <w:shd w:fill="C0C0C0" w:val="clear"/>
            <w:tcMar>
              <w:top w:w="0" w:type="dxa"/>
            </w:tcMar>
            <w:vAlign w:val="center"/>
          </w:tcPr>
          <w:p>
            <w:pPr>
              <w:pStyle w:val="TableContents"/>
              <w:bidi w:val="0"/>
              <w:spacing w:before="0" w:after="283"/>
              <w:jc w:val="left"/>
              <w:rPr/>
            </w:pPr>
            <w:r>
              <w:rPr/>
              <w:t> </w:t>
            </w:r>
          </w:p>
        </w:tc>
        <w:tc>
          <w:tcPr>
            <w:tcW w:w="1370" w:type="dxa"/>
            <w:tcBorders>
              <w:bottom w:val="single" w:sz="12" w:space="0" w:color="000000"/>
            </w:tcBorders>
            <w:shd w:fill="C0C0C0" w:val="clear"/>
            <w:tcMar>
              <w:top w:w="0" w:type="dxa"/>
            </w:tcMar>
            <w:vAlign w:val="center"/>
          </w:tcPr>
          <w:p>
            <w:pPr>
              <w:pStyle w:val="TableContents"/>
              <w:bidi w:val="0"/>
              <w:spacing w:before="0" w:after="0"/>
              <w:jc w:val="both"/>
              <w:rPr>
                <w:rFonts w:ascii="Times New Roman" w:hAnsi="Times New Roman"/>
                <w:b/>
                <w:sz w:val="20"/>
              </w:rPr>
            </w:pPr>
            <w:r>
              <w:rPr>
                <w:rFonts w:ascii="Times New Roman" w:hAnsi="Times New Roman"/>
                <w:b/>
                <w:sz w:val="20"/>
              </w:rPr>
              <w:t>Apeksha Patel</w:t>
            </w:r>
          </w:p>
        </w:tc>
        <w:tc>
          <w:tcPr>
            <w:tcW w:w="219" w:type="dxa"/>
            <w:tcBorders>
              <w:bottom w:val="single" w:sz="12" w:space="0" w:color="000000"/>
            </w:tcBorders>
            <w:shd w:fill="C0C0C0" w:val="clear"/>
            <w:tcMar>
              <w:top w:w="0" w:type="dxa"/>
            </w:tcMar>
            <w:vAlign w:val="center"/>
          </w:tcPr>
          <w:p>
            <w:pPr>
              <w:pStyle w:val="TableContents"/>
              <w:bidi w:val="0"/>
              <w:spacing w:before="0" w:after="283"/>
              <w:jc w:val="left"/>
              <w:rPr/>
            </w:pPr>
            <w:r>
              <w:rPr/>
              <w:t> </w:t>
            </w:r>
          </w:p>
        </w:tc>
        <w:tc>
          <w:tcPr>
            <w:tcW w:w="2964" w:type="dxa"/>
            <w:tcBorders>
              <w:bottom w:val="single" w:sz="12" w:space="0" w:color="000000"/>
            </w:tcBorders>
            <w:shd w:fill="C0C0C0" w:val="clear"/>
            <w:tcMar>
              <w:top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$200,000</w:t>
            </w:r>
          </w:p>
        </w:tc>
        <w:tc>
          <w:tcPr>
            <w:tcW w:w="226" w:type="dxa"/>
            <w:tcBorders>
              <w:bottom w:val="single" w:sz="12" w:space="0" w:color="000000"/>
            </w:tcBorders>
            <w:shd w:fill="C0C0C0" w:val="clear"/>
            <w:tcMar>
              <w:top w:w="0" w:type="dxa"/>
            </w:tcMar>
            <w:vAlign w:val="center"/>
          </w:tcPr>
          <w:p>
            <w:pPr>
              <w:pStyle w:val="TableContents"/>
              <w:bidi w:val="0"/>
              <w:spacing w:before="0" w:after="283"/>
              <w:jc w:val="left"/>
              <w:rPr/>
            </w:pPr>
            <w:r>
              <w:rPr/>
              <w:t> </w:t>
            </w:r>
          </w:p>
        </w:tc>
      </w:tr>
    </w:tbl>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Finally, the remaining award is carried over to the table below, with a spectrum of earnings opportunity that may become earned based on future performance upon conclusion of the three-year performance period.</w:t>
      </w:r>
    </w:p>
    <w:p>
      <w:pPr>
        <w:pStyle w:val="TextBody"/>
        <w:bidi w:val="0"/>
        <w:spacing w:before="0" w:after="0"/>
        <w:jc w:val="both"/>
        <w:rPr>
          <w:rFonts w:ascii="Times New Roman" w:hAnsi="Times New Roman"/>
          <w:sz w:val="20"/>
        </w:rPr>
      </w:pPr>
      <w:r>
        <w:rPr>
          <w:rFonts w:ascii="Times New Roman" w:hAnsi="Times New Roman"/>
          <w:sz w:val="20"/>
        </w:rPr>
      </w:r>
    </w:p>
    <w:p>
      <w:pPr>
        <w:pStyle w:val="Normal"/>
        <w:bidi w:val="0"/>
        <w:spacing w:before="0" w:after="0"/>
        <w:jc w:val="left"/>
        <w:rPr>
          <w:sz w:val="4"/>
          <w:szCs w:val="4"/>
        </w:rPr>
      </w:pPr>
      <w:r>
        <w:rPr>
          <w:sz w:val="4"/>
          <w:szCs w:val="4"/>
        </w:rPr>
      </w:r>
      <w:bookmarkStart w:id="66" w:name="z6b041d3472014e878bba6e9feb7d5962"/>
      <w:bookmarkStart w:id="67" w:name="z6b041d3472014e878bba6e9feb7d5962"/>
      <w:bookmarkEnd w:id="67"/>
    </w:p>
    <w:tbl>
      <w:tblPr>
        <w:tblW w:w="4748" w:type="dxa"/>
        <w:jc w:val="left"/>
        <w:tblInd w:w="0" w:type="dxa"/>
        <w:tblLayout w:type="fixed"/>
        <w:tblCellMar>
          <w:top w:w="28" w:type="dxa"/>
          <w:left w:w="0" w:type="dxa"/>
          <w:bottom w:w="28" w:type="dxa"/>
          <w:right w:w="0" w:type="dxa"/>
        </w:tblCellMar>
      </w:tblPr>
      <w:tblGrid>
        <w:gridCol w:w="60"/>
        <w:gridCol w:w="1370"/>
        <w:gridCol w:w="1138"/>
        <w:gridCol w:w="1023"/>
        <w:gridCol w:w="1157"/>
      </w:tblGrid>
      <w:tr>
        <w:trPr/>
        <w:tc>
          <w:tcPr>
            <w:tcW w:w="60" w:type="dxa"/>
            <w:vMerge w:val="restart"/>
            <w:tcBorders>
              <w:top w:val="single" w:sz="12" w:space="0" w:color="000000"/>
              <w:bottom w:val="single" w:sz="12" w:space="0" w:color="000000"/>
            </w:tcBorders>
            <w:vAlign w:val="center"/>
          </w:tcPr>
          <w:p>
            <w:pPr>
              <w:pStyle w:val="TableContents"/>
              <w:bidi w:val="0"/>
              <w:spacing w:before="0" w:after="283"/>
              <w:jc w:val="left"/>
              <w:rPr/>
            </w:pPr>
            <w:r>
              <w:rPr/>
              <w:t> </w:t>
            </w:r>
          </w:p>
        </w:tc>
        <w:tc>
          <w:tcPr>
            <w:tcW w:w="1370" w:type="dxa"/>
            <w:vMerge w:val="restart"/>
            <w:tcBorders>
              <w:top w:val="single" w:sz="12" w:space="0" w:color="000000"/>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Executive</w:t>
            </w:r>
          </w:p>
        </w:tc>
        <w:tc>
          <w:tcPr>
            <w:tcW w:w="3318" w:type="dxa"/>
            <w:gridSpan w:val="3"/>
            <w:tcBorders>
              <w:top w:val="single" w:sz="12" w:space="0" w:color="000000"/>
              <w:bottom w:val="single" w:sz="12" w:space="0" w:color="000000"/>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Dollar Value of Perf-Based Component</w:t>
            </w:r>
          </w:p>
        </w:tc>
      </w:tr>
      <w:tr>
        <w:trPr/>
        <w:tc>
          <w:tcPr>
            <w:tcW w:w="60" w:type="dxa"/>
            <w:vMerge w:val="continue"/>
            <w:tcBorders>
              <w:top w:val="single" w:sz="12" w:space="0" w:color="000000"/>
              <w:bottom w:val="single" w:sz="12" w:space="0" w:color="000000"/>
            </w:tcBorders>
            <w:vAlign w:val="center"/>
          </w:tcPr>
          <w:p>
            <w:pPr>
              <w:pStyle w:val="Normal"/>
              <w:bidi w:val="0"/>
              <w:jc w:val="left"/>
              <w:rPr/>
            </w:pPr>
            <w:r>
              <w:rPr/>
            </w:r>
          </w:p>
        </w:tc>
        <w:tc>
          <w:tcPr>
            <w:tcW w:w="1370" w:type="dxa"/>
            <w:vMerge w:val="continue"/>
            <w:tcBorders>
              <w:top w:val="single" w:sz="12" w:space="0" w:color="000000"/>
              <w:bottom w:val="single" w:sz="12" w:space="0" w:color="000000"/>
            </w:tcBorders>
            <w:vAlign w:val="center"/>
          </w:tcPr>
          <w:p>
            <w:pPr>
              <w:pStyle w:val="Normal"/>
              <w:bidi w:val="0"/>
              <w:jc w:val="left"/>
              <w:rPr/>
            </w:pPr>
            <w:r>
              <w:rPr/>
            </w:r>
          </w:p>
        </w:tc>
        <w:tc>
          <w:tcPr>
            <w:tcW w:w="1138" w:type="dxa"/>
            <w:tcBorders>
              <w:bottom w:val="single" w:sz="12" w:space="0" w:color="000000"/>
            </w:tcBorders>
            <w:tcMar>
              <w:top w:w="0"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Threshold</w:t>
            </w:r>
          </w:p>
          <w:p>
            <w:pPr>
              <w:pStyle w:val="TableContents"/>
              <w:bidi w:val="0"/>
              <w:spacing w:before="0" w:after="0"/>
              <w:jc w:val="center"/>
              <w:rPr>
                <w:rFonts w:ascii="Times New Roman" w:hAnsi="Times New Roman"/>
                <w:b/>
                <w:sz w:val="20"/>
              </w:rPr>
            </w:pPr>
            <w:r>
              <w:rPr>
                <w:rFonts w:ascii="Times New Roman" w:hAnsi="Times New Roman"/>
                <w:b/>
                <w:sz w:val="20"/>
              </w:rPr>
              <w:t>0.5x</w:t>
            </w:r>
          </w:p>
        </w:tc>
        <w:tc>
          <w:tcPr>
            <w:tcW w:w="1023" w:type="dxa"/>
            <w:tcBorders>
              <w:bottom w:val="single" w:sz="12" w:space="0" w:color="000000"/>
            </w:tcBorders>
            <w:tcMar>
              <w:top w:w="0"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Target</w:t>
            </w:r>
          </w:p>
          <w:p>
            <w:pPr>
              <w:pStyle w:val="TableContents"/>
              <w:bidi w:val="0"/>
              <w:spacing w:before="0" w:after="0"/>
              <w:jc w:val="center"/>
              <w:rPr>
                <w:rFonts w:ascii="Times New Roman" w:hAnsi="Times New Roman"/>
                <w:b/>
                <w:sz w:val="20"/>
              </w:rPr>
            </w:pPr>
            <w:r>
              <w:rPr>
                <w:rFonts w:ascii="Times New Roman" w:hAnsi="Times New Roman"/>
                <w:b/>
                <w:sz w:val="20"/>
              </w:rPr>
              <w:t>1.0x</w:t>
            </w:r>
          </w:p>
        </w:tc>
        <w:tc>
          <w:tcPr>
            <w:tcW w:w="1157" w:type="dxa"/>
            <w:tcBorders>
              <w:bottom w:val="single" w:sz="12" w:space="0" w:color="000000"/>
            </w:tcBorders>
            <w:tcMar>
              <w:top w:w="0"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Maximum</w:t>
            </w:r>
          </w:p>
          <w:p>
            <w:pPr>
              <w:pStyle w:val="TableContents"/>
              <w:bidi w:val="0"/>
              <w:spacing w:before="0" w:after="0"/>
              <w:jc w:val="center"/>
              <w:rPr>
                <w:rFonts w:ascii="Times New Roman" w:hAnsi="Times New Roman"/>
                <w:b/>
                <w:sz w:val="20"/>
              </w:rPr>
            </w:pPr>
            <w:r>
              <w:rPr>
                <w:rFonts w:ascii="Times New Roman" w:hAnsi="Times New Roman"/>
                <w:b/>
                <w:sz w:val="20"/>
              </w:rPr>
              <w:t>2.0x</w:t>
            </w:r>
          </w:p>
        </w:tc>
      </w:tr>
      <w:tr>
        <w:trPr/>
        <w:tc>
          <w:tcPr>
            <w:tcW w:w="60" w:type="dxa"/>
            <w:tcBorders/>
            <w:shd w:fill="C0C0C0" w:val="clear"/>
            <w:tcMar>
              <w:top w:w="0" w:type="dxa"/>
              <w:bottom w:w="0" w:type="dxa"/>
            </w:tcMar>
            <w:vAlign w:val="center"/>
          </w:tcPr>
          <w:p>
            <w:pPr>
              <w:pStyle w:val="TableContents"/>
              <w:bidi w:val="0"/>
              <w:spacing w:before="0" w:after="283"/>
              <w:jc w:val="left"/>
              <w:rPr/>
            </w:pPr>
            <w:r>
              <w:rPr/>
              <w:t> </w:t>
            </w:r>
          </w:p>
        </w:tc>
        <w:tc>
          <w:tcPr>
            <w:tcW w:w="1370" w:type="dxa"/>
            <w:tcBorders/>
            <w:shd w:fill="C0C0C0" w:val="clear"/>
            <w:tcMar>
              <w:top w:w="0" w:type="dxa"/>
              <w:bottom w:w="0" w:type="dxa"/>
            </w:tcMar>
            <w:vAlign w:val="center"/>
          </w:tcPr>
          <w:p>
            <w:pPr>
              <w:pStyle w:val="TableContents"/>
              <w:bidi w:val="0"/>
              <w:spacing w:before="0" w:after="0"/>
              <w:jc w:val="both"/>
              <w:rPr>
                <w:rFonts w:ascii="Times New Roman" w:hAnsi="Times New Roman"/>
                <w:b/>
                <w:sz w:val="20"/>
              </w:rPr>
            </w:pPr>
            <w:r>
              <w:rPr>
                <w:rFonts w:ascii="Times New Roman" w:hAnsi="Times New Roman"/>
                <w:b/>
                <w:sz w:val="20"/>
              </w:rPr>
              <w:t>Jeffrey B. Lown</w:t>
            </w:r>
          </w:p>
        </w:tc>
        <w:tc>
          <w:tcPr>
            <w:tcW w:w="1138" w:type="dxa"/>
            <w:tcBorders/>
            <w:shd w:fill="C0C0C0" w:val="clear"/>
            <w:tcMar>
              <w:top w:w="0" w:type="dxa"/>
              <w:bottom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$225,000</w:t>
            </w:r>
          </w:p>
        </w:tc>
        <w:tc>
          <w:tcPr>
            <w:tcW w:w="1023" w:type="dxa"/>
            <w:tcBorders/>
            <w:shd w:fill="C0C0C0" w:val="clear"/>
            <w:tcMar>
              <w:top w:w="0" w:type="dxa"/>
              <w:bottom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$450,000</w:t>
            </w:r>
          </w:p>
        </w:tc>
        <w:tc>
          <w:tcPr>
            <w:tcW w:w="1157" w:type="dxa"/>
            <w:tcBorders/>
            <w:shd w:fill="C0C0C0" w:val="clear"/>
            <w:tcMar>
              <w:top w:w="0" w:type="dxa"/>
              <w:bottom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$900,000</w:t>
            </w:r>
          </w:p>
        </w:tc>
      </w:tr>
      <w:tr>
        <w:trPr/>
        <w:tc>
          <w:tcPr>
            <w:tcW w:w="60" w:type="dxa"/>
            <w:tcBorders/>
            <w:tcMar>
              <w:top w:w="0" w:type="dxa"/>
              <w:bottom w:w="0" w:type="dxa"/>
            </w:tcMar>
            <w:vAlign w:val="center"/>
          </w:tcPr>
          <w:p>
            <w:pPr>
              <w:pStyle w:val="TableContents"/>
              <w:bidi w:val="0"/>
              <w:spacing w:before="0" w:after="283"/>
              <w:jc w:val="left"/>
              <w:rPr/>
            </w:pPr>
            <w:r>
              <w:rPr/>
              <w:t> </w:t>
            </w:r>
          </w:p>
        </w:tc>
        <w:tc>
          <w:tcPr>
            <w:tcW w:w="1370" w:type="dxa"/>
            <w:tcBorders/>
            <w:tcMar>
              <w:top w:w="0" w:type="dxa"/>
              <w:bottom w:w="0" w:type="dxa"/>
            </w:tcMar>
            <w:vAlign w:val="center"/>
          </w:tcPr>
          <w:p>
            <w:pPr>
              <w:pStyle w:val="TableContents"/>
              <w:bidi w:val="0"/>
              <w:spacing w:before="0" w:after="0"/>
              <w:jc w:val="both"/>
              <w:rPr>
                <w:rFonts w:ascii="Times New Roman" w:hAnsi="Times New Roman"/>
                <w:b/>
                <w:sz w:val="20"/>
              </w:rPr>
            </w:pPr>
            <w:r>
              <w:rPr>
                <w:rFonts w:ascii="Times New Roman" w:hAnsi="Times New Roman"/>
                <w:b/>
                <w:sz w:val="20"/>
              </w:rPr>
              <w:t>Julian B. Evans</w:t>
            </w:r>
          </w:p>
        </w:tc>
        <w:tc>
          <w:tcPr>
            <w:tcW w:w="1138" w:type="dxa"/>
            <w:tcBorders/>
            <w:tcMar>
              <w:top w:w="0" w:type="dxa"/>
              <w:bottom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$137,500</w:t>
            </w:r>
          </w:p>
        </w:tc>
        <w:tc>
          <w:tcPr>
            <w:tcW w:w="1023" w:type="dxa"/>
            <w:tcBorders/>
            <w:tcMar>
              <w:top w:w="0" w:type="dxa"/>
              <w:bottom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$275,000</w:t>
            </w:r>
          </w:p>
        </w:tc>
        <w:tc>
          <w:tcPr>
            <w:tcW w:w="1157" w:type="dxa"/>
            <w:tcBorders/>
            <w:tcMar>
              <w:top w:w="0" w:type="dxa"/>
              <w:bottom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$550,000</w:t>
            </w:r>
          </w:p>
        </w:tc>
      </w:tr>
      <w:tr>
        <w:trPr/>
        <w:tc>
          <w:tcPr>
            <w:tcW w:w="60" w:type="dxa"/>
            <w:tcBorders>
              <w:bottom w:val="single" w:sz="12" w:space="0" w:color="000000"/>
            </w:tcBorders>
            <w:shd w:fill="C0C0C0" w:val="clear"/>
            <w:tcMar>
              <w:top w:w="0" w:type="dxa"/>
            </w:tcMar>
            <w:vAlign w:val="center"/>
          </w:tcPr>
          <w:p>
            <w:pPr>
              <w:pStyle w:val="TableContents"/>
              <w:bidi w:val="0"/>
              <w:spacing w:before="0" w:after="283"/>
              <w:jc w:val="left"/>
              <w:rPr/>
            </w:pPr>
            <w:r>
              <w:rPr/>
              <w:t> </w:t>
            </w:r>
          </w:p>
        </w:tc>
        <w:tc>
          <w:tcPr>
            <w:tcW w:w="1370" w:type="dxa"/>
            <w:tcBorders>
              <w:bottom w:val="single" w:sz="12" w:space="0" w:color="000000"/>
            </w:tcBorders>
            <w:shd w:fill="C0C0C0" w:val="clear"/>
            <w:tcMar>
              <w:top w:w="0" w:type="dxa"/>
            </w:tcMar>
            <w:vAlign w:val="center"/>
          </w:tcPr>
          <w:p>
            <w:pPr>
              <w:pStyle w:val="TableContents"/>
              <w:bidi w:val="0"/>
              <w:spacing w:before="0" w:after="0"/>
              <w:jc w:val="both"/>
              <w:rPr>
                <w:rFonts w:ascii="Times New Roman" w:hAnsi="Times New Roman"/>
                <w:b/>
                <w:sz w:val="20"/>
              </w:rPr>
            </w:pPr>
            <w:r>
              <w:rPr>
                <w:rFonts w:ascii="Times New Roman" w:hAnsi="Times New Roman"/>
                <w:b/>
                <w:sz w:val="20"/>
              </w:rPr>
              <w:t>Apeksha Patel</w:t>
            </w:r>
          </w:p>
        </w:tc>
        <w:tc>
          <w:tcPr>
            <w:tcW w:w="1138" w:type="dxa"/>
            <w:tcBorders>
              <w:bottom w:val="single" w:sz="12" w:space="0" w:color="000000"/>
            </w:tcBorders>
            <w:shd w:fill="C0C0C0" w:val="clear"/>
            <w:tcMar>
              <w:top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$100,000</w:t>
            </w:r>
          </w:p>
        </w:tc>
        <w:tc>
          <w:tcPr>
            <w:tcW w:w="1023" w:type="dxa"/>
            <w:tcBorders>
              <w:bottom w:val="single" w:sz="12" w:space="0" w:color="000000"/>
            </w:tcBorders>
            <w:shd w:fill="C0C0C0" w:val="clear"/>
            <w:tcMar>
              <w:top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$200,000</w:t>
            </w:r>
          </w:p>
        </w:tc>
        <w:tc>
          <w:tcPr>
            <w:tcW w:w="1157" w:type="dxa"/>
            <w:tcBorders>
              <w:bottom w:val="single" w:sz="12" w:space="0" w:color="000000"/>
            </w:tcBorders>
            <w:shd w:fill="C0C0C0" w:val="clear"/>
            <w:tcMar>
              <w:top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$400,000</w:t>
            </w:r>
          </w:p>
        </w:tc>
      </w:tr>
    </w:tbl>
    <w:p>
      <w:pPr>
        <w:pStyle w:val="TextBody"/>
        <w:bidi w:val="0"/>
        <w:spacing w:before="0" w:after="0"/>
        <w:jc w:val="left"/>
        <w:rPr>
          <w:sz w:val="20"/>
        </w:rPr>
      </w:pPr>
      <w:r>
        <w:rPr>
          <w:sz w:val="20"/>
        </w:rPr>
      </w:r>
    </w:p>
    <w:p>
      <w:pPr>
        <w:pStyle w:val="TextBody"/>
        <w:bidi w:val="0"/>
        <w:spacing w:before="0" w:after="0"/>
        <w:jc w:val="both"/>
        <w:rPr>
          <w:rFonts w:ascii="Times New Roman" w:hAnsi="Times New Roman"/>
          <w:i/>
          <w:color w:val="4F81BD"/>
          <w:sz w:val="20"/>
        </w:rPr>
      </w:pPr>
      <w:r>
        <w:rPr>
          <w:rFonts w:ascii="Times New Roman" w:hAnsi="Times New Roman"/>
          <w:i/>
          <w:color w:val="4F81BD"/>
          <w:sz w:val="20"/>
        </w:rPr>
        <w:t>Time and Performance Criteria and Vesting</w:t>
      </w:r>
    </w:p>
    <w:p>
      <w:pPr>
        <w:pStyle w:val="TextBody"/>
        <w:bidi w:val="0"/>
        <w:spacing w:before="0" w:after="0"/>
        <w:jc w:val="both"/>
        <w:rPr>
          <w:rFonts w:ascii="Times New Roman" w:hAnsi="Times New Roman"/>
          <w:i/>
          <w:color w:val="4F81BD"/>
          <w:sz w:val="20"/>
        </w:rPr>
      </w:pPr>
      <w:r>
        <w:rPr>
          <w:rFonts w:ascii="Times New Roman" w:hAnsi="Times New Roman"/>
          <w:i/>
          <w:color w:val="4F81BD"/>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following outlines the vesting conditions associated with the equity grants under the LTIP:</w:t>
      </w:r>
    </w:p>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68" w:name="z66d16032473b4c56b8e1a2d4d9f00902"/>
      <w:bookmarkStart w:id="69" w:name="z66d16032473b4c56b8e1a2d4d9f00902"/>
      <w:bookmarkEnd w:id="69"/>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A portion of the equity awards are earned contingent on three-year performance goals per the matrix below (two separate total shareholder return (“TSR”)-based metrics, weighted equally).  Earned awards vest upon the conclusion of the performance period and certification by the Compensation Committee.</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70" w:name="z6fdb99908d4a44099348e3d8bf687cf7"/>
      <w:bookmarkStart w:id="71" w:name="z6fdb99908d4a44099348e3d8bf687cf7"/>
      <w:bookmarkEnd w:id="71"/>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A portion of the awards vest solely based on time over a three-year period, one-third annually, commencing on the first anniversary of the date of grant.</w:t>
            </w:r>
          </w:p>
        </w:tc>
      </w:tr>
    </w:tbl>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table below illustrates the breakout of the performance requirements with respect to the allocation that is performance-based.  Relative TSR vs. the performance peer group comprises 50% of the measurement, and absolute TSR performance comprises the remaining 50%.</w:t>
      </w:r>
    </w:p>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72" w:name="zcf13d9da6f0f4c2ca0c07176278f1f3c"/>
      <w:bookmarkStart w:id="73" w:name="zcf13d9da6f0f4c2ca0c07176278f1f3c"/>
      <w:bookmarkEnd w:id="73"/>
    </w:p>
    <w:tbl>
      <w:tblPr>
        <w:tblW w:w="6673" w:type="dxa"/>
        <w:jc w:val="left"/>
        <w:tblInd w:w="-15" w:type="dxa"/>
        <w:tblLayout w:type="fixed"/>
        <w:tblCellMar>
          <w:top w:w="28" w:type="dxa"/>
          <w:left w:w="28" w:type="dxa"/>
          <w:bottom w:w="0" w:type="dxa"/>
          <w:right w:w="0" w:type="dxa"/>
        </w:tblCellMar>
      </w:tblPr>
      <w:tblGrid>
        <w:gridCol w:w="60"/>
        <w:gridCol w:w="1940"/>
        <w:gridCol w:w="923"/>
        <w:gridCol w:w="1250"/>
        <w:gridCol w:w="1250"/>
        <w:gridCol w:w="1250"/>
      </w:tblGrid>
      <w:tr>
        <w:trPr/>
        <w:tc>
          <w:tcPr>
            <w:tcW w:w="60" w:type="dxa"/>
            <w:tcBorders>
              <w:top w:val="single" w:sz="12" w:space="0" w:color="4F81BD"/>
              <w:left w:val="single" w:sz="12" w:space="0" w:color="4F81BD"/>
            </w:tcBorders>
            <w:shd w:fill="4F81BD" w:val="clear"/>
            <w:vAlign w:val="center"/>
          </w:tcPr>
          <w:p>
            <w:pPr>
              <w:pStyle w:val="TableContents"/>
              <w:bidi w:val="0"/>
              <w:spacing w:before="0" w:after="283"/>
              <w:jc w:val="left"/>
              <w:rPr/>
            </w:pPr>
            <w:r>
              <w:rPr/>
              <w:t> </w:t>
            </w:r>
          </w:p>
        </w:tc>
        <w:tc>
          <w:tcPr>
            <w:tcW w:w="1940" w:type="dxa"/>
            <w:tcBorders>
              <w:top w:val="single" w:sz="12" w:space="0" w:color="4F81BD"/>
            </w:tcBorders>
            <w:shd w:fill="4F81BD" w:val="clear"/>
            <w:tcMar>
              <w:left w:w="0" w:type="dxa"/>
            </w:tcMar>
            <w:vAlign w:val="center"/>
          </w:tcPr>
          <w:p>
            <w:pPr>
              <w:pStyle w:val="TableContents"/>
              <w:bidi w:val="0"/>
              <w:spacing w:before="0" w:after="0"/>
              <w:jc w:val="left"/>
              <w:rPr>
                <w:rFonts w:ascii="Times New Roman" w:hAnsi="Times New Roman"/>
                <w:b/>
                <w:color w:val="FFFFFF"/>
                <w:sz w:val="20"/>
                <w:shd w:fill="4F81BD" w:val="clear"/>
              </w:rPr>
            </w:pPr>
            <w:r>
              <w:rPr>
                <w:rFonts w:ascii="Times New Roman" w:hAnsi="Times New Roman"/>
                <w:b/>
                <w:color w:val="FFFFFF"/>
                <w:sz w:val="20"/>
                <w:shd w:fill="4F81BD" w:val="clear"/>
              </w:rPr>
              <w:t>Metric (3-Year CAGR)</w:t>
            </w:r>
          </w:p>
        </w:tc>
        <w:tc>
          <w:tcPr>
            <w:tcW w:w="923" w:type="dxa"/>
            <w:tcBorders>
              <w:top w:val="single" w:sz="12" w:space="0" w:color="4F81BD"/>
            </w:tcBorders>
            <w:shd w:fill="4F81BD" w:val="clear"/>
            <w:tcMar>
              <w:left w:w="0" w:type="dxa"/>
            </w:tcMar>
            <w:vAlign w:val="center"/>
          </w:tcPr>
          <w:p>
            <w:pPr>
              <w:pStyle w:val="TableContents"/>
              <w:bidi w:val="0"/>
              <w:spacing w:before="0" w:after="0"/>
              <w:ind w:left="0" w:right="0" w:firstLine="18"/>
              <w:jc w:val="center"/>
              <w:rPr>
                <w:rFonts w:ascii="Times New Roman" w:hAnsi="Times New Roman"/>
                <w:b/>
                <w:color w:val="FFFFFF"/>
                <w:sz w:val="20"/>
                <w:shd w:fill="4F81BD" w:val="clear"/>
              </w:rPr>
            </w:pPr>
            <w:r>
              <w:rPr>
                <w:rFonts w:ascii="Times New Roman" w:hAnsi="Times New Roman"/>
                <w:b/>
                <w:color w:val="FFFFFF"/>
                <w:sz w:val="20"/>
                <w:shd w:fill="4F81BD" w:val="clear"/>
              </w:rPr>
              <w:t>Weighting</w:t>
            </w:r>
          </w:p>
        </w:tc>
        <w:tc>
          <w:tcPr>
            <w:tcW w:w="1250" w:type="dxa"/>
            <w:tcBorders>
              <w:top w:val="single" w:sz="12" w:space="0" w:color="4F81BD"/>
            </w:tcBorders>
            <w:shd w:fill="4F81BD" w:val="clear"/>
            <w:tcMar>
              <w:left w:w="0" w:type="dxa"/>
            </w:tcMar>
            <w:vAlign w:val="center"/>
          </w:tcPr>
          <w:p>
            <w:pPr>
              <w:pStyle w:val="TableContents"/>
              <w:bidi w:val="0"/>
              <w:spacing w:before="0" w:after="0"/>
              <w:jc w:val="center"/>
              <w:rPr>
                <w:rFonts w:ascii="Times New Roman" w:hAnsi="Times New Roman"/>
                <w:b/>
                <w:color w:val="FFFFFF"/>
                <w:sz w:val="20"/>
              </w:rPr>
            </w:pPr>
            <w:r>
              <w:rPr>
                <w:rFonts w:ascii="Times New Roman" w:hAnsi="Times New Roman"/>
                <w:b/>
                <w:color w:val="FFFFFF"/>
                <w:sz w:val="20"/>
              </w:rPr>
              <w:t>Threshold</w:t>
            </w:r>
          </w:p>
          <w:p>
            <w:pPr>
              <w:pStyle w:val="TableContents"/>
              <w:bidi w:val="0"/>
              <w:spacing w:before="0" w:after="0"/>
              <w:jc w:val="left"/>
              <w:rPr>
                <w:color w:val="FFFFFF"/>
              </w:rPr>
            </w:pPr>
            <w:r>
              <w:rPr>
                <w:color w:val="FFFFFF"/>
              </w:rPr>
              <w:t> </w:t>
            </w:r>
          </w:p>
        </w:tc>
        <w:tc>
          <w:tcPr>
            <w:tcW w:w="1250" w:type="dxa"/>
            <w:tcBorders>
              <w:top w:val="single" w:sz="12" w:space="0" w:color="4F81BD"/>
            </w:tcBorders>
            <w:shd w:fill="4F81BD" w:val="clear"/>
            <w:tcMar>
              <w:left w:w="0" w:type="dxa"/>
            </w:tcMar>
            <w:vAlign w:val="center"/>
          </w:tcPr>
          <w:p>
            <w:pPr>
              <w:pStyle w:val="TableContents"/>
              <w:bidi w:val="0"/>
              <w:spacing w:before="0" w:after="0"/>
              <w:jc w:val="center"/>
              <w:rPr>
                <w:rFonts w:ascii="Times New Roman" w:hAnsi="Times New Roman"/>
                <w:b/>
                <w:color w:val="FFFFFF"/>
                <w:sz w:val="20"/>
              </w:rPr>
            </w:pPr>
            <w:r>
              <w:rPr>
                <w:rFonts w:ascii="Times New Roman" w:hAnsi="Times New Roman"/>
                <w:b/>
                <w:color w:val="FFFFFF"/>
                <w:sz w:val="20"/>
              </w:rPr>
              <w:t>Target</w:t>
            </w:r>
          </w:p>
          <w:p>
            <w:pPr>
              <w:pStyle w:val="TableContents"/>
              <w:bidi w:val="0"/>
              <w:spacing w:before="0" w:after="0"/>
              <w:jc w:val="left"/>
              <w:rPr>
                <w:color w:val="FFFFFF"/>
              </w:rPr>
            </w:pPr>
            <w:r>
              <w:rPr>
                <w:color w:val="FFFFFF"/>
              </w:rPr>
              <w:t> </w:t>
            </w:r>
          </w:p>
        </w:tc>
        <w:tc>
          <w:tcPr>
            <w:tcW w:w="1250" w:type="dxa"/>
            <w:tcBorders>
              <w:top w:val="single" w:sz="12" w:space="0" w:color="4F81BD"/>
              <w:right w:val="single" w:sz="12" w:space="0" w:color="4F81BD"/>
            </w:tcBorders>
            <w:shd w:fill="4F81BD" w:val="clear"/>
            <w:tcMar>
              <w:left w:w="0" w:type="dxa"/>
              <w:right w:w="28" w:type="dxa"/>
            </w:tcMar>
            <w:vAlign w:val="center"/>
          </w:tcPr>
          <w:p>
            <w:pPr>
              <w:pStyle w:val="TableContents"/>
              <w:bidi w:val="0"/>
              <w:spacing w:before="0" w:after="0"/>
              <w:jc w:val="center"/>
              <w:rPr>
                <w:rFonts w:ascii="Times New Roman" w:hAnsi="Times New Roman"/>
                <w:b/>
                <w:color w:val="FFFFFF"/>
                <w:sz w:val="20"/>
              </w:rPr>
            </w:pPr>
            <w:r>
              <w:rPr>
                <w:rFonts w:ascii="Times New Roman" w:hAnsi="Times New Roman"/>
                <w:b/>
                <w:color w:val="FFFFFF"/>
                <w:sz w:val="20"/>
              </w:rPr>
              <w:t>Maximum</w:t>
            </w:r>
          </w:p>
          <w:p>
            <w:pPr>
              <w:pStyle w:val="TableContents"/>
              <w:bidi w:val="0"/>
              <w:spacing w:before="0" w:after="0"/>
              <w:jc w:val="left"/>
              <w:rPr>
                <w:color w:val="FFFFFF"/>
              </w:rPr>
            </w:pPr>
            <w:r>
              <w:rPr>
                <w:color w:val="FFFFFF"/>
              </w:rPr>
              <w:t> </w:t>
            </w:r>
          </w:p>
        </w:tc>
      </w:tr>
      <w:tr>
        <w:trPr/>
        <w:tc>
          <w:tcPr>
            <w:tcW w:w="60" w:type="dxa"/>
            <w:tcBorders>
              <w:left w:val="single" w:sz="12" w:space="0" w:color="4F81BD"/>
              <w:bottom w:val="single" w:sz="12" w:space="0" w:color="4F81BD"/>
            </w:tcBorders>
            <w:tcMar>
              <w:top w:w="0" w:type="dxa"/>
              <w:bottom w:w="28" w:type="dxa"/>
            </w:tcMar>
            <w:vAlign w:val="center"/>
          </w:tcPr>
          <w:p>
            <w:pPr>
              <w:pStyle w:val="TableContents"/>
              <w:bidi w:val="0"/>
              <w:spacing w:before="0" w:after="283"/>
              <w:jc w:val="left"/>
              <w:rPr/>
            </w:pPr>
            <w:r>
              <w:rPr/>
              <w:t> </w:t>
            </w:r>
          </w:p>
        </w:tc>
        <w:tc>
          <w:tcPr>
            <w:tcW w:w="1940" w:type="dxa"/>
            <w:tcBorders>
              <w:bottom w:val="single" w:sz="12" w:space="0" w:color="4F81BD"/>
            </w:tcBorders>
            <w:tcMar>
              <w:top w:w="0" w:type="dxa"/>
              <w:left w:w="0" w:type="dxa"/>
              <w:bottom w:w="28" w:type="dxa"/>
            </w:tcMar>
            <w:vAlign w:val="center"/>
          </w:tcPr>
          <w:p>
            <w:pPr>
              <w:pStyle w:val="TableContents"/>
              <w:bidi w:val="0"/>
              <w:spacing w:before="0" w:after="0"/>
              <w:jc w:val="left"/>
              <w:rPr>
                <w:rFonts w:ascii="Times New Roman" w:hAnsi="Times New Roman"/>
                <w:b/>
                <w:sz w:val="20"/>
              </w:rPr>
            </w:pPr>
            <w:r>
              <w:rPr>
                <w:rFonts w:ascii="Times New Roman" w:hAnsi="Times New Roman"/>
                <w:b/>
                <w:sz w:val="20"/>
              </w:rPr>
              <w:t>Relative TSR vs.</w:t>
            </w:r>
          </w:p>
          <w:p>
            <w:pPr>
              <w:pStyle w:val="TableContents"/>
              <w:bidi w:val="0"/>
              <w:spacing w:before="0" w:after="0"/>
              <w:jc w:val="left"/>
              <w:rPr>
                <w:rFonts w:ascii="Times New Roman" w:hAnsi="Times New Roman"/>
                <w:b/>
                <w:sz w:val="20"/>
              </w:rPr>
            </w:pPr>
            <w:r>
              <w:rPr>
                <w:rFonts w:ascii="Times New Roman" w:hAnsi="Times New Roman"/>
                <w:b/>
                <w:sz w:val="20"/>
              </w:rPr>
              <w:t>Performance Peers</w:t>
            </w:r>
          </w:p>
        </w:tc>
        <w:tc>
          <w:tcPr>
            <w:tcW w:w="923" w:type="dxa"/>
            <w:tcBorders>
              <w:bottom w:val="single" w:sz="12" w:space="0" w:color="4F81BD"/>
            </w:tcBorders>
            <w:tcMar>
              <w:top w:w="0" w:type="dxa"/>
              <w:left w:w="0" w:type="dxa"/>
              <w:bottom w:w="28"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50%</w:t>
            </w:r>
          </w:p>
        </w:tc>
        <w:tc>
          <w:tcPr>
            <w:tcW w:w="1250" w:type="dxa"/>
            <w:tcBorders>
              <w:bottom w:val="single" w:sz="12" w:space="0" w:color="4F81BD"/>
            </w:tcBorders>
            <w:tcMar>
              <w:top w:w="0" w:type="dxa"/>
              <w:left w:w="0" w:type="dxa"/>
              <w:bottom w:w="28" w:type="dxa"/>
            </w:tcMar>
            <w:vAlign w:val="center"/>
          </w:tcPr>
          <w:p>
            <w:pPr>
              <w:pStyle w:val="TableContents"/>
              <w:bidi w:val="0"/>
              <w:spacing w:lineRule="auto" w:line="240" w:before="0" w:after="0"/>
              <w:jc w:val="center"/>
              <w:rPr>
                <w:rFonts w:ascii="Times New Roman" w:hAnsi="Times New Roman"/>
                <w:sz w:val="20"/>
              </w:rPr>
            </w:pPr>
            <w:r>
              <w:rPr>
                <w:rFonts w:ascii="Times New Roman" w:hAnsi="Times New Roman"/>
                <w:sz w:val="20"/>
              </w:rPr>
              <w:t>25th Percentile</w:t>
            </w:r>
          </w:p>
        </w:tc>
        <w:tc>
          <w:tcPr>
            <w:tcW w:w="1250" w:type="dxa"/>
            <w:tcBorders>
              <w:bottom w:val="single" w:sz="12" w:space="0" w:color="4F81BD"/>
            </w:tcBorders>
            <w:tcMar>
              <w:top w:w="0" w:type="dxa"/>
              <w:left w:w="0" w:type="dxa"/>
              <w:bottom w:w="28" w:type="dxa"/>
            </w:tcMar>
            <w:vAlign w:val="center"/>
          </w:tcPr>
          <w:p>
            <w:pPr>
              <w:pStyle w:val="TableContents"/>
              <w:bidi w:val="0"/>
              <w:spacing w:lineRule="auto" w:line="240" w:before="0" w:after="0"/>
              <w:jc w:val="center"/>
              <w:rPr>
                <w:rFonts w:ascii="Times New Roman" w:hAnsi="Times New Roman"/>
                <w:sz w:val="20"/>
              </w:rPr>
            </w:pPr>
            <w:r>
              <w:rPr>
                <w:rFonts w:ascii="Times New Roman" w:hAnsi="Times New Roman"/>
                <w:sz w:val="20"/>
              </w:rPr>
              <w:t>50th Percentile</w:t>
            </w:r>
          </w:p>
        </w:tc>
        <w:tc>
          <w:tcPr>
            <w:tcW w:w="1250" w:type="dxa"/>
            <w:tcBorders>
              <w:bottom w:val="single" w:sz="12" w:space="0" w:color="4F81BD"/>
              <w:right w:val="single" w:sz="12" w:space="0" w:color="4F81BD"/>
            </w:tcBorders>
            <w:tcMar>
              <w:top w:w="0" w:type="dxa"/>
              <w:left w:w="0" w:type="dxa"/>
              <w:bottom w:w="28" w:type="dxa"/>
              <w:right w:w="28" w:type="dxa"/>
            </w:tcMar>
            <w:vAlign w:val="center"/>
          </w:tcPr>
          <w:p>
            <w:pPr>
              <w:pStyle w:val="TableContents"/>
              <w:bidi w:val="0"/>
              <w:spacing w:lineRule="auto" w:line="240" w:before="0" w:after="0"/>
              <w:jc w:val="center"/>
              <w:rPr>
                <w:rFonts w:ascii="Times New Roman" w:hAnsi="Times New Roman"/>
                <w:sz w:val="20"/>
              </w:rPr>
            </w:pPr>
            <w:r>
              <w:rPr>
                <w:rFonts w:ascii="Times New Roman" w:hAnsi="Times New Roman"/>
                <w:sz w:val="20"/>
              </w:rPr>
              <w:t>75th Percentile</w:t>
            </w:r>
          </w:p>
        </w:tc>
      </w:tr>
      <w:tr>
        <w:trPr/>
        <w:tc>
          <w:tcPr>
            <w:tcW w:w="60" w:type="dxa"/>
            <w:tcBorders>
              <w:left w:val="single" w:sz="12" w:space="0" w:color="4F81BD"/>
              <w:bottom w:val="single" w:sz="12" w:space="0" w:color="4F81BD"/>
            </w:tcBorders>
            <w:tcMar>
              <w:top w:w="0" w:type="dxa"/>
              <w:bottom w:w="28" w:type="dxa"/>
            </w:tcMar>
            <w:vAlign w:val="center"/>
          </w:tcPr>
          <w:p>
            <w:pPr>
              <w:pStyle w:val="TableContents"/>
              <w:bidi w:val="0"/>
              <w:spacing w:before="0" w:after="283"/>
              <w:jc w:val="left"/>
              <w:rPr/>
            </w:pPr>
            <w:r>
              <w:rPr/>
              <w:t> </w:t>
            </w:r>
          </w:p>
        </w:tc>
        <w:tc>
          <w:tcPr>
            <w:tcW w:w="1940" w:type="dxa"/>
            <w:tcBorders>
              <w:bottom w:val="single" w:sz="12" w:space="0" w:color="4F81BD"/>
            </w:tcBorders>
            <w:tcMar>
              <w:top w:w="0" w:type="dxa"/>
              <w:left w:w="0" w:type="dxa"/>
              <w:bottom w:w="28" w:type="dxa"/>
            </w:tcMar>
            <w:vAlign w:val="center"/>
          </w:tcPr>
          <w:p>
            <w:pPr>
              <w:pStyle w:val="TableContents"/>
              <w:bidi w:val="0"/>
              <w:spacing w:before="0" w:after="0"/>
              <w:jc w:val="left"/>
              <w:rPr>
                <w:rFonts w:ascii="Times New Roman" w:hAnsi="Times New Roman"/>
                <w:b/>
                <w:sz w:val="20"/>
              </w:rPr>
            </w:pPr>
            <w:r>
              <w:rPr>
                <w:rFonts w:ascii="Times New Roman" w:hAnsi="Times New Roman"/>
                <w:b/>
                <w:sz w:val="20"/>
              </w:rPr>
              <w:t>Absolute TSR</w:t>
            </w:r>
          </w:p>
        </w:tc>
        <w:tc>
          <w:tcPr>
            <w:tcW w:w="923" w:type="dxa"/>
            <w:tcBorders>
              <w:bottom w:val="single" w:sz="12" w:space="0" w:color="4F81BD"/>
            </w:tcBorders>
            <w:tcMar>
              <w:top w:w="0" w:type="dxa"/>
              <w:left w:w="0" w:type="dxa"/>
              <w:bottom w:w="28"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50%</w:t>
            </w:r>
          </w:p>
        </w:tc>
        <w:tc>
          <w:tcPr>
            <w:tcW w:w="1250" w:type="dxa"/>
            <w:tcBorders>
              <w:bottom w:val="single" w:sz="12" w:space="0" w:color="4F81BD"/>
            </w:tcBorders>
            <w:tcMar>
              <w:top w:w="0" w:type="dxa"/>
              <w:left w:w="0" w:type="dxa"/>
              <w:bottom w:w="28"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13.0%</w:t>
            </w:r>
          </w:p>
        </w:tc>
        <w:tc>
          <w:tcPr>
            <w:tcW w:w="1250" w:type="dxa"/>
            <w:tcBorders>
              <w:bottom w:val="single" w:sz="12" w:space="0" w:color="4F81BD"/>
            </w:tcBorders>
            <w:tcMar>
              <w:top w:w="0" w:type="dxa"/>
              <w:left w:w="0" w:type="dxa"/>
              <w:bottom w:w="28"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16.0%</w:t>
            </w:r>
          </w:p>
        </w:tc>
        <w:tc>
          <w:tcPr>
            <w:tcW w:w="1250" w:type="dxa"/>
            <w:tcBorders>
              <w:bottom w:val="single" w:sz="12" w:space="0" w:color="4F81BD"/>
              <w:right w:val="single" w:sz="12" w:space="0" w:color="4F81BD"/>
            </w:tcBorders>
            <w:tcMar>
              <w:top w:w="0" w:type="dxa"/>
              <w:left w:w="0" w:type="dxa"/>
              <w:bottom w:w="28" w:type="dxa"/>
              <w:right w:w="28"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19.0%</w:t>
            </w:r>
          </w:p>
        </w:tc>
      </w:tr>
    </w:tbl>
    <w:p>
      <w:pPr>
        <w:pStyle w:val="TextBody"/>
        <w:bidi w:val="0"/>
        <w:spacing w:before="0" w:after="0"/>
        <w:jc w:val="both"/>
        <w:rPr>
          <w:rFonts w:ascii="Times New Roman" w:hAnsi="Times New Roman"/>
          <w:i/>
          <w:color w:val="000000"/>
          <w:sz w:val="20"/>
        </w:rPr>
      </w:pPr>
      <w:r>
        <w:rPr>
          <w:rFonts w:ascii="Times New Roman" w:hAnsi="Times New Roman"/>
          <w:i/>
          <w:color w:val="000000"/>
          <w:sz w:val="20"/>
        </w:rPr>
        <w:t>Please refer to the Appendix for definitions of each metric.</w:t>
      </w:r>
    </w:p>
    <w:p>
      <w:pPr>
        <w:pStyle w:val="TextBody"/>
        <w:bidi w:val="0"/>
        <w:spacing w:before="0" w:after="0"/>
        <w:jc w:val="left"/>
        <w:rPr>
          <w:sz w:val="20"/>
        </w:rPr>
      </w:pPr>
      <w:r>
        <w:rPr>
          <w:sz w:val="20"/>
        </w:rPr>
      </w:r>
    </w:p>
    <w:tbl>
      <w:tblPr>
        <w:tblW w:w="223" w:type="dxa"/>
        <w:jc w:val="left"/>
        <w:tblInd w:w="0" w:type="dxa"/>
        <w:tblLayout w:type="fixed"/>
        <w:tblCellMar>
          <w:top w:w="28" w:type="dxa"/>
          <w:left w:w="0" w:type="dxa"/>
          <w:bottom w:w="0" w:type="dxa"/>
          <w:right w:w="0" w:type="dxa"/>
        </w:tblCellMar>
      </w:tblPr>
      <w:tblGrid>
        <w:gridCol w:w="140"/>
        <w:gridCol w:w="60"/>
        <w:gridCol w:w="23"/>
      </w:tblGrid>
      <w:tr>
        <w:trPr/>
        <w:tc>
          <w:tcPr>
            <w:tcW w:w="140" w:type="dxa"/>
            <w:tcBorders>
              <w:top w:val="single" w:sz="12" w:space="0" w:color="000000"/>
            </w:tcBorders>
            <w:vAlign w:val="center"/>
          </w:tcPr>
          <w:p>
            <w:pPr>
              <w:pStyle w:val="TableContents"/>
              <w:bidi w:val="0"/>
              <w:spacing w:before="0" w:after="283"/>
              <w:jc w:val="right"/>
              <w:rPr>
                <w:b/>
                <w:color w:val="4F81BD"/>
              </w:rPr>
            </w:pPr>
            <w:r>
              <w:rPr>
                <w:b/>
                <w:color w:val="4F81BD"/>
              </w:rPr>
              <w:t>5</w:t>
            </w:r>
          </w:p>
        </w:tc>
        <w:tc>
          <w:tcPr>
            <w:tcW w:w="60" w:type="dxa"/>
            <w:tcBorders>
              <w:top w:val="single" w:sz="12" w:space="0" w:color="000000"/>
            </w:tcBorders>
            <w:vAlign w:val="center"/>
          </w:tcPr>
          <w:p>
            <w:pPr>
              <w:pStyle w:val="TableContents"/>
              <w:bidi w:val="0"/>
              <w:spacing w:before="0" w:after="283"/>
              <w:jc w:val="right"/>
              <w:rPr>
                <w:color w:val="4F81BD"/>
              </w:rPr>
            </w:pPr>
            <w:r>
              <w:rPr>
                <w:color w:val="4F81BD"/>
              </w:rPr>
              <w:t> </w:t>
            </w:r>
          </w:p>
        </w:tc>
        <w:tc>
          <w:tcPr>
            <w:tcW w:w="23" w:type="dxa"/>
            <w:tcBorders>
              <w:top w:val="single" w:sz="12" w:space="0" w:color="000000"/>
              <w:left w:val="single" w:sz="12" w:space="0" w:color="000000"/>
            </w:tcBorders>
            <w:tcMar>
              <w:left w:w="28" w:type="dxa"/>
            </w:tcMar>
            <w:vAlign w:val="center"/>
          </w:tcPr>
          <w:p>
            <w:pPr>
              <w:pStyle w:val="TableContents"/>
              <w:bidi w:val="0"/>
              <w:spacing w:before="0" w:after="283"/>
              <w:jc w:val="left"/>
              <w:rPr/>
            </w:pPr>
            <w:r>
              <w:rPr/>
            </w:r>
          </w:p>
        </w:tc>
      </w:tr>
    </w:tbl>
    <w:p>
      <w:pPr>
        <w:pStyle w:val="HorizontalLine"/>
        <w:pBdr>
          <w:bottom w:val="single" w:sz="12" w:space="0" w:color="808080"/>
        </w:pBdr>
        <w:bidi w:val="0"/>
        <w:spacing w:before="200" w:after="20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Note: to the extent performance falls between two levels, linear interpolation will apply.  In the event that CHMI’s actual performance does not meet the Threshold requirement as noted above, no awards will be earned for such performance requirement.  If CHMI’s actual performance for the Performance Period is above the Maximum for a performance requirement, the number of Earned Awards will be the Maximum number for the Participant’s opportunity.</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i/>
          <w:color w:val="4F81BD"/>
          <w:sz w:val="20"/>
        </w:rPr>
      </w:pPr>
      <w:r>
        <w:rPr>
          <w:rFonts w:ascii="Times New Roman" w:hAnsi="Times New Roman"/>
          <w:i/>
          <w:color w:val="4F81BD"/>
          <w:sz w:val="20"/>
        </w:rPr>
        <w:t>Dividends/Distributions</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Participants will not be entitled to the receipt of dividends/distributions with respect to performance-contingent restricted shares/units granted unless and until they are earned (i.e., become Earned Awards). If performance is achieved, and therefore awards are earned, each Participant will also be entitled to the dividends/distributions that would have been paid had the number of Earned Awards been issued at the beginning of the performance period, with such dividends/distributions being paid.  Thereafter, dividends/distributions will be paid currently with respect to all Earned Awards, whether vested or unvested.</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Dividends/distributions with respect to time-based shares will be paid currently on vested/unvested awards.</w:t>
      </w:r>
    </w:p>
    <w:p>
      <w:pPr>
        <w:pStyle w:val="TextBody"/>
        <w:bidi w:val="0"/>
        <w:spacing w:before="0" w:after="0"/>
        <w:jc w:val="both"/>
        <w:rPr>
          <w:rFonts w:ascii="Times New Roman" w:hAnsi="Times New Roman"/>
          <w:sz w:val="20"/>
        </w:rPr>
      </w:pPr>
      <w:r>
        <w:rPr>
          <w:rFonts w:ascii="Times New Roman" w:hAnsi="Times New Roman"/>
          <w:sz w:val="20"/>
        </w:rPr>
      </w:r>
    </w:p>
    <w:tbl>
      <w:tblPr>
        <w:tblW w:w="223" w:type="dxa"/>
        <w:jc w:val="left"/>
        <w:tblInd w:w="0" w:type="dxa"/>
        <w:tblLayout w:type="fixed"/>
        <w:tblCellMar>
          <w:top w:w="28" w:type="dxa"/>
          <w:left w:w="0" w:type="dxa"/>
          <w:bottom w:w="0" w:type="dxa"/>
          <w:right w:w="0" w:type="dxa"/>
        </w:tblCellMar>
      </w:tblPr>
      <w:tblGrid>
        <w:gridCol w:w="140"/>
        <w:gridCol w:w="60"/>
        <w:gridCol w:w="23"/>
      </w:tblGrid>
      <w:tr>
        <w:trPr/>
        <w:tc>
          <w:tcPr>
            <w:tcW w:w="140" w:type="dxa"/>
            <w:tcBorders>
              <w:top w:val="single" w:sz="12" w:space="0" w:color="000000"/>
            </w:tcBorders>
            <w:vAlign w:val="center"/>
          </w:tcPr>
          <w:p>
            <w:pPr>
              <w:pStyle w:val="TableContents"/>
              <w:bidi w:val="0"/>
              <w:spacing w:before="0" w:after="283"/>
              <w:jc w:val="right"/>
              <w:rPr>
                <w:b/>
                <w:color w:val="4F81BD"/>
              </w:rPr>
            </w:pPr>
            <w:r>
              <w:rPr>
                <w:b/>
                <w:color w:val="4F81BD"/>
              </w:rPr>
              <w:t>6</w:t>
            </w:r>
          </w:p>
        </w:tc>
        <w:tc>
          <w:tcPr>
            <w:tcW w:w="60" w:type="dxa"/>
            <w:tcBorders>
              <w:top w:val="single" w:sz="12" w:space="0" w:color="000000"/>
            </w:tcBorders>
            <w:vAlign w:val="center"/>
          </w:tcPr>
          <w:p>
            <w:pPr>
              <w:pStyle w:val="TableContents"/>
              <w:bidi w:val="0"/>
              <w:spacing w:before="0" w:after="283"/>
              <w:jc w:val="right"/>
              <w:rPr>
                <w:color w:val="4F81BD"/>
              </w:rPr>
            </w:pPr>
            <w:r>
              <w:rPr>
                <w:color w:val="4F81BD"/>
              </w:rPr>
              <w:t> </w:t>
            </w:r>
          </w:p>
        </w:tc>
        <w:tc>
          <w:tcPr>
            <w:tcW w:w="23" w:type="dxa"/>
            <w:tcBorders>
              <w:top w:val="single" w:sz="12" w:space="0" w:color="000000"/>
              <w:left w:val="single" w:sz="12" w:space="0" w:color="000000"/>
            </w:tcBorders>
            <w:tcMar>
              <w:left w:w="28" w:type="dxa"/>
            </w:tcMar>
            <w:vAlign w:val="center"/>
          </w:tcPr>
          <w:p>
            <w:pPr>
              <w:pStyle w:val="TableContents"/>
              <w:bidi w:val="0"/>
              <w:spacing w:before="0" w:after="283"/>
              <w:jc w:val="left"/>
              <w:rPr/>
            </w:pPr>
            <w:r>
              <w:rPr/>
            </w:r>
          </w:p>
        </w:tc>
      </w:tr>
    </w:tbl>
    <w:p>
      <w:pPr>
        <w:pStyle w:val="HorizontalLine"/>
        <w:pBdr>
          <w:bottom w:val="single" w:sz="12" w:space="0" w:color="808080"/>
        </w:pBdr>
        <w:bidi w:val="0"/>
        <w:spacing w:before="200" w:after="200"/>
        <w:jc w:val="left"/>
        <w:rPr/>
      </w:pPr>
      <w:r>
        <w:rPr/>
      </w:r>
    </w:p>
    <w:p>
      <w:pPr>
        <w:pStyle w:val="TextBody"/>
        <w:bidi w:val="0"/>
        <w:spacing w:before="0" w:after="0"/>
        <w:jc w:val="both"/>
        <w:rPr>
          <w:rFonts w:ascii="Times New Roman" w:hAnsi="Times New Roman"/>
          <w:i/>
          <w:color w:val="4F81BD"/>
          <w:sz w:val="20"/>
        </w:rPr>
      </w:pPr>
      <w:r>
        <w:rPr>
          <w:rFonts w:ascii="Times New Roman" w:hAnsi="Times New Roman"/>
          <w:i/>
          <w:color w:val="4F81BD"/>
          <w:sz w:val="20"/>
        </w:rPr>
        <w:t>2026 Proposed Compensation Summary</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i/>
          <w:color w:val="4F81BD"/>
          <w:sz w:val="20"/>
        </w:rPr>
      </w:pPr>
      <w:r>
        <w:rPr>
          <w:rFonts w:ascii="Times New Roman" w:hAnsi="Times New Roman"/>
          <w:i/>
          <w:color w:val="4F81BD"/>
          <w:sz w:val="20"/>
        </w:rPr>
        <w:t>Base Salary</w:t>
      </w:r>
    </w:p>
    <w:p>
      <w:pPr>
        <w:pStyle w:val="TextBody"/>
        <w:bidi w:val="0"/>
        <w:spacing w:before="0" w:after="0"/>
        <w:jc w:val="both"/>
        <w:rPr>
          <w:rFonts w:ascii="Times New Roman" w:hAnsi="Times New Roman"/>
          <w:i/>
          <w:color w:val="4F81BD"/>
          <w:sz w:val="20"/>
        </w:rPr>
      </w:pPr>
      <w:r>
        <w:rPr>
          <w:rFonts w:ascii="Times New Roman" w:hAnsi="Times New Roman"/>
          <w:i/>
          <w:color w:val="4F81BD"/>
          <w:sz w:val="20"/>
        </w:rPr>
      </w:r>
    </w:p>
    <w:p>
      <w:pPr>
        <w:pStyle w:val="Normal"/>
        <w:bidi w:val="0"/>
        <w:spacing w:before="0" w:after="0"/>
        <w:jc w:val="left"/>
        <w:rPr>
          <w:sz w:val="4"/>
          <w:szCs w:val="4"/>
        </w:rPr>
      </w:pPr>
      <w:r>
        <w:rPr>
          <w:sz w:val="4"/>
          <w:szCs w:val="4"/>
        </w:rPr>
      </w:r>
      <w:bookmarkStart w:id="74" w:name="z1db7df6f483a4928870dc7fcc0944dd0"/>
      <w:bookmarkStart w:id="75" w:name="z1db7df6f483a4928870dc7fcc0944dd0"/>
      <w:bookmarkEnd w:id="75"/>
    </w:p>
    <w:tbl>
      <w:tblPr>
        <w:tblW w:w="2155" w:type="dxa"/>
        <w:jc w:val="left"/>
        <w:tblInd w:w="0" w:type="dxa"/>
        <w:tblLayout w:type="fixed"/>
        <w:tblCellMar>
          <w:top w:w="28" w:type="dxa"/>
          <w:left w:w="0" w:type="dxa"/>
          <w:bottom w:w="28" w:type="dxa"/>
          <w:right w:w="0" w:type="dxa"/>
        </w:tblCellMar>
      </w:tblPr>
      <w:tblGrid>
        <w:gridCol w:w="60"/>
        <w:gridCol w:w="1295"/>
        <w:gridCol w:w="800"/>
      </w:tblGrid>
      <w:tr>
        <w:trPr/>
        <w:tc>
          <w:tcPr>
            <w:tcW w:w="60" w:type="dxa"/>
            <w:tcBorders>
              <w:top w:val="single" w:sz="12" w:space="0" w:color="000000"/>
              <w:bottom w:val="single" w:sz="12" w:space="0" w:color="000000"/>
            </w:tcBorders>
            <w:vAlign w:val="center"/>
          </w:tcPr>
          <w:p>
            <w:pPr>
              <w:pStyle w:val="TableContents"/>
              <w:bidi w:val="0"/>
              <w:spacing w:before="0" w:after="283"/>
              <w:jc w:val="left"/>
              <w:rPr/>
            </w:pPr>
            <w:r>
              <w:rPr/>
              <w:t> </w:t>
            </w:r>
          </w:p>
        </w:tc>
        <w:tc>
          <w:tcPr>
            <w:tcW w:w="1295" w:type="dxa"/>
            <w:tcBorders>
              <w:top w:val="single" w:sz="12" w:space="0" w:color="000000"/>
              <w:bottom w:val="single" w:sz="12" w:space="0" w:color="000000"/>
            </w:tcBorders>
            <w:vAlign w:val="center"/>
          </w:tcPr>
          <w:p>
            <w:pPr>
              <w:pStyle w:val="TableContents"/>
              <w:bidi w:val="0"/>
              <w:spacing w:before="0" w:after="0"/>
              <w:jc w:val="both"/>
              <w:rPr>
                <w:rFonts w:ascii="Times New Roman" w:hAnsi="Times New Roman"/>
                <w:sz w:val="20"/>
              </w:rPr>
            </w:pPr>
            <w:r>
              <w:rPr>
                <w:rFonts w:ascii="Times New Roman" w:hAnsi="Times New Roman"/>
                <w:sz w:val="20"/>
              </w:rPr>
              <w:t>Executive</w:t>
            </w:r>
          </w:p>
        </w:tc>
        <w:tc>
          <w:tcPr>
            <w:tcW w:w="800" w:type="dxa"/>
            <w:tcBorders>
              <w:top w:val="single" w:sz="12" w:space="0" w:color="000000"/>
              <w:bottom w:val="single" w:sz="12" w:space="0" w:color="000000"/>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Salary</w:t>
            </w:r>
          </w:p>
        </w:tc>
      </w:tr>
      <w:tr>
        <w:trPr/>
        <w:tc>
          <w:tcPr>
            <w:tcW w:w="60" w:type="dxa"/>
            <w:tcBorders/>
            <w:shd w:fill="C0C0C0" w:val="clear"/>
            <w:tcMar>
              <w:top w:w="0" w:type="dxa"/>
              <w:bottom w:w="0" w:type="dxa"/>
            </w:tcMar>
            <w:vAlign w:val="center"/>
          </w:tcPr>
          <w:p>
            <w:pPr>
              <w:pStyle w:val="TableContents"/>
              <w:bidi w:val="0"/>
              <w:spacing w:before="0" w:after="283"/>
              <w:jc w:val="left"/>
              <w:rPr/>
            </w:pPr>
            <w:r>
              <w:rPr/>
              <w:t> </w:t>
            </w:r>
          </w:p>
        </w:tc>
        <w:tc>
          <w:tcPr>
            <w:tcW w:w="1295" w:type="dxa"/>
            <w:tcBorders/>
            <w:shd w:fill="C0C0C0" w:val="clear"/>
            <w:tcMar>
              <w:top w:w="0" w:type="dxa"/>
              <w:bottom w:w="0" w:type="dxa"/>
            </w:tcMar>
            <w:vAlign w:val="center"/>
          </w:tcPr>
          <w:p>
            <w:pPr>
              <w:pStyle w:val="TableContents"/>
              <w:bidi w:val="0"/>
              <w:spacing w:before="0" w:after="0"/>
              <w:jc w:val="both"/>
              <w:rPr>
                <w:rFonts w:ascii="Times New Roman" w:hAnsi="Times New Roman"/>
                <w:sz w:val="20"/>
              </w:rPr>
            </w:pPr>
            <w:r>
              <w:rPr>
                <w:rFonts w:ascii="Times New Roman" w:hAnsi="Times New Roman"/>
                <w:sz w:val="20"/>
              </w:rPr>
              <w:t>Jeffrey B. Lown</w:t>
            </w:r>
          </w:p>
        </w:tc>
        <w:tc>
          <w:tcPr>
            <w:tcW w:w="800" w:type="dxa"/>
            <w:tcBorders/>
            <w:shd w:fill="C0C0C0" w:val="clear"/>
            <w:tcMar>
              <w:top w:w="0" w:type="dxa"/>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$900,000</w:t>
            </w:r>
          </w:p>
        </w:tc>
      </w:tr>
      <w:tr>
        <w:trPr/>
        <w:tc>
          <w:tcPr>
            <w:tcW w:w="60" w:type="dxa"/>
            <w:tcBorders/>
            <w:tcMar>
              <w:top w:w="0" w:type="dxa"/>
              <w:bottom w:w="0" w:type="dxa"/>
            </w:tcMar>
            <w:vAlign w:val="center"/>
          </w:tcPr>
          <w:p>
            <w:pPr>
              <w:pStyle w:val="TableContents"/>
              <w:bidi w:val="0"/>
              <w:spacing w:before="0" w:after="283"/>
              <w:jc w:val="left"/>
              <w:rPr/>
            </w:pPr>
            <w:r>
              <w:rPr/>
              <w:t> </w:t>
            </w:r>
          </w:p>
        </w:tc>
        <w:tc>
          <w:tcPr>
            <w:tcW w:w="1295" w:type="dxa"/>
            <w:tcBorders/>
            <w:tcMar>
              <w:top w:w="0" w:type="dxa"/>
              <w:bottom w:w="0" w:type="dxa"/>
            </w:tcMar>
            <w:vAlign w:val="center"/>
          </w:tcPr>
          <w:p>
            <w:pPr>
              <w:pStyle w:val="TableContents"/>
              <w:bidi w:val="0"/>
              <w:spacing w:before="0" w:after="0"/>
              <w:jc w:val="both"/>
              <w:rPr>
                <w:rFonts w:ascii="Times New Roman" w:hAnsi="Times New Roman"/>
                <w:sz w:val="20"/>
              </w:rPr>
            </w:pPr>
            <w:r>
              <w:rPr>
                <w:rFonts w:ascii="Times New Roman" w:hAnsi="Times New Roman"/>
                <w:sz w:val="20"/>
              </w:rPr>
              <w:t>Julian B. Evans</w:t>
            </w:r>
          </w:p>
        </w:tc>
        <w:tc>
          <w:tcPr>
            <w:tcW w:w="800" w:type="dxa"/>
            <w:tcBorders/>
            <w:tcMar>
              <w:top w:w="0" w:type="dxa"/>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$550,000</w:t>
            </w:r>
          </w:p>
        </w:tc>
      </w:tr>
      <w:tr>
        <w:trPr/>
        <w:tc>
          <w:tcPr>
            <w:tcW w:w="60" w:type="dxa"/>
            <w:tcBorders>
              <w:bottom w:val="single" w:sz="12" w:space="0" w:color="000000"/>
            </w:tcBorders>
            <w:shd w:fill="C0C0C0" w:val="clear"/>
            <w:tcMar>
              <w:top w:w="0" w:type="dxa"/>
            </w:tcMar>
            <w:vAlign w:val="center"/>
          </w:tcPr>
          <w:p>
            <w:pPr>
              <w:pStyle w:val="TableContents"/>
              <w:bidi w:val="0"/>
              <w:spacing w:before="0" w:after="283"/>
              <w:jc w:val="left"/>
              <w:rPr/>
            </w:pPr>
            <w:r>
              <w:rPr/>
              <w:t> </w:t>
            </w:r>
          </w:p>
        </w:tc>
        <w:tc>
          <w:tcPr>
            <w:tcW w:w="1295" w:type="dxa"/>
            <w:tcBorders>
              <w:bottom w:val="single" w:sz="12" w:space="0" w:color="000000"/>
            </w:tcBorders>
            <w:shd w:fill="C0C0C0" w:val="clear"/>
            <w:tcMar>
              <w:top w:w="0" w:type="dxa"/>
            </w:tcMar>
            <w:vAlign w:val="center"/>
          </w:tcPr>
          <w:p>
            <w:pPr>
              <w:pStyle w:val="TableContents"/>
              <w:bidi w:val="0"/>
              <w:spacing w:before="0" w:after="0"/>
              <w:jc w:val="both"/>
              <w:rPr>
                <w:rFonts w:ascii="Times New Roman" w:hAnsi="Times New Roman"/>
                <w:sz w:val="20"/>
              </w:rPr>
            </w:pPr>
            <w:r>
              <w:rPr>
                <w:rFonts w:ascii="Times New Roman" w:hAnsi="Times New Roman"/>
                <w:sz w:val="20"/>
              </w:rPr>
              <w:t>Apeksha Patel</w:t>
            </w:r>
          </w:p>
        </w:tc>
        <w:tc>
          <w:tcPr>
            <w:tcW w:w="800" w:type="dxa"/>
            <w:tcBorders>
              <w:bottom w:val="single" w:sz="12" w:space="0" w:color="000000"/>
            </w:tcBorders>
            <w:shd w:fill="C0C0C0" w:val="clear"/>
            <w:tcMar>
              <w:top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$400,000</w:t>
            </w:r>
          </w:p>
        </w:tc>
      </w:tr>
    </w:tbl>
    <w:p>
      <w:pPr>
        <w:pStyle w:val="TextBody"/>
        <w:bidi w:val="0"/>
        <w:spacing w:before="0" w:after="0"/>
        <w:jc w:val="left"/>
        <w:rPr>
          <w:sz w:val="20"/>
        </w:rPr>
      </w:pPr>
      <w:r>
        <w:rPr>
          <w:sz w:val="20"/>
        </w:rPr>
      </w:r>
    </w:p>
    <w:p>
      <w:pPr>
        <w:pStyle w:val="TextBody"/>
        <w:bidi w:val="0"/>
        <w:spacing w:before="0" w:after="0"/>
        <w:jc w:val="both"/>
        <w:rPr>
          <w:rFonts w:ascii="Times New Roman" w:hAnsi="Times New Roman"/>
          <w:i/>
          <w:color w:val="4F81BD"/>
          <w:sz w:val="20"/>
        </w:rPr>
      </w:pPr>
      <w:r>
        <w:rPr>
          <w:rFonts w:ascii="Times New Roman" w:hAnsi="Times New Roman"/>
          <w:i/>
          <w:color w:val="4F81BD"/>
          <w:sz w:val="20"/>
        </w:rPr>
        <w:t>Annual Incentive/Cash Bonus</w:t>
      </w:r>
    </w:p>
    <w:p>
      <w:pPr>
        <w:pStyle w:val="TextBody"/>
        <w:bidi w:val="0"/>
        <w:spacing w:before="0" w:after="0"/>
        <w:jc w:val="both"/>
        <w:rPr>
          <w:rFonts w:ascii="Times New Roman" w:hAnsi="Times New Roman"/>
          <w:i/>
          <w:color w:val="4F81BD"/>
          <w:sz w:val="20"/>
        </w:rPr>
      </w:pPr>
      <w:r>
        <w:rPr>
          <w:rFonts w:ascii="Times New Roman" w:hAnsi="Times New Roman"/>
          <w:i/>
          <w:color w:val="4F81BD"/>
          <w:sz w:val="20"/>
        </w:rPr>
      </w:r>
    </w:p>
    <w:p>
      <w:pPr>
        <w:pStyle w:val="Normal"/>
        <w:bidi w:val="0"/>
        <w:spacing w:before="0" w:after="0"/>
        <w:jc w:val="left"/>
        <w:rPr>
          <w:sz w:val="4"/>
          <w:szCs w:val="4"/>
        </w:rPr>
      </w:pPr>
      <w:r>
        <w:rPr>
          <w:sz w:val="4"/>
          <w:szCs w:val="4"/>
        </w:rPr>
      </w:r>
      <w:bookmarkStart w:id="76" w:name="zfbcc613e96944d128946b4f3f2a0a014"/>
      <w:bookmarkStart w:id="77" w:name="zfbcc613e96944d128946b4f3f2a0a014"/>
      <w:bookmarkEnd w:id="77"/>
    </w:p>
    <w:tbl>
      <w:tblPr>
        <w:tblW w:w="3950" w:type="dxa"/>
        <w:jc w:val="left"/>
        <w:tblInd w:w="0" w:type="dxa"/>
        <w:tblLayout w:type="fixed"/>
        <w:tblCellMar>
          <w:top w:w="28" w:type="dxa"/>
          <w:left w:w="0" w:type="dxa"/>
          <w:bottom w:w="28" w:type="dxa"/>
          <w:right w:w="0" w:type="dxa"/>
        </w:tblCellMar>
      </w:tblPr>
      <w:tblGrid>
        <w:gridCol w:w="60"/>
        <w:gridCol w:w="1295"/>
        <w:gridCol w:w="890"/>
        <w:gridCol w:w="800"/>
        <w:gridCol w:w="905"/>
      </w:tblGrid>
      <w:tr>
        <w:trPr/>
        <w:tc>
          <w:tcPr>
            <w:tcW w:w="60" w:type="dxa"/>
            <w:tcBorders>
              <w:top w:val="single" w:sz="12" w:space="0" w:color="000000"/>
              <w:bottom w:val="single" w:sz="12" w:space="0" w:color="000000"/>
            </w:tcBorders>
            <w:vAlign w:val="center"/>
          </w:tcPr>
          <w:p>
            <w:pPr>
              <w:pStyle w:val="TableContents"/>
              <w:bidi w:val="0"/>
              <w:spacing w:before="0" w:after="283"/>
              <w:jc w:val="left"/>
              <w:rPr/>
            </w:pPr>
            <w:r>
              <w:rPr/>
              <w:t> </w:t>
            </w:r>
          </w:p>
        </w:tc>
        <w:tc>
          <w:tcPr>
            <w:tcW w:w="1295" w:type="dxa"/>
            <w:tcBorders>
              <w:top w:val="single" w:sz="12" w:space="0" w:color="000000"/>
              <w:bottom w:val="single" w:sz="12" w:space="0" w:color="000000"/>
            </w:tcBorders>
            <w:vAlign w:val="center"/>
          </w:tcPr>
          <w:p>
            <w:pPr>
              <w:pStyle w:val="TableContents"/>
              <w:bidi w:val="0"/>
              <w:spacing w:before="0" w:after="0"/>
              <w:jc w:val="both"/>
              <w:rPr>
                <w:rFonts w:ascii="Times New Roman" w:hAnsi="Times New Roman"/>
                <w:b/>
                <w:sz w:val="20"/>
              </w:rPr>
            </w:pPr>
            <w:r>
              <w:rPr>
                <w:rFonts w:ascii="Times New Roman" w:hAnsi="Times New Roman"/>
                <w:b/>
                <w:sz w:val="20"/>
              </w:rPr>
              <w:t>Executive</w:t>
            </w:r>
          </w:p>
        </w:tc>
        <w:tc>
          <w:tcPr>
            <w:tcW w:w="890" w:type="dxa"/>
            <w:tcBorders>
              <w:top w:val="single" w:sz="12" w:space="0" w:color="000000"/>
              <w:bottom w:val="single" w:sz="12" w:space="0" w:color="000000"/>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Threshold</w:t>
            </w:r>
          </w:p>
        </w:tc>
        <w:tc>
          <w:tcPr>
            <w:tcW w:w="800" w:type="dxa"/>
            <w:tcBorders>
              <w:top w:val="single" w:sz="12" w:space="0" w:color="000000"/>
              <w:bottom w:val="single" w:sz="12" w:space="0" w:color="000000"/>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Target</w:t>
            </w:r>
          </w:p>
        </w:tc>
        <w:tc>
          <w:tcPr>
            <w:tcW w:w="905" w:type="dxa"/>
            <w:tcBorders>
              <w:top w:val="single" w:sz="12" w:space="0" w:color="000000"/>
              <w:bottom w:val="single" w:sz="12" w:space="0" w:color="000000"/>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Maximum</w:t>
            </w:r>
          </w:p>
        </w:tc>
      </w:tr>
      <w:tr>
        <w:trPr/>
        <w:tc>
          <w:tcPr>
            <w:tcW w:w="60" w:type="dxa"/>
            <w:tcBorders/>
            <w:shd w:fill="C0C0C0" w:val="clear"/>
            <w:tcMar>
              <w:top w:w="0" w:type="dxa"/>
              <w:bottom w:w="0" w:type="dxa"/>
            </w:tcMar>
            <w:vAlign w:val="center"/>
          </w:tcPr>
          <w:p>
            <w:pPr>
              <w:pStyle w:val="TableContents"/>
              <w:bidi w:val="0"/>
              <w:spacing w:before="0" w:after="283"/>
              <w:jc w:val="left"/>
              <w:rPr/>
            </w:pPr>
            <w:r>
              <w:rPr/>
              <w:t> </w:t>
            </w:r>
          </w:p>
        </w:tc>
        <w:tc>
          <w:tcPr>
            <w:tcW w:w="1295" w:type="dxa"/>
            <w:tcBorders/>
            <w:shd w:fill="C0C0C0" w:val="clear"/>
            <w:tcMar>
              <w:top w:w="0" w:type="dxa"/>
              <w:bottom w:w="0" w:type="dxa"/>
            </w:tcMar>
            <w:vAlign w:val="center"/>
          </w:tcPr>
          <w:p>
            <w:pPr>
              <w:pStyle w:val="TableContents"/>
              <w:bidi w:val="0"/>
              <w:spacing w:before="0" w:after="0"/>
              <w:jc w:val="both"/>
              <w:rPr>
                <w:rFonts w:ascii="Times New Roman" w:hAnsi="Times New Roman"/>
                <w:sz w:val="20"/>
              </w:rPr>
            </w:pPr>
            <w:r>
              <w:rPr>
                <w:rFonts w:ascii="Times New Roman" w:hAnsi="Times New Roman"/>
                <w:sz w:val="20"/>
              </w:rPr>
              <w:t>Jeffrey B. Lown</w:t>
            </w:r>
          </w:p>
        </w:tc>
        <w:tc>
          <w:tcPr>
            <w:tcW w:w="890" w:type="dxa"/>
            <w:tcBorders/>
            <w:shd w:fill="C0C0C0" w:val="clear"/>
            <w:tcMar>
              <w:top w:w="0" w:type="dxa"/>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$180,000</w:t>
            </w:r>
          </w:p>
        </w:tc>
        <w:tc>
          <w:tcPr>
            <w:tcW w:w="800" w:type="dxa"/>
            <w:tcBorders/>
            <w:shd w:fill="C0C0C0" w:val="clear"/>
            <w:tcMar>
              <w:top w:w="0" w:type="dxa"/>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$360,000</w:t>
            </w:r>
          </w:p>
        </w:tc>
        <w:tc>
          <w:tcPr>
            <w:tcW w:w="905" w:type="dxa"/>
            <w:tcBorders/>
            <w:shd w:fill="C0C0C0" w:val="clear"/>
            <w:tcMar>
              <w:top w:w="0" w:type="dxa"/>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$540,000</w:t>
            </w:r>
          </w:p>
        </w:tc>
      </w:tr>
      <w:tr>
        <w:trPr/>
        <w:tc>
          <w:tcPr>
            <w:tcW w:w="60" w:type="dxa"/>
            <w:tcBorders/>
            <w:tcMar>
              <w:top w:w="0" w:type="dxa"/>
              <w:bottom w:w="0" w:type="dxa"/>
            </w:tcMar>
            <w:vAlign w:val="center"/>
          </w:tcPr>
          <w:p>
            <w:pPr>
              <w:pStyle w:val="TableContents"/>
              <w:bidi w:val="0"/>
              <w:spacing w:before="0" w:after="283"/>
              <w:jc w:val="left"/>
              <w:rPr/>
            </w:pPr>
            <w:r>
              <w:rPr/>
              <w:t> </w:t>
            </w:r>
          </w:p>
        </w:tc>
        <w:tc>
          <w:tcPr>
            <w:tcW w:w="1295" w:type="dxa"/>
            <w:tcBorders/>
            <w:tcMar>
              <w:top w:w="0" w:type="dxa"/>
              <w:bottom w:w="0" w:type="dxa"/>
            </w:tcMar>
            <w:vAlign w:val="center"/>
          </w:tcPr>
          <w:p>
            <w:pPr>
              <w:pStyle w:val="TableContents"/>
              <w:bidi w:val="0"/>
              <w:spacing w:before="0" w:after="0"/>
              <w:jc w:val="both"/>
              <w:rPr>
                <w:rFonts w:ascii="Times New Roman" w:hAnsi="Times New Roman"/>
                <w:sz w:val="20"/>
              </w:rPr>
            </w:pPr>
            <w:r>
              <w:rPr>
                <w:rFonts w:ascii="Times New Roman" w:hAnsi="Times New Roman"/>
                <w:sz w:val="20"/>
              </w:rPr>
              <w:t>Julian B. Evans</w:t>
            </w:r>
          </w:p>
        </w:tc>
        <w:tc>
          <w:tcPr>
            <w:tcW w:w="890" w:type="dxa"/>
            <w:tcBorders/>
            <w:tcMar>
              <w:top w:w="0" w:type="dxa"/>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$137,500</w:t>
            </w:r>
          </w:p>
        </w:tc>
        <w:tc>
          <w:tcPr>
            <w:tcW w:w="800" w:type="dxa"/>
            <w:tcBorders/>
            <w:tcMar>
              <w:top w:w="0" w:type="dxa"/>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$275,000</w:t>
            </w:r>
          </w:p>
        </w:tc>
        <w:tc>
          <w:tcPr>
            <w:tcW w:w="905" w:type="dxa"/>
            <w:tcBorders/>
            <w:tcMar>
              <w:top w:w="0" w:type="dxa"/>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$412,500</w:t>
            </w:r>
          </w:p>
        </w:tc>
      </w:tr>
      <w:tr>
        <w:trPr/>
        <w:tc>
          <w:tcPr>
            <w:tcW w:w="60" w:type="dxa"/>
            <w:tcBorders>
              <w:bottom w:val="single" w:sz="12" w:space="0" w:color="000000"/>
            </w:tcBorders>
            <w:shd w:fill="C0C0C0" w:val="clear"/>
            <w:tcMar>
              <w:top w:w="0" w:type="dxa"/>
            </w:tcMar>
            <w:vAlign w:val="center"/>
          </w:tcPr>
          <w:p>
            <w:pPr>
              <w:pStyle w:val="TableContents"/>
              <w:bidi w:val="0"/>
              <w:spacing w:before="0" w:after="283"/>
              <w:jc w:val="left"/>
              <w:rPr/>
            </w:pPr>
            <w:r>
              <w:rPr/>
              <w:t> </w:t>
            </w:r>
          </w:p>
        </w:tc>
        <w:tc>
          <w:tcPr>
            <w:tcW w:w="1295" w:type="dxa"/>
            <w:tcBorders>
              <w:bottom w:val="single" w:sz="12" w:space="0" w:color="000000"/>
            </w:tcBorders>
            <w:shd w:fill="C0C0C0" w:val="clear"/>
            <w:tcMar>
              <w:top w:w="0" w:type="dxa"/>
            </w:tcMar>
            <w:vAlign w:val="center"/>
          </w:tcPr>
          <w:p>
            <w:pPr>
              <w:pStyle w:val="TableContents"/>
              <w:bidi w:val="0"/>
              <w:spacing w:before="0" w:after="0"/>
              <w:jc w:val="both"/>
              <w:rPr>
                <w:rFonts w:ascii="Times New Roman" w:hAnsi="Times New Roman"/>
                <w:sz w:val="20"/>
              </w:rPr>
            </w:pPr>
            <w:r>
              <w:rPr>
                <w:rFonts w:ascii="Times New Roman" w:hAnsi="Times New Roman"/>
                <w:sz w:val="20"/>
              </w:rPr>
              <w:t>Apeksha Patel</w:t>
            </w:r>
          </w:p>
        </w:tc>
        <w:tc>
          <w:tcPr>
            <w:tcW w:w="890" w:type="dxa"/>
            <w:tcBorders>
              <w:bottom w:val="single" w:sz="12" w:space="0" w:color="000000"/>
            </w:tcBorders>
            <w:shd w:fill="C0C0C0" w:val="clear"/>
            <w:tcMar>
              <w:top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$100,000</w:t>
            </w:r>
          </w:p>
        </w:tc>
        <w:tc>
          <w:tcPr>
            <w:tcW w:w="800" w:type="dxa"/>
            <w:tcBorders>
              <w:bottom w:val="single" w:sz="12" w:space="0" w:color="000000"/>
            </w:tcBorders>
            <w:shd w:fill="C0C0C0" w:val="clear"/>
            <w:tcMar>
              <w:top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$200,000</w:t>
            </w:r>
          </w:p>
        </w:tc>
        <w:tc>
          <w:tcPr>
            <w:tcW w:w="905" w:type="dxa"/>
            <w:tcBorders>
              <w:bottom w:val="single" w:sz="12" w:space="0" w:color="000000"/>
            </w:tcBorders>
            <w:shd w:fill="C0C0C0" w:val="clear"/>
            <w:tcMar>
              <w:top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$300,000</w:t>
            </w:r>
          </w:p>
        </w:tc>
      </w:tr>
    </w:tbl>
    <w:p>
      <w:pPr>
        <w:pStyle w:val="TextBody"/>
        <w:bidi w:val="0"/>
        <w:spacing w:before="0" w:after="0"/>
        <w:jc w:val="left"/>
        <w:rPr>
          <w:sz w:val="20"/>
        </w:rPr>
      </w:pPr>
      <w:r>
        <w:rPr>
          <w:sz w:val="20"/>
        </w:rPr>
      </w:r>
    </w:p>
    <w:p>
      <w:pPr>
        <w:pStyle w:val="TextBody"/>
        <w:bidi w:val="0"/>
        <w:spacing w:before="0" w:after="0"/>
        <w:jc w:val="both"/>
        <w:rPr>
          <w:rFonts w:ascii="Times New Roman" w:hAnsi="Times New Roman"/>
          <w:i/>
          <w:color w:val="4F81BD"/>
          <w:sz w:val="20"/>
        </w:rPr>
      </w:pPr>
      <w:r>
        <w:rPr>
          <w:rFonts w:ascii="Times New Roman" w:hAnsi="Times New Roman"/>
          <w:i/>
          <w:color w:val="4F81BD"/>
          <w:sz w:val="20"/>
        </w:rPr>
        <w:t>Long-Term Incentive (Equity)</w:t>
      </w:r>
    </w:p>
    <w:p>
      <w:pPr>
        <w:pStyle w:val="TextBody"/>
        <w:bidi w:val="0"/>
        <w:spacing w:before="0" w:after="0"/>
        <w:jc w:val="both"/>
        <w:rPr>
          <w:rFonts w:ascii="Times New Roman" w:hAnsi="Times New Roman"/>
          <w:i/>
          <w:color w:val="4F81BD"/>
          <w:sz w:val="20"/>
        </w:rPr>
      </w:pPr>
      <w:r>
        <w:rPr>
          <w:rFonts w:ascii="Times New Roman" w:hAnsi="Times New Roman"/>
          <w:i/>
          <w:color w:val="4F81BD"/>
          <w:sz w:val="20"/>
        </w:rPr>
      </w:r>
    </w:p>
    <w:p>
      <w:pPr>
        <w:pStyle w:val="Normal"/>
        <w:bidi w:val="0"/>
        <w:spacing w:before="0" w:after="0"/>
        <w:jc w:val="left"/>
        <w:rPr>
          <w:sz w:val="4"/>
          <w:szCs w:val="4"/>
        </w:rPr>
      </w:pPr>
      <w:r>
        <w:rPr>
          <w:sz w:val="4"/>
          <w:szCs w:val="4"/>
        </w:rPr>
      </w:r>
      <w:bookmarkStart w:id="78" w:name="zb244dbce5418469eb81fe7ec505c6ee7"/>
      <w:bookmarkStart w:id="79" w:name="zb244dbce5418469eb81fe7ec505c6ee7"/>
      <w:bookmarkEnd w:id="79"/>
    </w:p>
    <w:tbl>
      <w:tblPr>
        <w:tblW w:w="3995" w:type="dxa"/>
        <w:jc w:val="left"/>
        <w:tblInd w:w="0" w:type="dxa"/>
        <w:tblLayout w:type="fixed"/>
        <w:tblCellMar>
          <w:top w:w="28" w:type="dxa"/>
          <w:left w:w="0" w:type="dxa"/>
          <w:bottom w:w="28" w:type="dxa"/>
          <w:right w:w="0" w:type="dxa"/>
        </w:tblCellMar>
      </w:tblPr>
      <w:tblGrid>
        <w:gridCol w:w="60"/>
        <w:gridCol w:w="1295"/>
        <w:gridCol w:w="890"/>
        <w:gridCol w:w="800"/>
        <w:gridCol w:w="950"/>
      </w:tblGrid>
      <w:tr>
        <w:trPr/>
        <w:tc>
          <w:tcPr>
            <w:tcW w:w="60" w:type="dxa"/>
            <w:tcBorders>
              <w:top w:val="single" w:sz="12" w:space="0" w:color="000000"/>
              <w:bottom w:val="single" w:sz="12" w:space="0" w:color="000000"/>
            </w:tcBorders>
            <w:vAlign w:val="center"/>
          </w:tcPr>
          <w:p>
            <w:pPr>
              <w:pStyle w:val="TableContents"/>
              <w:bidi w:val="0"/>
              <w:spacing w:before="0" w:after="283"/>
              <w:jc w:val="left"/>
              <w:rPr/>
            </w:pPr>
            <w:r>
              <w:rPr/>
              <w:t> </w:t>
            </w:r>
          </w:p>
        </w:tc>
        <w:tc>
          <w:tcPr>
            <w:tcW w:w="1295" w:type="dxa"/>
            <w:tcBorders>
              <w:top w:val="single" w:sz="12" w:space="0" w:color="000000"/>
              <w:bottom w:val="single" w:sz="12" w:space="0" w:color="000000"/>
            </w:tcBorders>
            <w:vAlign w:val="center"/>
          </w:tcPr>
          <w:p>
            <w:pPr>
              <w:pStyle w:val="TableContents"/>
              <w:bidi w:val="0"/>
              <w:spacing w:before="0" w:after="0"/>
              <w:jc w:val="both"/>
              <w:rPr>
                <w:rFonts w:ascii="Times New Roman" w:hAnsi="Times New Roman"/>
                <w:b/>
                <w:sz w:val="20"/>
              </w:rPr>
            </w:pPr>
            <w:r>
              <w:rPr>
                <w:rFonts w:ascii="Times New Roman" w:hAnsi="Times New Roman"/>
                <w:b/>
                <w:sz w:val="20"/>
              </w:rPr>
              <w:t>Executive</w:t>
            </w:r>
          </w:p>
        </w:tc>
        <w:tc>
          <w:tcPr>
            <w:tcW w:w="890" w:type="dxa"/>
            <w:tcBorders>
              <w:top w:val="single" w:sz="12" w:space="0" w:color="000000"/>
              <w:bottom w:val="single" w:sz="12" w:space="0" w:color="000000"/>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Threshold</w:t>
            </w:r>
          </w:p>
        </w:tc>
        <w:tc>
          <w:tcPr>
            <w:tcW w:w="800" w:type="dxa"/>
            <w:tcBorders>
              <w:top w:val="single" w:sz="12" w:space="0" w:color="000000"/>
              <w:bottom w:val="single" w:sz="12" w:space="0" w:color="000000"/>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Target</w:t>
            </w:r>
          </w:p>
        </w:tc>
        <w:tc>
          <w:tcPr>
            <w:tcW w:w="950" w:type="dxa"/>
            <w:tcBorders>
              <w:top w:val="single" w:sz="12" w:space="0" w:color="000000"/>
              <w:bottom w:val="single" w:sz="12" w:space="0" w:color="000000"/>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Maximum</w:t>
            </w:r>
          </w:p>
        </w:tc>
      </w:tr>
      <w:tr>
        <w:trPr/>
        <w:tc>
          <w:tcPr>
            <w:tcW w:w="60" w:type="dxa"/>
            <w:tcBorders/>
            <w:shd w:fill="C0C0C0" w:val="clear"/>
            <w:tcMar>
              <w:top w:w="0" w:type="dxa"/>
              <w:bottom w:w="0" w:type="dxa"/>
            </w:tcMar>
            <w:vAlign w:val="center"/>
          </w:tcPr>
          <w:p>
            <w:pPr>
              <w:pStyle w:val="TableContents"/>
              <w:bidi w:val="0"/>
              <w:spacing w:before="0" w:after="283"/>
              <w:jc w:val="left"/>
              <w:rPr/>
            </w:pPr>
            <w:r>
              <w:rPr/>
              <w:t> </w:t>
            </w:r>
          </w:p>
        </w:tc>
        <w:tc>
          <w:tcPr>
            <w:tcW w:w="1295" w:type="dxa"/>
            <w:tcBorders/>
            <w:shd w:fill="C0C0C0" w:val="clear"/>
            <w:tcMar>
              <w:top w:w="0" w:type="dxa"/>
              <w:bottom w:w="0" w:type="dxa"/>
            </w:tcMar>
            <w:vAlign w:val="center"/>
          </w:tcPr>
          <w:p>
            <w:pPr>
              <w:pStyle w:val="TableContents"/>
              <w:bidi w:val="0"/>
              <w:spacing w:before="0" w:after="0"/>
              <w:jc w:val="both"/>
              <w:rPr>
                <w:rFonts w:ascii="Times New Roman" w:hAnsi="Times New Roman"/>
                <w:sz w:val="20"/>
              </w:rPr>
            </w:pPr>
            <w:r>
              <w:rPr>
                <w:rFonts w:ascii="Times New Roman" w:hAnsi="Times New Roman"/>
                <w:sz w:val="20"/>
              </w:rPr>
              <w:t>Jeffrey B. Lown</w:t>
            </w:r>
          </w:p>
        </w:tc>
        <w:tc>
          <w:tcPr>
            <w:tcW w:w="890" w:type="dxa"/>
            <w:tcBorders/>
            <w:shd w:fill="C0C0C0" w:val="clear"/>
            <w:tcMar>
              <w:top w:w="0" w:type="dxa"/>
              <w:bottom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$675,000</w:t>
            </w:r>
          </w:p>
        </w:tc>
        <w:tc>
          <w:tcPr>
            <w:tcW w:w="800" w:type="dxa"/>
            <w:tcBorders/>
            <w:shd w:fill="C0C0C0" w:val="clear"/>
            <w:tcMar>
              <w:top w:w="0" w:type="dxa"/>
              <w:bottom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$900,000</w:t>
            </w:r>
          </w:p>
        </w:tc>
        <w:tc>
          <w:tcPr>
            <w:tcW w:w="950" w:type="dxa"/>
            <w:tcBorders/>
            <w:shd w:fill="C0C0C0" w:val="clear"/>
            <w:tcMar>
              <w:top w:w="0" w:type="dxa"/>
              <w:bottom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$1,350,000</w:t>
            </w:r>
          </w:p>
        </w:tc>
      </w:tr>
      <w:tr>
        <w:trPr/>
        <w:tc>
          <w:tcPr>
            <w:tcW w:w="60" w:type="dxa"/>
            <w:tcBorders/>
            <w:tcMar>
              <w:top w:w="0" w:type="dxa"/>
              <w:bottom w:w="0" w:type="dxa"/>
            </w:tcMar>
            <w:vAlign w:val="center"/>
          </w:tcPr>
          <w:p>
            <w:pPr>
              <w:pStyle w:val="TableContents"/>
              <w:bidi w:val="0"/>
              <w:spacing w:before="0" w:after="283"/>
              <w:jc w:val="left"/>
              <w:rPr/>
            </w:pPr>
            <w:r>
              <w:rPr/>
              <w:t> </w:t>
            </w:r>
          </w:p>
        </w:tc>
        <w:tc>
          <w:tcPr>
            <w:tcW w:w="1295" w:type="dxa"/>
            <w:tcBorders/>
            <w:tcMar>
              <w:top w:w="0" w:type="dxa"/>
              <w:bottom w:w="0" w:type="dxa"/>
            </w:tcMar>
            <w:vAlign w:val="center"/>
          </w:tcPr>
          <w:p>
            <w:pPr>
              <w:pStyle w:val="TableContents"/>
              <w:bidi w:val="0"/>
              <w:spacing w:before="0" w:after="0"/>
              <w:jc w:val="both"/>
              <w:rPr>
                <w:rFonts w:ascii="Times New Roman" w:hAnsi="Times New Roman"/>
                <w:sz w:val="20"/>
              </w:rPr>
            </w:pPr>
            <w:r>
              <w:rPr>
                <w:rFonts w:ascii="Times New Roman" w:hAnsi="Times New Roman"/>
                <w:sz w:val="20"/>
              </w:rPr>
              <w:t>Julian B. Evans</w:t>
            </w:r>
          </w:p>
        </w:tc>
        <w:tc>
          <w:tcPr>
            <w:tcW w:w="890" w:type="dxa"/>
            <w:tcBorders/>
            <w:tcMar>
              <w:top w:w="0" w:type="dxa"/>
              <w:bottom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$412,500</w:t>
            </w:r>
          </w:p>
        </w:tc>
        <w:tc>
          <w:tcPr>
            <w:tcW w:w="800" w:type="dxa"/>
            <w:tcBorders/>
            <w:tcMar>
              <w:top w:w="0" w:type="dxa"/>
              <w:bottom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$550,000</w:t>
            </w:r>
          </w:p>
        </w:tc>
        <w:tc>
          <w:tcPr>
            <w:tcW w:w="950" w:type="dxa"/>
            <w:tcBorders/>
            <w:tcMar>
              <w:top w:w="0" w:type="dxa"/>
              <w:bottom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$825,000</w:t>
            </w:r>
          </w:p>
        </w:tc>
      </w:tr>
      <w:tr>
        <w:trPr/>
        <w:tc>
          <w:tcPr>
            <w:tcW w:w="60" w:type="dxa"/>
            <w:tcBorders>
              <w:bottom w:val="single" w:sz="12" w:space="0" w:color="000000"/>
            </w:tcBorders>
            <w:shd w:fill="C0C0C0" w:val="clear"/>
            <w:tcMar>
              <w:top w:w="0" w:type="dxa"/>
            </w:tcMar>
            <w:vAlign w:val="center"/>
          </w:tcPr>
          <w:p>
            <w:pPr>
              <w:pStyle w:val="TableContents"/>
              <w:bidi w:val="0"/>
              <w:spacing w:before="0" w:after="283"/>
              <w:jc w:val="left"/>
              <w:rPr/>
            </w:pPr>
            <w:r>
              <w:rPr/>
              <w:t> </w:t>
            </w:r>
          </w:p>
        </w:tc>
        <w:tc>
          <w:tcPr>
            <w:tcW w:w="1295" w:type="dxa"/>
            <w:tcBorders>
              <w:bottom w:val="single" w:sz="12" w:space="0" w:color="000000"/>
            </w:tcBorders>
            <w:shd w:fill="C0C0C0" w:val="clear"/>
            <w:tcMar>
              <w:top w:w="0" w:type="dxa"/>
            </w:tcMar>
            <w:vAlign w:val="center"/>
          </w:tcPr>
          <w:p>
            <w:pPr>
              <w:pStyle w:val="TableContents"/>
              <w:bidi w:val="0"/>
              <w:spacing w:before="0" w:after="0"/>
              <w:jc w:val="both"/>
              <w:rPr>
                <w:rFonts w:ascii="Times New Roman" w:hAnsi="Times New Roman"/>
                <w:sz w:val="20"/>
              </w:rPr>
            </w:pPr>
            <w:r>
              <w:rPr>
                <w:rFonts w:ascii="Times New Roman" w:hAnsi="Times New Roman"/>
                <w:sz w:val="20"/>
              </w:rPr>
              <w:t>Apeksha Patel</w:t>
            </w:r>
          </w:p>
        </w:tc>
        <w:tc>
          <w:tcPr>
            <w:tcW w:w="890" w:type="dxa"/>
            <w:tcBorders>
              <w:bottom w:val="single" w:sz="12" w:space="0" w:color="000000"/>
            </w:tcBorders>
            <w:shd w:fill="C0C0C0" w:val="clear"/>
            <w:tcMar>
              <w:top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$280,000</w:t>
            </w:r>
          </w:p>
        </w:tc>
        <w:tc>
          <w:tcPr>
            <w:tcW w:w="800" w:type="dxa"/>
            <w:tcBorders>
              <w:bottom w:val="single" w:sz="12" w:space="0" w:color="000000"/>
            </w:tcBorders>
            <w:shd w:fill="C0C0C0" w:val="clear"/>
            <w:tcMar>
              <w:top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$400,000</w:t>
            </w:r>
          </w:p>
        </w:tc>
        <w:tc>
          <w:tcPr>
            <w:tcW w:w="950" w:type="dxa"/>
            <w:tcBorders>
              <w:bottom w:val="single" w:sz="12" w:space="0" w:color="000000"/>
            </w:tcBorders>
            <w:shd w:fill="C0C0C0" w:val="clear"/>
            <w:tcMar>
              <w:top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$640,000</w:t>
            </w:r>
          </w:p>
        </w:tc>
      </w:tr>
    </w:tbl>
    <w:p>
      <w:pPr>
        <w:pStyle w:val="TextBody"/>
        <w:bidi w:val="0"/>
        <w:spacing w:before="0" w:after="0"/>
        <w:jc w:val="left"/>
        <w:rPr>
          <w:sz w:val="20"/>
        </w:rPr>
      </w:pPr>
      <w:r>
        <w:rPr>
          <w:sz w:val="20"/>
        </w:rPr>
      </w:r>
    </w:p>
    <w:p>
      <w:pPr>
        <w:pStyle w:val="TextBody"/>
        <w:bidi w:val="0"/>
        <w:spacing w:before="0" w:after="0"/>
        <w:jc w:val="both"/>
        <w:rPr>
          <w:rFonts w:ascii="Times New Roman" w:hAnsi="Times New Roman"/>
          <w:i/>
          <w:color w:val="4F81BD"/>
          <w:sz w:val="20"/>
        </w:rPr>
      </w:pPr>
      <w:r>
        <w:rPr>
          <w:rFonts w:ascii="Times New Roman" w:hAnsi="Times New Roman"/>
          <w:i/>
          <w:color w:val="4F81BD"/>
          <w:sz w:val="20"/>
        </w:rPr>
        <w:t>Total Remuneration</w:t>
      </w:r>
    </w:p>
    <w:p>
      <w:pPr>
        <w:pStyle w:val="TextBody"/>
        <w:bidi w:val="0"/>
        <w:spacing w:before="0" w:after="0"/>
        <w:jc w:val="both"/>
        <w:rPr>
          <w:rFonts w:ascii="Times New Roman" w:hAnsi="Times New Roman"/>
          <w:i/>
          <w:color w:val="4F81BD"/>
          <w:sz w:val="20"/>
        </w:rPr>
      </w:pPr>
      <w:r>
        <w:rPr>
          <w:rFonts w:ascii="Times New Roman" w:hAnsi="Times New Roman"/>
          <w:i/>
          <w:color w:val="4F81BD"/>
          <w:sz w:val="20"/>
        </w:rPr>
      </w:r>
    </w:p>
    <w:p>
      <w:pPr>
        <w:pStyle w:val="Normal"/>
        <w:bidi w:val="0"/>
        <w:spacing w:before="0" w:after="0"/>
        <w:jc w:val="left"/>
        <w:rPr>
          <w:sz w:val="4"/>
          <w:szCs w:val="4"/>
        </w:rPr>
      </w:pPr>
      <w:r>
        <w:rPr>
          <w:sz w:val="4"/>
          <w:szCs w:val="4"/>
        </w:rPr>
      </w:r>
      <w:bookmarkStart w:id="80" w:name="z7b4e9d27520f45278d810b5be807c77f"/>
      <w:bookmarkStart w:id="81" w:name="z7b4e9d27520f45278d810b5be807c77f"/>
      <w:bookmarkEnd w:id="81"/>
    </w:p>
    <w:tbl>
      <w:tblPr>
        <w:tblW w:w="4205" w:type="dxa"/>
        <w:jc w:val="left"/>
        <w:tblInd w:w="0" w:type="dxa"/>
        <w:tblLayout w:type="fixed"/>
        <w:tblCellMar>
          <w:top w:w="28" w:type="dxa"/>
          <w:left w:w="0" w:type="dxa"/>
          <w:bottom w:w="28" w:type="dxa"/>
          <w:right w:w="0" w:type="dxa"/>
        </w:tblCellMar>
      </w:tblPr>
      <w:tblGrid>
        <w:gridCol w:w="60"/>
        <w:gridCol w:w="1295"/>
        <w:gridCol w:w="950"/>
        <w:gridCol w:w="950"/>
        <w:gridCol w:w="950"/>
      </w:tblGrid>
      <w:tr>
        <w:trPr/>
        <w:tc>
          <w:tcPr>
            <w:tcW w:w="60" w:type="dxa"/>
            <w:tcBorders>
              <w:top w:val="single" w:sz="12" w:space="0" w:color="000000"/>
              <w:bottom w:val="single" w:sz="12" w:space="0" w:color="000000"/>
            </w:tcBorders>
            <w:vAlign w:val="center"/>
          </w:tcPr>
          <w:p>
            <w:pPr>
              <w:pStyle w:val="TableContents"/>
              <w:bidi w:val="0"/>
              <w:spacing w:before="0" w:after="283"/>
              <w:jc w:val="left"/>
              <w:rPr/>
            </w:pPr>
            <w:r>
              <w:rPr/>
              <w:t> </w:t>
            </w:r>
          </w:p>
        </w:tc>
        <w:tc>
          <w:tcPr>
            <w:tcW w:w="1295" w:type="dxa"/>
            <w:tcBorders>
              <w:top w:val="single" w:sz="12" w:space="0" w:color="000000"/>
              <w:bottom w:val="single" w:sz="12" w:space="0" w:color="000000"/>
            </w:tcBorders>
            <w:vAlign w:val="center"/>
          </w:tcPr>
          <w:p>
            <w:pPr>
              <w:pStyle w:val="TableContents"/>
              <w:bidi w:val="0"/>
              <w:spacing w:before="0" w:after="0"/>
              <w:jc w:val="both"/>
              <w:rPr>
                <w:rFonts w:ascii="Times New Roman" w:hAnsi="Times New Roman"/>
                <w:b/>
                <w:sz w:val="20"/>
              </w:rPr>
            </w:pPr>
            <w:r>
              <w:rPr>
                <w:rFonts w:ascii="Times New Roman" w:hAnsi="Times New Roman"/>
                <w:b/>
                <w:sz w:val="20"/>
              </w:rPr>
              <w:t>Executive</w:t>
            </w:r>
          </w:p>
        </w:tc>
        <w:tc>
          <w:tcPr>
            <w:tcW w:w="950" w:type="dxa"/>
            <w:tcBorders>
              <w:top w:val="single" w:sz="12" w:space="0" w:color="000000"/>
              <w:bottom w:val="single" w:sz="12" w:space="0" w:color="000000"/>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Threshold</w:t>
            </w:r>
          </w:p>
        </w:tc>
        <w:tc>
          <w:tcPr>
            <w:tcW w:w="950" w:type="dxa"/>
            <w:tcBorders>
              <w:top w:val="single" w:sz="12" w:space="0" w:color="000000"/>
              <w:bottom w:val="single" w:sz="12" w:space="0" w:color="000000"/>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Target</w:t>
            </w:r>
          </w:p>
        </w:tc>
        <w:tc>
          <w:tcPr>
            <w:tcW w:w="950" w:type="dxa"/>
            <w:tcBorders>
              <w:top w:val="single" w:sz="12" w:space="0" w:color="000000"/>
              <w:bottom w:val="single" w:sz="12" w:space="0" w:color="000000"/>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Maximum</w:t>
            </w:r>
          </w:p>
        </w:tc>
      </w:tr>
      <w:tr>
        <w:trPr/>
        <w:tc>
          <w:tcPr>
            <w:tcW w:w="60" w:type="dxa"/>
            <w:tcBorders/>
            <w:shd w:fill="C0C0C0" w:val="clear"/>
            <w:tcMar>
              <w:top w:w="0" w:type="dxa"/>
              <w:bottom w:w="0" w:type="dxa"/>
            </w:tcMar>
            <w:vAlign w:val="center"/>
          </w:tcPr>
          <w:p>
            <w:pPr>
              <w:pStyle w:val="TableContents"/>
              <w:bidi w:val="0"/>
              <w:spacing w:before="0" w:after="283"/>
              <w:jc w:val="left"/>
              <w:rPr/>
            </w:pPr>
            <w:r>
              <w:rPr/>
              <w:t> </w:t>
            </w:r>
          </w:p>
        </w:tc>
        <w:tc>
          <w:tcPr>
            <w:tcW w:w="1295" w:type="dxa"/>
            <w:tcBorders/>
            <w:shd w:fill="C0C0C0" w:val="clear"/>
            <w:tcMar>
              <w:top w:w="0" w:type="dxa"/>
              <w:bottom w:w="0" w:type="dxa"/>
            </w:tcMar>
            <w:vAlign w:val="center"/>
          </w:tcPr>
          <w:p>
            <w:pPr>
              <w:pStyle w:val="TableContents"/>
              <w:bidi w:val="0"/>
              <w:spacing w:before="0" w:after="0"/>
              <w:jc w:val="both"/>
              <w:rPr>
                <w:rFonts w:ascii="Times New Roman" w:hAnsi="Times New Roman"/>
                <w:sz w:val="20"/>
              </w:rPr>
            </w:pPr>
            <w:r>
              <w:rPr>
                <w:rFonts w:ascii="Times New Roman" w:hAnsi="Times New Roman"/>
                <w:sz w:val="20"/>
              </w:rPr>
              <w:t>Jeffrey B. Lown</w:t>
            </w:r>
          </w:p>
        </w:tc>
        <w:tc>
          <w:tcPr>
            <w:tcW w:w="950" w:type="dxa"/>
            <w:tcBorders/>
            <w:shd w:fill="C0C0C0" w:val="clear"/>
            <w:tcMar>
              <w:top w:w="0" w:type="dxa"/>
              <w:bottom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$1,755,000</w:t>
            </w:r>
          </w:p>
        </w:tc>
        <w:tc>
          <w:tcPr>
            <w:tcW w:w="950" w:type="dxa"/>
            <w:tcBorders/>
            <w:shd w:fill="C0C0C0" w:val="clear"/>
            <w:tcMar>
              <w:top w:w="0" w:type="dxa"/>
              <w:bottom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$2,160,000</w:t>
            </w:r>
          </w:p>
        </w:tc>
        <w:tc>
          <w:tcPr>
            <w:tcW w:w="950" w:type="dxa"/>
            <w:tcBorders/>
            <w:shd w:fill="C0C0C0" w:val="clear"/>
            <w:tcMar>
              <w:top w:w="0" w:type="dxa"/>
              <w:bottom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$2,790,000</w:t>
            </w:r>
          </w:p>
        </w:tc>
      </w:tr>
      <w:tr>
        <w:trPr/>
        <w:tc>
          <w:tcPr>
            <w:tcW w:w="60" w:type="dxa"/>
            <w:tcBorders/>
            <w:tcMar>
              <w:top w:w="0" w:type="dxa"/>
              <w:bottom w:w="0" w:type="dxa"/>
            </w:tcMar>
            <w:vAlign w:val="center"/>
          </w:tcPr>
          <w:p>
            <w:pPr>
              <w:pStyle w:val="TableContents"/>
              <w:bidi w:val="0"/>
              <w:spacing w:before="0" w:after="283"/>
              <w:jc w:val="left"/>
              <w:rPr/>
            </w:pPr>
            <w:r>
              <w:rPr/>
              <w:t> </w:t>
            </w:r>
          </w:p>
        </w:tc>
        <w:tc>
          <w:tcPr>
            <w:tcW w:w="1295" w:type="dxa"/>
            <w:tcBorders/>
            <w:tcMar>
              <w:top w:w="0" w:type="dxa"/>
              <w:bottom w:w="0" w:type="dxa"/>
            </w:tcMar>
            <w:vAlign w:val="center"/>
          </w:tcPr>
          <w:p>
            <w:pPr>
              <w:pStyle w:val="TableContents"/>
              <w:bidi w:val="0"/>
              <w:spacing w:before="0" w:after="0"/>
              <w:jc w:val="both"/>
              <w:rPr>
                <w:rFonts w:ascii="Times New Roman" w:hAnsi="Times New Roman"/>
                <w:sz w:val="20"/>
              </w:rPr>
            </w:pPr>
            <w:r>
              <w:rPr>
                <w:rFonts w:ascii="Times New Roman" w:hAnsi="Times New Roman"/>
                <w:sz w:val="20"/>
              </w:rPr>
              <w:t>Julian B. Evans</w:t>
            </w:r>
          </w:p>
        </w:tc>
        <w:tc>
          <w:tcPr>
            <w:tcW w:w="950" w:type="dxa"/>
            <w:tcBorders/>
            <w:tcMar>
              <w:top w:w="0" w:type="dxa"/>
              <w:bottom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$1,100,000</w:t>
            </w:r>
          </w:p>
        </w:tc>
        <w:tc>
          <w:tcPr>
            <w:tcW w:w="950" w:type="dxa"/>
            <w:tcBorders/>
            <w:tcMar>
              <w:top w:w="0" w:type="dxa"/>
              <w:bottom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$1,375,000</w:t>
            </w:r>
          </w:p>
        </w:tc>
        <w:tc>
          <w:tcPr>
            <w:tcW w:w="950" w:type="dxa"/>
            <w:tcBorders/>
            <w:tcMar>
              <w:top w:w="0" w:type="dxa"/>
              <w:bottom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$1,787,500</w:t>
            </w:r>
          </w:p>
        </w:tc>
      </w:tr>
      <w:tr>
        <w:trPr/>
        <w:tc>
          <w:tcPr>
            <w:tcW w:w="60" w:type="dxa"/>
            <w:tcBorders>
              <w:bottom w:val="single" w:sz="12" w:space="0" w:color="000000"/>
            </w:tcBorders>
            <w:shd w:fill="C0C0C0" w:val="clear"/>
            <w:tcMar>
              <w:top w:w="0" w:type="dxa"/>
            </w:tcMar>
            <w:vAlign w:val="center"/>
          </w:tcPr>
          <w:p>
            <w:pPr>
              <w:pStyle w:val="TableContents"/>
              <w:bidi w:val="0"/>
              <w:spacing w:before="0" w:after="283"/>
              <w:jc w:val="left"/>
              <w:rPr/>
            </w:pPr>
            <w:r>
              <w:rPr/>
              <w:t> </w:t>
            </w:r>
          </w:p>
        </w:tc>
        <w:tc>
          <w:tcPr>
            <w:tcW w:w="1295" w:type="dxa"/>
            <w:tcBorders>
              <w:bottom w:val="single" w:sz="12" w:space="0" w:color="000000"/>
            </w:tcBorders>
            <w:shd w:fill="C0C0C0" w:val="clear"/>
            <w:tcMar>
              <w:top w:w="0" w:type="dxa"/>
            </w:tcMar>
            <w:vAlign w:val="center"/>
          </w:tcPr>
          <w:p>
            <w:pPr>
              <w:pStyle w:val="TableContents"/>
              <w:bidi w:val="0"/>
              <w:spacing w:before="0" w:after="0"/>
              <w:jc w:val="both"/>
              <w:rPr>
                <w:rFonts w:ascii="Times New Roman" w:hAnsi="Times New Roman"/>
                <w:sz w:val="20"/>
              </w:rPr>
            </w:pPr>
            <w:r>
              <w:rPr>
                <w:rFonts w:ascii="Times New Roman" w:hAnsi="Times New Roman"/>
                <w:sz w:val="20"/>
              </w:rPr>
              <w:t>Apeksha Patel</w:t>
            </w:r>
          </w:p>
        </w:tc>
        <w:tc>
          <w:tcPr>
            <w:tcW w:w="950" w:type="dxa"/>
            <w:tcBorders>
              <w:bottom w:val="single" w:sz="12" w:space="0" w:color="000000"/>
            </w:tcBorders>
            <w:shd w:fill="C0C0C0" w:val="clear"/>
            <w:tcMar>
              <w:top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$800,000</w:t>
            </w:r>
          </w:p>
        </w:tc>
        <w:tc>
          <w:tcPr>
            <w:tcW w:w="950" w:type="dxa"/>
            <w:tcBorders>
              <w:bottom w:val="single" w:sz="12" w:space="0" w:color="000000"/>
            </w:tcBorders>
            <w:shd w:fill="C0C0C0" w:val="clear"/>
            <w:tcMar>
              <w:top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$1,000,000</w:t>
            </w:r>
          </w:p>
        </w:tc>
        <w:tc>
          <w:tcPr>
            <w:tcW w:w="950" w:type="dxa"/>
            <w:tcBorders>
              <w:bottom w:val="single" w:sz="12" w:space="0" w:color="000000"/>
            </w:tcBorders>
            <w:shd w:fill="C0C0C0" w:val="clear"/>
            <w:tcMar>
              <w:top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$1,300,000</w:t>
            </w:r>
          </w:p>
        </w:tc>
      </w:tr>
    </w:tbl>
    <w:p>
      <w:pPr>
        <w:pStyle w:val="TextBody"/>
        <w:bidi w:val="0"/>
        <w:spacing w:before="0" w:after="0"/>
        <w:jc w:val="left"/>
        <w:rPr>
          <w:sz w:val="20"/>
        </w:rPr>
      </w:pPr>
      <w:r>
        <w:rPr>
          <w:sz w:val="20"/>
        </w:rPr>
      </w:r>
    </w:p>
    <w:p>
      <w:pPr>
        <w:pStyle w:val="TextBody"/>
        <w:bidi w:val="0"/>
        <w:spacing w:before="0" w:after="0"/>
        <w:jc w:val="both"/>
        <w:rPr>
          <w:rFonts w:ascii="Times New Roman" w:hAnsi="Times New Roman"/>
          <w:i/>
          <w:color w:val="4F81BD"/>
          <w:sz w:val="20"/>
        </w:rPr>
      </w:pPr>
      <w:r>
        <w:rPr>
          <w:rFonts w:ascii="Times New Roman" w:hAnsi="Times New Roman"/>
          <w:i/>
          <w:color w:val="4F81BD"/>
          <w:sz w:val="20"/>
        </w:rPr>
        <w:t>Compensation Mix (at Target)</w:t>
      </w:r>
    </w:p>
    <w:p>
      <w:pPr>
        <w:pStyle w:val="TextBody"/>
        <w:bidi w:val="0"/>
        <w:spacing w:before="0" w:after="0"/>
        <w:jc w:val="both"/>
        <w:rPr>
          <w:rFonts w:ascii="Times New Roman" w:hAnsi="Times New Roman"/>
          <w:i/>
          <w:color w:val="4F81BD"/>
          <w:sz w:val="20"/>
        </w:rPr>
      </w:pPr>
      <w:r>
        <w:rPr>
          <w:rFonts w:ascii="Times New Roman" w:hAnsi="Times New Roman"/>
          <w:i/>
          <w:color w:val="4F81BD"/>
          <w:sz w:val="20"/>
        </w:rPr>
      </w:r>
    </w:p>
    <w:p>
      <w:pPr>
        <w:pStyle w:val="Normal"/>
        <w:bidi w:val="0"/>
        <w:spacing w:before="0" w:after="0"/>
        <w:jc w:val="left"/>
        <w:rPr>
          <w:sz w:val="4"/>
          <w:szCs w:val="4"/>
        </w:rPr>
      </w:pPr>
      <w:r>
        <w:rPr>
          <w:sz w:val="4"/>
          <w:szCs w:val="4"/>
        </w:rPr>
      </w:r>
      <w:bookmarkStart w:id="82" w:name="zfb6ff4320978472ea62e18065bc2f3e4"/>
      <w:bookmarkStart w:id="83" w:name="zfb6ff4320978472ea62e18065bc2f3e4"/>
      <w:bookmarkEnd w:id="83"/>
    </w:p>
    <w:tbl>
      <w:tblPr>
        <w:tblW w:w="4715" w:type="dxa"/>
        <w:jc w:val="left"/>
        <w:tblInd w:w="0" w:type="dxa"/>
        <w:tblLayout w:type="fixed"/>
        <w:tblCellMar>
          <w:top w:w="28" w:type="dxa"/>
          <w:left w:w="0" w:type="dxa"/>
          <w:bottom w:w="28" w:type="dxa"/>
          <w:right w:w="0" w:type="dxa"/>
        </w:tblCellMar>
      </w:tblPr>
      <w:tblGrid>
        <w:gridCol w:w="60"/>
        <w:gridCol w:w="1295"/>
        <w:gridCol w:w="1280"/>
        <w:gridCol w:w="1250"/>
        <w:gridCol w:w="830"/>
      </w:tblGrid>
      <w:tr>
        <w:trPr/>
        <w:tc>
          <w:tcPr>
            <w:tcW w:w="60" w:type="dxa"/>
            <w:tcBorders>
              <w:top w:val="single" w:sz="12" w:space="0" w:color="000000"/>
              <w:bottom w:val="single" w:sz="12" w:space="0" w:color="000000"/>
            </w:tcBorders>
            <w:vAlign w:val="center"/>
          </w:tcPr>
          <w:p>
            <w:pPr>
              <w:pStyle w:val="TableContents"/>
              <w:bidi w:val="0"/>
              <w:spacing w:before="0" w:after="283"/>
              <w:jc w:val="left"/>
              <w:rPr/>
            </w:pPr>
            <w:r>
              <w:rPr/>
              <w:t> </w:t>
            </w:r>
          </w:p>
        </w:tc>
        <w:tc>
          <w:tcPr>
            <w:tcW w:w="1295" w:type="dxa"/>
            <w:tcBorders>
              <w:top w:val="single" w:sz="12" w:space="0" w:color="000000"/>
              <w:bottom w:val="single" w:sz="12" w:space="0" w:color="000000"/>
            </w:tcBorders>
            <w:vAlign w:val="center"/>
          </w:tcPr>
          <w:p>
            <w:pPr>
              <w:pStyle w:val="TableContents"/>
              <w:bidi w:val="0"/>
              <w:spacing w:before="0" w:after="0"/>
              <w:jc w:val="both"/>
              <w:rPr>
                <w:rFonts w:ascii="Times New Roman" w:hAnsi="Times New Roman"/>
                <w:b/>
                <w:sz w:val="20"/>
              </w:rPr>
            </w:pPr>
            <w:r>
              <w:rPr>
                <w:rFonts w:ascii="Times New Roman" w:hAnsi="Times New Roman"/>
                <w:b/>
                <w:sz w:val="20"/>
              </w:rPr>
              <w:t>Executive</w:t>
            </w:r>
          </w:p>
        </w:tc>
        <w:tc>
          <w:tcPr>
            <w:tcW w:w="1280" w:type="dxa"/>
            <w:tcBorders>
              <w:top w:val="single" w:sz="12" w:space="0" w:color="000000"/>
              <w:bottom w:val="single" w:sz="12" w:space="0" w:color="000000"/>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 Base Salary</w:t>
            </w:r>
          </w:p>
        </w:tc>
        <w:tc>
          <w:tcPr>
            <w:tcW w:w="1250" w:type="dxa"/>
            <w:tcBorders>
              <w:top w:val="single" w:sz="12" w:space="0" w:color="000000"/>
              <w:bottom w:val="single" w:sz="12" w:space="0" w:color="000000"/>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 Cash Bonus</w:t>
            </w:r>
          </w:p>
        </w:tc>
        <w:tc>
          <w:tcPr>
            <w:tcW w:w="830" w:type="dxa"/>
            <w:tcBorders>
              <w:top w:val="single" w:sz="12" w:space="0" w:color="000000"/>
              <w:bottom w:val="single" w:sz="12" w:space="0" w:color="000000"/>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 Equity</w:t>
            </w:r>
          </w:p>
        </w:tc>
      </w:tr>
      <w:tr>
        <w:trPr/>
        <w:tc>
          <w:tcPr>
            <w:tcW w:w="60" w:type="dxa"/>
            <w:tcBorders/>
            <w:shd w:fill="C0C0C0" w:val="clear"/>
            <w:tcMar>
              <w:top w:w="0" w:type="dxa"/>
              <w:bottom w:w="0" w:type="dxa"/>
            </w:tcMar>
            <w:vAlign w:val="center"/>
          </w:tcPr>
          <w:p>
            <w:pPr>
              <w:pStyle w:val="TableContents"/>
              <w:bidi w:val="0"/>
              <w:spacing w:before="0" w:after="283"/>
              <w:jc w:val="left"/>
              <w:rPr/>
            </w:pPr>
            <w:r>
              <w:rPr/>
              <w:t> </w:t>
            </w:r>
          </w:p>
        </w:tc>
        <w:tc>
          <w:tcPr>
            <w:tcW w:w="1295" w:type="dxa"/>
            <w:tcBorders/>
            <w:shd w:fill="C0C0C0" w:val="clear"/>
            <w:tcMar>
              <w:top w:w="0" w:type="dxa"/>
              <w:bottom w:w="0" w:type="dxa"/>
            </w:tcMar>
            <w:vAlign w:val="center"/>
          </w:tcPr>
          <w:p>
            <w:pPr>
              <w:pStyle w:val="TableContents"/>
              <w:bidi w:val="0"/>
              <w:spacing w:before="0" w:after="0"/>
              <w:jc w:val="both"/>
              <w:rPr>
                <w:rFonts w:ascii="Times New Roman" w:hAnsi="Times New Roman"/>
                <w:sz w:val="20"/>
              </w:rPr>
            </w:pPr>
            <w:r>
              <w:rPr>
                <w:rFonts w:ascii="Times New Roman" w:hAnsi="Times New Roman"/>
                <w:sz w:val="20"/>
              </w:rPr>
              <w:t>Jeffrey B. Lown</w:t>
            </w:r>
          </w:p>
        </w:tc>
        <w:tc>
          <w:tcPr>
            <w:tcW w:w="1280" w:type="dxa"/>
            <w:tcBorders/>
            <w:shd w:fill="C0C0C0" w:val="clear"/>
            <w:tcMar>
              <w:top w:w="0" w:type="dxa"/>
              <w:bottom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41.7%</w:t>
            </w:r>
          </w:p>
        </w:tc>
        <w:tc>
          <w:tcPr>
            <w:tcW w:w="1250" w:type="dxa"/>
            <w:tcBorders/>
            <w:shd w:fill="C0C0C0" w:val="clear"/>
            <w:tcMar>
              <w:top w:w="0" w:type="dxa"/>
              <w:bottom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16.7%</w:t>
            </w:r>
          </w:p>
        </w:tc>
        <w:tc>
          <w:tcPr>
            <w:tcW w:w="830" w:type="dxa"/>
            <w:tcBorders/>
            <w:shd w:fill="C0C0C0" w:val="clear"/>
            <w:tcMar>
              <w:top w:w="0" w:type="dxa"/>
              <w:bottom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41.7%</w:t>
            </w:r>
          </w:p>
        </w:tc>
      </w:tr>
      <w:tr>
        <w:trPr/>
        <w:tc>
          <w:tcPr>
            <w:tcW w:w="60" w:type="dxa"/>
            <w:tcBorders/>
            <w:tcMar>
              <w:top w:w="0" w:type="dxa"/>
              <w:bottom w:w="0" w:type="dxa"/>
            </w:tcMar>
            <w:vAlign w:val="center"/>
          </w:tcPr>
          <w:p>
            <w:pPr>
              <w:pStyle w:val="TableContents"/>
              <w:bidi w:val="0"/>
              <w:spacing w:before="0" w:after="283"/>
              <w:jc w:val="left"/>
              <w:rPr/>
            </w:pPr>
            <w:r>
              <w:rPr/>
              <w:t> </w:t>
            </w:r>
          </w:p>
        </w:tc>
        <w:tc>
          <w:tcPr>
            <w:tcW w:w="1295" w:type="dxa"/>
            <w:tcBorders/>
            <w:tcMar>
              <w:top w:w="0" w:type="dxa"/>
              <w:bottom w:w="0" w:type="dxa"/>
            </w:tcMar>
            <w:vAlign w:val="center"/>
          </w:tcPr>
          <w:p>
            <w:pPr>
              <w:pStyle w:val="TableContents"/>
              <w:bidi w:val="0"/>
              <w:spacing w:before="0" w:after="0"/>
              <w:jc w:val="both"/>
              <w:rPr>
                <w:rFonts w:ascii="Times New Roman" w:hAnsi="Times New Roman"/>
                <w:sz w:val="20"/>
              </w:rPr>
            </w:pPr>
            <w:r>
              <w:rPr>
                <w:rFonts w:ascii="Times New Roman" w:hAnsi="Times New Roman"/>
                <w:sz w:val="20"/>
              </w:rPr>
              <w:t>Julian B. Evans</w:t>
            </w:r>
          </w:p>
        </w:tc>
        <w:tc>
          <w:tcPr>
            <w:tcW w:w="1280" w:type="dxa"/>
            <w:tcBorders/>
            <w:tcMar>
              <w:top w:w="0" w:type="dxa"/>
              <w:bottom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40.0%</w:t>
            </w:r>
          </w:p>
        </w:tc>
        <w:tc>
          <w:tcPr>
            <w:tcW w:w="1250" w:type="dxa"/>
            <w:tcBorders/>
            <w:tcMar>
              <w:top w:w="0" w:type="dxa"/>
              <w:bottom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20.0%</w:t>
            </w:r>
          </w:p>
        </w:tc>
        <w:tc>
          <w:tcPr>
            <w:tcW w:w="830" w:type="dxa"/>
            <w:tcBorders/>
            <w:tcMar>
              <w:top w:w="0" w:type="dxa"/>
              <w:bottom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40.0%</w:t>
            </w:r>
          </w:p>
        </w:tc>
      </w:tr>
      <w:tr>
        <w:trPr/>
        <w:tc>
          <w:tcPr>
            <w:tcW w:w="60" w:type="dxa"/>
            <w:tcBorders>
              <w:bottom w:val="single" w:sz="12" w:space="0" w:color="000000"/>
            </w:tcBorders>
            <w:shd w:fill="C0C0C0" w:val="clear"/>
            <w:tcMar>
              <w:top w:w="0" w:type="dxa"/>
            </w:tcMar>
            <w:vAlign w:val="center"/>
          </w:tcPr>
          <w:p>
            <w:pPr>
              <w:pStyle w:val="TableContents"/>
              <w:bidi w:val="0"/>
              <w:spacing w:before="0" w:after="283"/>
              <w:jc w:val="left"/>
              <w:rPr/>
            </w:pPr>
            <w:r>
              <w:rPr/>
              <w:t> </w:t>
            </w:r>
          </w:p>
        </w:tc>
        <w:tc>
          <w:tcPr>
            <w:tcW w:w="1295" w:type="dxa"/>
            <w:tcBorders>
              <w:bottom w:val="single" w:sz="12" w:space="0" w:color="000000"/>
            </w:tcBorders>
            <w:shd w:fill="C0C0C0" w:val="clear"/>
            <w:tcMar>
              <w:top w:w="0" w:type="dxa"/>
            </w:tcMar>
            <w:vAlign w:val="center"/>
          </w:tcPr>
          <w:p>
            <w:pPr>
              <w:pStyle w:val="TableContents"/>
              <w:bidi w:val="0"/>
              <w:spacing w:before="0" w:after="0"/>
              <w:jc w:val="both"/>
              <w:rPr>
                <w:rFonts w:ascii="Times New Roman" w:hAnsi="Times New Roman"/>
                <w:sz w:val="20"/>
              </w:rPr>
            </w:pPr>
            <w:r>
              <w:rPr>
                <w:rFonts w:ascii="Times New Roman" w:hAnsi="Times New Roman"/>
                <w:sz w:val="20"/>
              </w:rPr>
              <w:t>Apeksha Patel</w:t>
            </w:r>
          </w:p>
        </w:tc>
        <w:tc>
          <w:tcPr>
            <w:tcW w:w="1280" w:type="dxa"/>
            <w:tcBorders>
              <w:bottom w:val="single" w:sz="12" w:space="0" w:color="000000"/>
            </w:tcBorders>
            <w:shd w:fill="C0C0C0" w:val="clear"/>
            <w:tcMar>
              <w:top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40.0%</w:t>
            </w:r>
          </w:p>
        </w:tc>
        <w:tc>
          <w:tcPr>
            <w:tcW w:w="1250" w:type="dxa"/>
            <w:tcBorders>
              <w:bottom w:val="single" w:sz="12" w:space="0" w:color="000000"/>
            </w:tcBorders>
            <w:shd w:fill="C0C0C0" w:val="clear"/>
            <w:tcMar>
              <w:top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20.0%</w:t>
            </w:r>
          </w:p>
        </w:tc>
        <w:tc>
          <w:tcPr>
            <w:tcW w:w="830" w:type="dxa"/>
            <w:tcBorders>
              <w:bottom w:val="single" w:sz="12" w:space="0" w:color="000000"/>
            </w:tcBorders>
            <w:shd w:fill="C0C0C0" w:val="clear"/>
            <w:tcMar>
              <w:top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40.0%</w:t>
            </w:r>
          </w:p>
        </w:tc>
      </w:tr>
    </w:tbl>
    <w:p>
      <w:pPr>
        <w:pStyle w:val="TextBody"/>
        <w:bidi w:val="0"/>
        <w:spacing w:before="0" w:after="0"/>
        <w:jc w:val="left"/>
        <w:rPr>
          <w:sz w:val="20"/>
        </w:rPr>
      </w:pPr>
      <w:r>
        <w:rPr>
          <w:sz w:val="20"/>
        </w:rPr>
      </w:r>
    </w:p>
    <w:tbl>
      <w:tblPr>
        <w:tblW w:w="223" w:type="dxa"/>
        <w:jc w:val="left"/>
        <w:tblInd w:w="0" w:type="dxa"/>
        <w:tblLayout w:type="fixed"/>
        <w:tblCellMar>
          <w:top w:w="28" w:type="dxa"/>
          <w:left w:w="0" w:type="dxa"/>
          <w:bottom w:w="0" w:type="dxa"/>
          <w:right w:w="0" w:type="dxa"/>
        </w:tblCellMar>
      </w:tblPr>
      <w:tblGrid>
        <w:gridCol w:w="140"/>
        <w:gridCol w:w="60"/>
        <w:gridCol w:w="23"/>
      </w:tblGrid>
      <w:tr>
        <w:trPr/>
        <w:tc>
          <w:tcPr>
            <w:tcW w:w="140" w:type="dxa"/>
            <w:tcBorders>
              <w:top w:val="single" w:sz="12" w:space="0" w:color="000000"/>
            </w:tcBorders>
            <w:vAlign w:val="center"/>
          </w:tcPr>
          <w:p>
            <w:pPr>
              <w:pStyle w:val="TableContents"/>
              <w:bidi w:val="0"/>
              <w:spacing w:before="0" w:after="283"/>
              <w:jc w:val="right"/>
              <w:rPr>
                <w:b/>
                <w:color w:val="4F81BD"/>
              </w:rPr>
            </w:pPr>
            <w:r>
              <w:rPr>
                <w:b/>
                <w:color w:val="4F81BD"/>
              </w:rPr>
              <w:t>7</w:t>
            </w:r>
          </w:p>
        </w:tc>
        <w:tc>
          <w:tcPr>
            <w:tcW w:w="60" w:type="dxa"/>
            <w:tcBorders>
              <w:top w:val="single" w:sz="12" w:space="0" w:color="000000"/>
            </w:tcBorders>
            <w:vAlign w:val="center"/>
          </w:tcPr>
          <w:p>
            <w:pPr>
              <w:pStyle w:val="TableContents"/>
              <w:bidi w:val="0"/>
              <w:spacing w:before="0" w:after="283"/>
              <w:jc w:val="right"/>
              <w:rPr>
                <w:color w:val="4F81BD"/>
              </w:rPr>
            </w:pPr>
            <w:r>
              <w:rPr>
                <w:color w:val="4F81BD"/>
              </w:rPr>
              <w:t> </w:t>
            </w:r>
          </w:p>
        </w:tc>
        <w:tc>
          <w:tcPr>
            <w:tcW w:w="23" w:type="dxa"/>
            <w:tcBorders>
              <w:top w:val="single" w:sz="12" w:space="0" w:color="000000"/>
              <w:left w:val="single" w:sz="12" w:space="0" w:color="000000"/>
            </w:tcBorders>
            <w:tcMar>
              <w:left w:w="28" w:type="dxa"/>
            </w:tcMar>
            <w:vAlign w:val="center"/>
          </w:tcPr>
          <w:p>
            <w:pPr>
              <w:pStyle w:val="TableContents"/>
              <w:bidi w:val="0"/>
              <w:spacing w:before="0" w:after="283"/>
              <w:jc w:val="left"/>
              <w:rPr/>
            </w:pPr>
            <w:r>
              <w:rPr/>
            </w:r>
          </w:p>
        </w:tc>
      </w:tr>
    </w:tbl>
    <w:p>
      <w:pPr>
        <w:pStyle w:val="HorizontalLine"/>
        <w:pBdr>
          <w:bottom w:val="single" w:sz="12" w:space="0" w:color="808080"/>
        </w:pBdr>
        <w:bidi w:val="0"/>
        <w:spacing w:before="200" w:after="200"/>
        <w:jc w:val="left"/>
        <w:rPr/>
      </w:pPr>
      <w:r>
        <w:rPr/>
      </w:r>
    </w:p>
    <w:p>
      <w:pPr>
        <w:pStyle w:val="TextBody"/>
        <w:bidi w:val="0"/>
        <w:spacing w:before="0" w:after="0"/>
        <w:jc w:val="both"/>
        <w:rPr>
          <w:rFonts w:ascii="Times New Roman" w:hAnsi="Times New Roman"/>
          <w:i/>
          <w:color w:val="4F81BD"/>
          <w:sz w:val="20"/>
        </w:rPr>
      </w:pPr>
      <w:r>
        <w:rPr>
          <w:rFonts w:ascii="Times New Roman" w:hAnsi="Times New Roman"/>
          <w:i/>
          <w:color w:val="4F81BD"/>
          <w:sz w:val="20"/>
        </w:rPr>
        <w:t>Appendix</w:t>
      </w:r>
    </w:p>
    <w:p>
      <w:pPr>
        <w:pStyle w:val="TextBody"/>
        <w:bidi w:val="0"/>
        <w:spacing w:before="0" w:after="0"/>
        <w:jc w:val="both"/>
        <w:rPr>
          <w:rFonts w:ascii="Times New Roman" w:hAnsi="Times New Roman"/>
          <w:i/>
          <w:color w:val="4F81BD"/>
          <w:sz w:val="20"/>
        </w:rPr>
      </w:pPr>
      <w:r>
        <w:rPr>
          <w:rFonts w:ascii="Times New Roman" w:hAnsi="Times New Roman"/>
          <w:i/>
          <w:color w:val="4F81BD"/>
          <w:sz w:val="20"/>
        </w:rPr>
        <w:t>Performance Metric Definitions</w:t>
      </w:r>
    </w:p>
    <w:p>
      <w:pPr>
        <w:pStyle w:val="TextBody"/>
        <w:bidi w:val="0"/>
        <w:spacing w:before="0" w:after="0"/>
        <w:jc w:val="both"/>
        <w:rPr>
          <w:rFonts w:ascii="Times New Roman" w:hAnsi="Times New Roman"/>
          <w:i/>
          <w:color w:val="4F81BD"/>
          <w:sz w:val="20"/>
        </w:rPr>
      </w:pPr>
      <w:r>
        <w:rPr>
          <w:rFonts w:ascii="Times New Roman" w:hAnsi="Times New Roman"/>
          <w:i/>
          <w:color w:val="4F81BD"/>
          <w:sz w:val="20"/>
        </w:rPr>
      </w:r>
    </w:p>
    <w:p>
      <w:pPr>
        <w:pStyle w:val="Normal"/>
        <w:bidi w:val="0"/>
        <w:spacing w:before="0" w:after="0"/>
        <w:jc w:val="left"/>
        <w:rPr>
          <w:sz w:val="4"/>
          <w:szCs w:val="4"/>
        </w:rPr>
      </w:pPr>
      <w:r>
        <w:rPr>
          <w:sz w:val="4"/>
          <w:szCs w:val="4"/>
        </w:rPr>
      </w:r>
      <w:bookmarkStart w:id="84" w:name="zaa6942d5e8b54bb9b7a7090bfab22cb9"/>
      <w:bookmarkStart w:id="85" w:name="zaa6942d5e8b54bb9b7a7090bfab22cb9"/>
      <w:bookmarkEnd w:id="85"/>
    </w:p>
    <w:tbl>
      <w:tblPr>
        <w:tblW w:w="10205" w:type="dxa"/>
        <w:jc w:val="left"/>
        <w:tblInd w:w="-15" w:type="dxa"/>
        <w:tblLayout w:type="fixed"/>
        <w:tblCellMar>
          <w:top w:w="28" w:type="dxa"/>
          <w:left w:w="28" w:type="dxa"/>
          <w:bottom w:w="0" w:type="dxa"/>
          <w:right w:w="0" w:type="dxa"/>
        </w:tblCellMar>
      </w:tblPr>
      <w:tblGrid>
        <w:gridCol w:w="60"/>
        <w:gridCol w:w="1415"/>
        <w:gridCol w:w="8670"/>
        <w:gridCol w:w="60"/>
      </w:tblGrid>
      <w:tr>
        <w:trPr/>
        <w:tc>
          <w:tcPr>
            <w:tcW w:w="60" w:type="dxa"/>
            <w:tcBorders>
              <w:top w:val="single" w:sz="12" w:space="0" w:color="4F81BD"/>
              <w:left w:val="single" w:sz="12" w:space="0" w:color="4F81BD"/>
            </w:tcBorders>
            <w:shd w:fill="4F81BD" w:val="clear"/>
            <w:vAlign w:val="center"/>
          </w:tcPr>
          <w:p>
            <w:pPr>
              <w:pStyle w:val="TableContents"/>
              <w:bidi w:val="0"/>
              <w:spacing w:before="0" w:after="283"/>
              <w:jc w:val="left"/>
              <w:rPr/>
            </w:pPr>
            <w:r>
              <w:rPr/>
              <w:t> </w:t>
            </w:r>
          </w:p>
        </w:tc>
        <w:tc>
          <w:tcPr>
            <w:tcW w:w="1415" w:type="dxa"/>
            <w:tcBorders>
              <w:top w:val="single" w:sz="12" w:space="0" w:color="4F81BD"/>
            </w:tcBorders>
            <w:shd w:fill="4F81BD" w:val="clear"/>
            <w:tcMar>
              <w:left w:w="0" w:type="dxa"/>
            </w:tcMar>
            <w:vAlign w:val="center"/>
          </w:tcPr>
          <w:p>
            <w:pPr>
              <w:pStyle w:val="TableContents"/>
              <w:bidi w:val="0"/>
              <w:spacing w:before="0" w:after="0"/>
              <w:jc w:val="left"/>
              <w:rPr>
                <w:rFonts w:ascii="Times New Roman" w:hAnsi="Times New Roman"/>
                <w:b/>
                <w:color w:val="FFFFFF"/>
                <w:sz w:val="20"/>
              </w:rPr>
            </w:pPr>
            <w:r>
              <w:rPr>
                <w:rFonts w:ascii="Times New Roman" w:hAnsi="Times New Roman"/>
                <w:b/>
                <w:color w:val="FFFFFF"/>
                <w:sz w:val="20"/>
              </w:rPr>
              <w:t>Metric</w:t>
            </w:r>
          </w:p>
        </w:tc>
        <w:tc>
          <w:tcPr>
            <w:tcW w:w="8670" w:type="dxa"/>
            <w:tcBorders>
              <w:top w:val="single" w:sz="12" w:space="0" w:color="4F81BD"/>
            </w:tcBorders>
            <w:shd w:fill="4F81BD" w:val="clear"/>
            <w:tcMar>
              <w:left w:w="0" w:type="dxa"/>
            </w:tcMar>
            <w:vAlign w:val="center"/>
          </w:tcPr>
          <w:p>
            <w:pPr>
              <w:pStyle w:val="TableContents"/>
              <w:bidi w:val="0"/>
              <w:spacing w:before="0" w:after="0"/>
              <w:jc w:val="center"/>
              <w:rPr>
                <w:rFonts w:ascii="Times New Roman" w:hAnsi="Times New Roman"/>
                <w:b/>
                <w:color w:val="FFFFFF"/>
                <w:sz w:val="20"/>
              </w:rPr>
            </w:pPr>
            <w:r>
              <w:rPr>
                <w:rFonts w:ascii="Times New Roman" w:hAnsi="Times New Roman"/>
                <w:b/>
                <w:color w:val="FFFFFF"/>
                <w:sz w:val="20"/>
              </w:rPr>
              <w:t>Definition</w:t>
            </w:r>
          </w:p>
        </w:tc>
        <w:tc>
          <w:tcPr>
            <w:tcW w:w="60" w:type="dxa"/>
            <w:tcBorders>
              <w:top w:val="single" w:sz="12" w:space="0" w:color="4F81BD"/>
              <w:right w:val="single" w:sz="12" w:space="0" w:color="4F81BD"/>
            </w:tcBorders>
            <w:shd w:fill="4F81BD" w:val="clear"/>
            <w:tcMar>
              <w:left w:w="0" w:type="dxa"/>
              <w:right w:w="28" w:type="dxa"/>
            </w:tcMar>
            <w:vAlign w:val="center"/>
          </w:tcPr>
          <w:p>
            <w:pPr>
              <w:pStyle w:val="TableContents"/>
              <w:bidi w:val="0"/>
              <w:spacing w:before="0" w:after="283"/>
              <w:jc w:val="left"/>
              <w:rPr/>
            </w:pPr>
            <w:r>
              <w:rPr/>
              <w:t> </w:t>
            </w:r>
          </w:p>
        </w:tc>
      </w:tr>
      <w:tr>
        <w:trPr/>
        <w:tc>
          <w:tcPr>
            <w:tcW w:w="60" w:type="dxa"/>
            <w:tcBorders>
              <w:left w:val="single" w:sz="12" w:space="0" w:color="4F81BD"/>
            </w:tcBorders>
            <w:tcMar>
              <w:top w:w="0" w:type="dxa"/>
            </w:tcMar>
            <w:vAlign w:val="center"/>
          </w:tcPr>
          <w:p>
            <w:pPr>
              <w:pStyle w:val="TableContents"/>
              <w:bidi w:val="0"/>
              <w:spacing w:before="0" w:after="283"/>
              <w:jc w:val="left"/>
              <w:rPr/>
            </w:pPr>
            <w:r>
              <w:rPr/>
              <w:t> </w:t>
            </w:r>
          </w:p>
        </w:tc>
        <w:tc>
          <w:tcPr>
            <w:tcW w:w="10085" w:type="dxa"/>
            <w:gridSpan w:val="2"/>
            <w:tcBorders/>
            <w:tcMar>
              <w:top w:w="0" w:type="dxa"/>
              <w:left w:w="0" w:type="dxa"/>
            </w:tcMar>
            <w:vAlign w:val="center"/>
          </w:tcPr>
          <w:p>
            <w:pPr>
              <w:pStyle w:val="TableContents"/>
              <w:bidi w:val="0"/>
              <w:spacing w:before="0" w:after="283"/>
              <w:jc w:val="left"/>
              <w:rPr/>
            </w:pPr>
            <w:r>
              <w:rPr/>
              <w:t> </w:t>
            </w:r>
          </w:p>
        </w:tc>
        <w:tc>
          <w:tcPr>
            <w:tcW w:w="60" w:type="dxa"/>
            <w:tcBorders>
              <w:right w:val="single" w:sz="12" w:space="0" w:color="4F81BD"/>
            </w:tcBorders>
            <w:tcMar>
              <w:top w:w="0" w:type="dxa"/>
              <w:left w:w="0" w:type="dxa"/>
              <w:right w:w="28" w:type="dxa"/>
            </w:tcMar>
            <w:vAlign w:val="center"/>
          </w:tcPr>
          <w:p>
            <w:pPr>
              <w:pStyle w:val="TableContents"/>
              <w:bidi w:val="0"/>
              <w:spacing w:before="0" w:after="283"/>
              <w:jc w:val="left"/>
              <w:rPr/>
            </w:pPr>
            <w:r>
              <w:rPr/>
              <w:t> </w:t>
            </w:r>
          </w:p>
        </w:tc>
      </w:tr>
      <w:tr>
        <w:trPr/>
        <w:tc>
          <w:tcPr>
            <w:tcW w:w="60" w:type="dxa"/>
            <w:tcBorders>
              <w:left w:val="single" w:sz="12" w:space="0" w:color="4F81BD"/>
            </w:tcBorders>
            <w:tcMar>
              <w:top w:w="0" w:type="dxa"/>
            </w:tcMar>
            <w:vAlign w:val="center"/>
          </w:tcPr>
          <w:p>
            <w:pPr>
              <w:pStyle w:val="TableContents"/>
              <w:bidi w:val="0"/>
              <w:spacing w:before="0" w:after="283"/>
              <w:jc w:val="left"/>
              <w:rPr/>
            </w:pPr>
            <w:r>
              <w:rPr/>
              <w:t> </w:t>
            </w:r>
          </w:p>
        </w:tc>
        <w:tc>
          <w:tcPr>
            <w:tcW w:w="10085" w:type="dxa"/>
            <w:gridSpan w:val="2"/>
            <w:tcBorders/>
            <w:tcMar>
              <w:top w:w="0" w:type="dxa"/>
              <w:left w:w="0" w:type="dxa"/>
            </w:tcMar>
            <w:vAlign w:val="center"/>
          </w:tcPr>
          <w:p>
            <w:pPr>
              <w:pStyle w:val="TableContents"/>
              <w:bidi w:val="0"/>
              <w:spacing w:before="0" w:after="0"/>
              <w:jc w:val="both"/>
              <w:rPr>
                <w:rFonts w:ascii="Times New Roman" w:hAnsi="Times New Roman"/>
                <w:b/>
                <w:i/>
                <w:sz w:val="20"/>
              </w:rPr>
            </w:pPr>
            <w:r>
              <w:rPr>
                <w:rFonts w:ascii="Times New Roman" w:hAnsi="Times New Roman"/>
                <w:b/>
                <w:i/>
                <w:sz w:val="20"/>
              </w:rPr>
              <w:t>Short-Term Incentive Program</w:t>
            </w:r>
          </w:p>
        </w:tc>
        <w:tc>
          <w:tcPr>
            <w:tcW w:w="60" w:type="dxa"/>
            <w:tcBorders>
              <w:right w:val="single" w:sz="12" w:space="0" w:color="4F81BD"/>
            </w:tcBorders>
            <w:tcMar>
              <w:top w:w="0" w:type="dxa"/>
              <w:left w:w="0" w:type="dxa"/>
              <w:right w:w="28" w:type="dxa"/>
            </w:tcMar>
            <w:vAlign w:val="center"/>
          </w:tcPr>
          <w:p>
            <w:pPr>
              <w:pStyle w:val="TableContents"/>
              <w:bidi w:val="0"/>
              <w:spacing w:before="0" w:after="283"/>
              <w:jc w:val="left"/>
              <w:rPr/>
            </w:pPr>
            <w:r>
              <w:rPr/>
              <w:t> </w:t>
            </w:r>
          </w:p>
        </w:tc>
      </w:tr>
      <w:tr>
        <w:trPr/>
        <w:tc>
          <w:tcPr>
            <w:tcW w:w="60" w:type="dxa"/>
            <w:tcBorders>
              <w:left w:val="single" w:sz="12" w:space="0" w:color="4F81BD"/>
              <w:bottom w:val="single" w:sz="12" w:space="0" w:color="4F81BD"/>
            </w:tcBorders>
            <w:tcMar>
              <w:top w:w="0" w:type="dxa"/>
              <w:bottom w:w="28" w:type="dxa"/>
            </w:tcMar>
            <w:vAlign w:val="center"/>
          </w:tcPr>
          <w:p>
            <w:pPr>
              <w:pStyle w:val="TableContents"/>
              <w:bidi w:val="0"/>
              <w:spacing w:before="0" w:after="283"/>
              <w:jc w:val="left"/>
              <w:rPr/>
            </w:pPr>
            <w:r>
              <w:rPr/>
              <w:t> </w:t>
            </w:r>
          </w:p>
        </w:tc>
        <w:tc>
          <w:tcPr>
            <w:tcW w:w="10085" w:type="dxa"/>
            <w:gridSpan w:val="2"/>
            <w:tcBorders>
              <w:bottom w:val="single" w:sz="12" w:space="0" w:color="4F81BD"/>
            </w:tcBorders>
            <w:tcMar>
              <w:top w:w="0" w:type="dxa"/>
              <w:left w:w="0" w:type="dxa"/>
              <w:bottom w:w="28" w:type="dxa"/>
            </w:tcMar>
            <w:vAlign w:val="center"/>
          </w:tcPr>
          <w:p>
            <w:pPr>
              <w:pStyle w:val="TableContents"/>
              <w:bidi w:val="0"/>
              <w:spacing w:before="0" w:after="283"/>
              <w:jc w:val="left"/>
              <w:rPr/>
            </w:pPr>
            <w:r>
              <w:rPr/>
              <w:t> </w:t>
            </w:r>
          </w:p>
        </w:tc>
        <w:tc>
          <w:tcPr>
            <w:tcW w:w="60" w:type="dxa"/>
            <w:tcBorders>
              <w:bottom w:val="single" w:sz="12" w:space="0" w:color="4F81BD"/>
              <w:right w:val="single" w:sz="12" w:space="0" w:color="4F81BD"/>
            </w:tcBorders>
            <w:tcMar>
              <w:top w:w="0" w:type="dxa"/>
              <w:left w:w="0" w:type="dxa"/>
              <w:bottom w:w="28" w:type="dxa"/>
              <w:right w:w="28" w:type="dxa"/>
            </w:tcMar>
            <w:vAlign w:val="center"/>
          </w:tcPr>
          <w:p>
            <w:pPr>
              <w:pStyle w:val="TableContents"/>
              <w:bidi w:val="0"/>
              <w:spacing w:before="0" w:after="283"/>
              <w:jc w:val="left"/>
              <w:rPr/>
            </w:pPr>
            <w:r>
              <w:rPr/>
              <w:t> </w:t>
            </w:r>
          </w:p>
        </w:tc>
      </w:tr>
      <w:tr>
        <w:trPr/>
        <w:tc>
          <w:tcPr>
            <w:tcW w:w="60" w:type="dxa"/>
            <w:tcBorders>
              <w:top w:val="single" w:sz="12" w:space="0" w:color="000000"/>
              <w:left w:val="single" w:sz="12" w:space="0" w:color="4F81BD"/>
              <w:bottom w:val="single" w:sz="12" w:space="0" w:color="4F81BD"/>
            </w:tcBorders>
            <w:tcMar>
              <w:bottom w:w="28" w:type="dxa"/>
            </w:tcMar>
            <w:vAlign w:val="center"/>
          </w:tcPr>
          <w:p>
            <w:pPr>
              <w:pStyle w:val="TableContents"/>
              <w:bidi w:val="0"/>
              <w:spacing w:before="0" w:after="283"/>
              <w:jc w:val="left"/>
              <w:rPr/>
            </w:pPr>
            <w:r>
              <w:rPr/>
              <w:t> </w:t>
            </w:r>
          </w:p>
        </w:tc>
        <w:tc>
          <w:tcPr>
            <w:tcW w:w="1415" w:type="dxa"/>
            <w:tcBorders>
              <w:top w:val="single" w:sz="12" w:space="0" w:color="4F81BD"/>
              <w:bottom w:val="single" w:sz="12" w:space="0" w:color="4F81BD"/>
            </w:tcBorders>
            <w:tcMar>
              <w:left w:w="0" w:type="dxa"/>
              <w:bottom w:w="28" w:type="dxa"/>
            </w:tcMar>
            <w:vAlign w:val="center"/>
          </w:tcPr>
          <w:p>
            <w:pPr>
              <w:pStyle w:val="TableContents"/>
              <w:bidi w:val="0"/>
              <w:spacing w:before="0" w:after="0"/>
              <w:jc w:val="left"/>
              <w:rPr>
                <w:rFonts w:ascii="Times New Roman" w:hAnsi="Times New Roman"/>
                <w:b/>
                <w:sz w:val="20"/>
              </w:rPr>
            </w:pPr>
            <w:r>
              <w:rPr>
                <w:rFonts w:ascii="Times New Roman" w:hAnsi="Times New Roman"/>
                <w:b/>
                <w:sz w:val="20"/>
              </w:rPr>
              <w:t>EAD ROE</w:t>
            </w:r>
          </w:p>
        </w:tc>
        <w:tc>
          <w:tcPr>
            <w:tcW w:w="8670" w:type="dxa"/>
            <w:tcBorders>
              <w:top w:val="single" w:sz="12" w:space="0" w:color="000000"/>
              <w:bottom w:val="single" w:sz="12" w:space="0" w:color="4F81BD"/>
            </w:tcBorders>
            <w:tcMar>
              <w:left w:w="0" w:type="dxa"/>
              <w:bottom w:w="28" w:type="dxa"/>
            </w:tcMar>
            <w:vAlign w:val="center"/>
          </w:tcPr>
          <w:p>
            <w:pPr>
              <w:pStyle w:val="TableContents"/>
              <w:bidi w:val="0"/>
              <w:spacing w:before="0" w:after="0"/>
              <w:jc w:val="both"/>
              <w:rPr>
                <w:rFonts w:ascii="Times New Roman" w:hAnsi="Times New Roman"/>
                <w:sz w:val="20"/>
              </w:rPr>
            </w:pPr>
            <w:r>
              <w:rPr>
                <w:rFonts w:ascii="Times New Roman" w:hAnsi="Times New Roman"/>
                <w:sz w:val="20"/>
              </w:rPr>
              <w:t>EAD ROAE is computed as (i) the Company’s EAD to common shareholders, a non-GAAP measure, for the Performance Period divided by (ii) the Company’s Average Book Value per common share. Average Book Value represents the average of Book Value per common share across the four quarterly periods during the Performance Period.</w:t>
            </w:r>
          </w:p>
        </w:tc>
        <w:tc>
          <w:tcPr>
            <w:tcW w:w="60" w:type="dxa"/>
            <w:tcBorders>
              <w:top w:val="single" w:sz="12" w:space="0" w:color="000000"/>
              <w:bottom w:val="single" w:sz="12" w:space="0" w:color="4F81BD"/>
              <w:right w:val="single" w:sz="12" w:space="0" w:color="4F81BD"/>
            </w:tcBorders>
            <w:tcMar>
              <w:left w:w="0" w:type="dxa"/>
              <w:bottom w:w="28" w:type="dxa"/>
              <w:right w:w="28" w:type="dxa"/>
            </w:tcMar>
            <w:vAlign w:val="center"/>
          </w:tcPr>
          <w:p>
            <w:pPr>
              <w:pStyle w:val="TableContents"/>
              <w:bidi w:val="0"/>
              <w:spacing w:before="0" w:after="283"/>
              <w:jc w:val="left"/>
              <w:rPr/>
            </w:pPr>
            <w:r>
              <w:rPr/>
              <w:t> </w:t>
            </w:r>
          </w:p>
        </w:tc>
      </w:tr>
      <w:tr>
        <w:trPr/>
        <w:tc>
          <w:tcPr>
            <w:tcW w:w="60" w:type="dxa"/>
            <w:tcBorders>
              <w:left w:val="single" w:sz="12" w:space="0" w:color="4F81BD"/>
              <w:bottom w:val="single" w:sz="12" w:space="0" w:color="4F81BD"/>
            </w:tcBorders>
            <w:tcMar>
              <w:top w:w="0" w:type="dxa"/>
              <w:bottom w:w="28" w:type="dxa"/>
            </w:tcMar>
            <w:vAlign w:val="center"/>
          </w:tcPr>
          <w:p>
            <w:pPr>
              <w:pStyle w:val="TableContents"/>
              <w:bidi w:val="0"/>
              <w:spacing w:before="0" w:after="283"/>
              <w:jc w:val="left"/>
              <w:rPr/>
            </w:pPr>
            <w:r>
              <w:rPr/>
              <w:t> </w:t>
            </w:r>
          </w:p>
        </w:tc>
        <w:tc>
          <w:tcPr>
            <w:tcW w:w="1415" w:type="dxa"/>
            <w:tcBorders>
              <w:bottom w:val="single" w:sz="12" w:space="0" w:color="4F81BD"/>
            </w:tcBorders>
            <w:tcMar>
              <w:top w:w="0" w:type="dxa"/>
              <w:left w:w="0" w:type="dxa"/>
              <w:bottom w:w="28" w:type="dxa"/>
            </w:tcMar>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Relative </w:t>
            </w:r>
          </w:p>
          <w:p>
            <w:pPr>
              <w:pStyle w:val="TableContents"/>
              <w:bidi w:val="0"/>
              <w:spacing w:before="0" w:after="0"/>
              <w:jc w:val="left"/>
              <w:rPr>
                <w:rFonts w:ascii="Times New Roman" w:hAnsi="Times New Roman"/>
                <w:b/>
                <w:sz w:val="20"/>
              </w:rPr>
            </w:pPr>
            <w:r>
              <w:rPr>
                <w:rFonts w:ascii="Times New Roman" w:hAnsi="Times New Roman"/>
                <w:b/>
                <w:sz w:val="20"/>
              </w:rPr>
              <w:t>P/Tangible BV</w:t>
            </w:r>
          </w:p>
        </w:tc>
        <w:tc>
          <w:tcPr>
            <w:tcW w:w="8670" w:type="dxa"/>
            <w:tcBorders>
              <w:bottom w:val="single" w:sz="12" w:space="0" w:color="4F81BD"/>
            </w:tcBorders>
            <w:tcMar>
              <w:top w:w="0" w:type="dxa"/>
              <w:left w:w="0" w:type="dxa"/>
              <w:bottom w:w="28" w:type="dxa"/>
            </w:tcMar>
            <w:vAlign w:val="center"/>
          </w:tcPr>
          <w:p>
            <w:pPr>
              <w:pStyle w:val="TableContents"/>
              <w:bidi w:val="0"/>
              <w:spacing w:before="0" w:after="0"/>
              <w:jc w:val="both"/>
              <w:rPr>
                <w:rFonts w:ascii="Times New Roman" w:hAnsi="Times New Roman"/>
                <w:sz w:val="20"/>
              </w:rPr>
            </w:pPr>
            <w:r>
              <w:rPr>
                <w:rFonts w:ascii="Times New Roman" w:hAnsi="Times New Roman"/>
                <w:sz w:val="20"/>
              </w:rPr>
              <w:t>Share price is determined by calculating each participating company’s average share price as reported during the Performance Period (i.e., using share performance during the period of October 1, 2025 through September 30, 2026, and so on). Book value is determined by calculating each participating company’s average quarterly GAAP net tangible book value per share (as publicly reported by each such company) during the Performance Period.  This is then compared to each of the peer companies on a relative percentile basis.</w:t>
            </w:r>
          </w:p>
        </w:tc>
        <w:tc>
          <w:tcPr>
            <w:tcW w:w="60" w:type="dxa"/>
            <w:tcBorders>
              <w:bottom w:val="single" w:sz="12" w:space="0" w:color="4F81BD"/>
              <w:right w:val="single" w:sz="12" w:space="0" w:color="4F81BD"/>
            </w:tcBorders>
            <w:tcMar>
              <w:top w:w="0" w:type="dxa"/>
              <w:left w:w="0" w:type="dxa"/>
              <w:bottom w:w="28" w:type="dxa"/>
              <w:right w:w="28" w:type="dxa"/>
            </w:tcMar>
            <w:vAlign w:val="center"/>
          </w:tcPr>
          <w:p>
            <w:pPr>
              <w:pStyle w:val="TableContents"/>
              <w:bidi w:val="0"/>
              <w:spacing w:before="0" w:after="283"/>
              <w:jc w:val="left"/>
              <w:rPr/>
            </w:pPr>
            <w:r>
              <w:rPr/>
              <w:t> </w:t>
            </w:r>
          </w:p>
        </w:tc>
      </w:tr>
      <w:tr>
        <w:trPr/>
        <w:tc>
          <w:tcPr>
            <w:tcW w:w="60" w:type="dxa"/>
            <w:tcBorders>
              <w:left w:val="single" w:sz="12" w:space="0" w:color="4F81BD"/>
            </w:tcBorders>
            <w:tcMar>
              <w:top w:w="0" w:type="dxa"/>
            </w:tcMar>
            <w:vAlign w:val="center"/>
          </w:tcPr>
          <w:p>
            <w:pPr>
              <w:pStyle w:val="TableContents"/>
              <w:bidi w:val="0"/>
              <w:spacing w:before="0" w:after="283"/>
              <w:jc w:val="left"/>
              <w:rPr/>
            </w:pPr>
            <w:r>
              <w:rPr/>
              <w:t> </w:t>
            </w:r>
          </w:p>
        </w:tc>
        <w:tc>
          <w:tcPr>
            <w:tcW w:w="10085" w:type="dxa"/>
            <w:gridSpan w:val="2"/>
            <w:tcBorders/>
            <w:tcMar>
              <w:top w:w="0" w:type="dxa"/>
              <w:left w:w="0" w:type="dxa"/>
            </w:tcMar>
            <w:vAlign w:val="center"/>
          </w:tcPr>
          <w:p>
            <w:pPr>
              <w:pStyle w:val="TableContents"/>
              <w:bidi w:val="0"/>
              <w:spacing w:before="0" w:after="283"/>
              <w:jc w:val="left"/>
              <w:rPr/>
            </w:pPr>
            <w:r>
              <w:rPr/>
              <w:t> </w:t>
            </w:r>
          </w:p>
        </w:tc>
        <w:tc>
          <w:tcPr>
            <w:tcW w:w="60" w:type="dxa"/>
            <w:tcBorders>
              <w:right w:val="single" w:sz="12" w:space="0" w:color="4F81BD"/>
            </w:tcBorders>
            <w:tcMar>
              <w:top w:w="0" w:type="dxa"/>
              <w:left w:w="0" w:type="dxa"/>
              <w:right w:w="28" w:type="dxa"/>
            </w:tcMar>
            <w:vAlign w:val="center"/>
          </w:tcPr>
          <w:p>
            <w:pPr>
              <w:pStyle w:val="TableContents"/>
              <w:bidi w:val="0"/>
              <w:spacing w:before="0" w:after="283"/>
              <w:jc w:val="left"/>
              <w:rPr/>
            </w:pPr>
            <w:r>
              <w:rPr/>
              <w:t> </w:t>
            </w:r>
          </w:p>
        </w:tc>
      </w:tr>
      <w:tr>
        <w:trPr/>
        <w:tc>
          <w:tcPr>
            <w:tcW w:w="60" w:type="dxa"/>
            <w:tcBorders>
              <w:left w:val="single" w:sz="12" w:space="0" w:color="4F81BD"/>
            </w:tcBorders>
            <w:tcMar>
              <w:top w:w="0" w:type="dxa"/>
            </w:tcMar>
            <w:vAlign w:val="center"/>
          </w:tcPr>
          <w:p>
            <w:pPr>
              <w:pStyle w:val="TableContents"/>
              <w:bidi w:val="0"/>
              <w:spacing w:before="0" w:after="283"/>
              <w:jc w:val="left"/>
              <w:rPr/>
            </w:pPr>
            <w:r>
              <w:rPr/>
              <w:t> </w:t>
            </w:r>
          </w:p>
        </w:tc>
        <w:tc>
          <w:tcPr>
            <w:tcW w:w="10085" w:type="dxa"/>
            <w:gridSpan w:val="2"/>
            <w:tcBorders/>
            <w:tcMar>
              <w:top w:w="0" w:type="dxa"/>
              <w:left w:w="0" w:type="dxa"/>
            </w:tcMar>
            <w:vAlign w:val="center"/>
          </w:tcPr>
          <w:p>
            <w:pPr>
              <w:pStyle w:val="TableContents"/>
              <w:bidi w:val="0"/>
              <w:spacing w:before="0" w:after="0"/>
              <w:jc w:val="both"/>
              <w:rPr>
                <w:rFonts w:ascii="Times New Roman" w:hAnsi="Times New Roman"/>
                <w:b/>
                <w:i/>
                <w:sz w:val="20"/>
              </w:rPr>
            </w:pPr>
            <w:r>
              <w:rPr>
                <w:rFonts w:ascii="Times New Roman" w:hAnsi="Times New Roman"/>
                <w:b/>
                <w:i/>
                <w:sz w:val="20"/>
              </w:rPr>
              <w:t>Long-Term Incentive Program</w:t>
            </w:r>
          </w:p>
        </w:tc>
        <w:tc>
          <w:tcPr>
            <w:tcW w:w="60" w:type="dxa"/>
            <w:tcBorders>
              <w:right w:val="single" w:sz="12" w:space="0" w:color="4F81BD"/>
            </w:tcBorders>
            <w:tcMar>
              <w:top w:w="0" w:type="dxa"/>
              <w:left w:w="0" w:type="dxa"/>
              <w:right w:w="28" w:type="dxa"/>
            </w:tcMar>
            <w:vAlign w:val="center"/>
          </w:tcPr>
          <w:p>
            <w:pPr>
              <w:pStyle w:val="TableContents"/>
              <w:bidi w:val="0"/>
              <w:spacing w:before="0" w:after="283"/>
              <w:jc w:val="left"/>
              <w:rPr/>
            </w:pPr>
            <w:r>
              <w:rPr/>
              <w:t> </w:t>
            </w:r>
          </w:p>
        </w:tc>
      </w:tr>
      <w:tr>
        <w:trPr/>
        <w:tc>
          <w:tcPr>
            <w:tcW w:w="60" w:type="dxa"/>
            <w:tcBorders>
              <w:left w:val="single" w:sz="12" w:space="0" w:color="4F81BD"/>
              <w:bottom w:val="single" w:sz="12" w:space="0" w:color="4F81BD"/>
            </w:tcBorders>
            <w:tcMar>
              <w:top w:w="0" w:type="dxa"/>
              <w:bottom w:w="28" w:type="dxa"/>
            </w:tcMar>
            <w:vAlign w:val="center"/>
          </w:tcPr>
          <w:p>
            <w:pPr>
              <w:pStyle w:val="TableContents"/>
              <w:bidi w:val="0"/>
              <w:spacing w:before="0" w:after="283"/>
              <w:jc w:val="left"/>
              <w:rPr/>
            </w:pPr>
            <w:r>
              <w:rPr/>
              <w:t> </w:t>
            </w:r>
          </w:p>
        </w:tc>
        <w:tc>
          <w:tcPr>
            <w:tcW w:w="10085" w:type="dxa"/>
            <w:gridSpan w:val="2"/>
            <w:tcBorders>
              <w:bottom w:val="single" w:sz="12" w:space="0" w:color="4F81BD"/>
            </w:tcBorders>
            <w:tcMar>
              <w:top w:w="0" w:type="dxa"/>
              <w:left w:w="0" w:type="dxa"/>
              <w:bottom w:w="28" w:type="dxa"/>
            </w:tcMar>
            <w:vAlign w:val="center"/>
          </w:tcPr>
          <w:p>
            <w:pPr>
              <w:pStyle w:val="TableContents"/>
              <w:bidi w:val="0"/>
              <w:spacing w:before="0" w:after="283"/>
              <w:jc w:val="left"/>
              <w:rPr/>
            </w:pPr>
            <w:r>
              <w:rPr/>
              <w:t> </w:t>
            </w:r>
          </w:p>
        </w:tc>
        <w:tc>
          <w:tcPr>
            <w:tcW w:w="60" w:type="dxa"/>
            <w:tcBorders>
              <w:bottom w:val="single" w:sz="12" w:space="0" w:color="4F81BD"/>
              <w:right w:val="single" w:sz="12" w:space="0" w:color="4F81BD"/>
            </w:tcBorders>
            <w:tcMar>
              <w:top w:w="0" w:type="dxa"/>
              <w:left w:w="0" w:type="dxa"/>
              <w:bottom w:w="28" w:type="dxa"/>
              <w:right w:w="28" w:type="dxa"/>
            </w:tcMar>
            <w:vAlign w:val="center"/>
          </w:tcPr>
          <w:p>
            <w:pPr>
              <w:pStyle w:val="TableContents"/>
              <w:bidi w:val="0"/>
              <w:spacing w:before="0" w:after="283"/>
              <w:jc w:val="left"/>
              <w:rPr/>
            </w:pPr>
            <w:r>
              <w:rPr/>
              <w:t> </w:t>
            </w:r>
          </w:p>
        </w:tc>
      </w:tr>
      <w:tr>
        <w:trPr/>
        <w:tc>
          <w:tcPr>
            <w:tcW w:w="60" w:type="dxa"/>
            <w:tcBorders>
              <w:top w:val="single" w:sz="12" w:space="0" w:color="4F81BD"/>
              <w:left w:val="single" w:sz="12" w:space="0" w:color="4F81BD"/>
              <w:bottom w:val="single" w:sz="12" w:space="0" w:color="4F81BD"/>
            </w:tcBorders>
            <w:tcMar>
              <w:bottom w:w="28" w:type="dxa"/>
            </w:tcMar>
            <w:vAlign w:val="center"/>
          </w:tcPr>
          <w:p>
            <w:pPr>
              <w:pStyle w:val="TableContents"/>
              <w:bidi w:val="0"/>
              <w:spacing w:before="0" w:after="283"/>
              <w:jc w:val="left"/>
              <w:rPr/>
            </w:pPr>
            <w:r>
              <w:rPr/>
              <w:t> </w:t>
            </w:r>
          </w:p>
        </w:tc>
        <w:tc>
          <w:tcPr>
            <w:tcW w:w="1415" w:type="dxa"/>
            <w:tcBorders>
              <w:bottom w:val="single" w:sz="12" w:space="0" w:color="4F81BD"/>
            </w:tcBorders>
            <w:tcMar>
              <w:top w:w="0" w:type="dxa"/>
              <w:left w:w="0" w:type="dxa"/>
              <w:bottom w:w="28" w:type="dxa"/>
            </w:tcMar>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Absolute Total </w:t>
            </w:r>
          </w:p>
          <w:p>
            <w:pPr>
              <w:pStyle w:val="TableContents"/>
              <w:bidi w:val="0"/>
              <w:spacing w:before="0" w:after="0"/>
              <w:jc w:val="left"/>
              <w:rPr>
                <w:rFonts w:ascii="Times New Roman" w:hAnsi="Times New Roman"/>
                <w:b/>
                <w:sz w:val="20"/>
              </w:rPr>
            </w:pPr>
            <w:r>
              <w:rPr>
                <w:rFonts w:ascii="Times New Roman" w:hAnsi="Times New Roman"/>
                <w:b/>
                <w:sz w:val="20"/>
              </w:rPr>
              <w:t xml:space="preserve">Shareholder </w:t>
            </w:r>
          </w:p>
          <w:p>
            <w:pPr>
              <w:pStyle w:val="TableContents"/>
              <w:bidi w:val="0"/>
              <w:spacing w:before="0" w:after="0"/>
              <w:jc w:val="left"/>
              <w:rPr>
                <w:rFonts w:ascii="Times New Roman" w:hAnsi="Times New Roman"/>
                <w:b/>
                <w:sz w:val="20"/>
              </w:rPr>
            </w:pPr>
            <w:r>
              <w:rPr>
                <w:rFonts w:ascii="Times New Roman" w:hAnsi="Times New Roman"/>
                <w:b/>
                <w:sz w:val="20"/>
              </w:rPr>
              <w:t>Return (TSR)</w:t>
            </w:r>
          </w:p>
        </w:tc>
        <w:tc>
          <w:tcPr>
            <w:tcW w:w="8670" w:type="dxa"/>
            <w:tcBorders>
              <w:bottom w:val="single" w:sz="12" w:space="0" w:color="4F81BD"/>
            </w:tcBorders>
            <w:tcMar>
              <w:top w:w="0" w:type="dxa"/>
              <w:left w:w="0" w:type="dxa"/>
              <w:bottom w:w="28" w:type="dxa"/>
            </w:tcMar>
            <w:vAlign w:val="center"/>
          </w:tcPr>
          <w:p>
            <w:pPr>
              <w:pStyle w:val="TableContents"/>
              <w:bidi w:val="0"/>
              <w:spacing w:before="0" w:after="0"/>
              <w:jc w:val="both"/>
              <w:rPr/>
            </w:pPr>
            <w:r>
              <w:rPr/>
              <w:t>“</w:t>
            </w:r>
            <w:r>
              <w:rPr>
                <w:rFonts w:ascii="Times New Roman" w:hAnsi="Times New Roman"/>
                <w:sz w:val="20"/>
              </w:rPr>
              <w:t>TSR” means for the common stock of the applicable company (both CHMI and then in calculating for the peers under the relative TSR metric), the total shareholder return (share price appreciation/depreciation during the applicable Performance Period plus the value attributable to reinvested dividends paid on the shares during the applicable Performance Period). The TSR shall be expressed as a percentage and calculated on a compounded, annualized basis. The calculation of TSR will be based on the average closing price of the shares for the twenty trading days immediately preceding the first day of the performance period and the average closing price of the shares for the twenty trading days immediately preceding the last day of the applicable performance period. The TSR will be calculated assuming that cash dividends (including extraordinary cash dividends) paid on the shares are reinvested in additional shares on the ex-dividend date and that any securities distributed to shareholders in a spinoff transaction are sold and the proceeds reinvested in additional shares on the ex-dividend date.</w:t>
            </w:r>
          </w:p>
        </w:tc>
        <w:tc>
          <w:tcPr>
            <w:tcW w:w="60" w:type="dxa"/>
            <w:tcBorders>
              <w:bottom w:val="single" w:sz="12" w:space="0" w:color="4F81BD"/>
              <w:right w:val="single" w:sz="12" w:space="0" w:color="4F81BD"/>
            </w:tcBorders>
            <w:tcMar>
              <w:top w:w="0" w:type="dxa"/>
              <w:left w:w="0" w:type="dxa"/>
              <w:bottom w:w="28" w:type="dxa"/>
              <w:right w:w="28" w:type="dxa"/>
            </w:tcMar>
            <w:vAlign w:val="center"/>
          </w:tcPr>
          <w:p>
            <w:pPr>
              <w:pStyle w:val="TableContents"/>
              <w:bidi w:val="0"/>
              <w:spacing w:before="0" w:after="283"/>
              <w:jc w:val="left"/>
              <w:rPr/>
            </w:pPr>
            <w:r>
              <w:rPr/>
              <w:t> </w:t>
            </w:r>
          </w:p>
        </w:tc>
      </w:tr>
      <w:tr>
        <w:trPr/>
        <w:tc>
          <w:tcPr>
            <w:tcW w:w="60" w:type="dxa"/>
            <w:tcBorders>
              <w:left w:val="single" w:sz="12" w:space="0" w:color="4F81BD"/>
              <w:bottom w:val="single" w:sz="12" w:space="0" w:color="4F81BD"/>
            </w:tcBorders>
            <w:tcMar>
              <w:top w:w="0" w:type="dxa"/>
              <w:bottom w:w="28" w:type="dxa"/>
            </w:tcMar>
            <w:vAlign w:val="center"/>
          </w:tcPr>
          <w:p>
            <w:pPr>
              <w:pStyle w:val="TableContents"/>
              <w:bidi w:val="0"/>
              <w:spacing w:before="0" w:after="283"/>
              <w:jc w:val="left"/>
              <w:rPr/>
            </w:pPr>
            <w:r>
              <w:rPr/>
              <w:t> </w:t>
            </w:r>
          </w:p>
        </w:tc>
        <w:tc>
          <w:tcPr>
            <w:tcW w:w="1415" w:type="dxa"/>
            <w:tcBorders>
              <w:bottom w:val="single" w:sz="12" w:space="0" w:color="4F81BD"/>
            </w:tcBorders>
            <w:tcMar>
              <w:top w:w="0" w:type="dxa"/>
              <w:left w:w="0" w:type="dxa"/>
              <w:bottom w:w="28" w:type="dxa"/>
            </w:tcMar>
            <w:vAlign w:val="center"/>
          </w:tcPr>
          <w:p>
            <w:pPr>
              <w:pStyle w:val="TableContents"/>
              <w:bidi w:val="0"/>
              <w:spacing w:before="0" w:after="0"/>
              <w:jc w:val="left"/>
              <w:rPr>
                <w:rFonts w:ascii="Times New Roman" w:hAnsi="Times New Roman"/>
                <w:b/>
                <w:sz w:val="20"/>
              </w:rPr>
            </w:pPr>
            <w:r>
              <w:rPr>
                <w:rFonts w:ascii="Times New Roman" w:hAnsi="Times New Roman"/>
                <w:b/>
                <w:sz w:val="20"/>
              </w:rPr>
              <w:t>Relative TSR vs.</w:t>
            </w:r>
          </w:p>
          <w:p>
            <w:pPr>
              <w:pStyle w:val="TableContents"/>
              <w:bidi w:val="0"/>
              <w:spacing w:before="0" w:after="0"/>
              <w:jc w:val="left"/>
              <w:rPr>
                <w:rFonts w:ascii="Times New Roman" w:hAnsi="Times New Roman"/>
                <w:b/>
                <w:sz w:val="20"/>
              </w:rPr>
            </w:pPr>
            <w:r>
              <w:rPr>
                <w:rFonts w:ascii="Times New Roman" w:hAnsi="Times New Roman"/>
                <w:b/>
                <w:sz w:val="20"/>
              </w:rPr>
              <w:t xml:space="preserve">Performance </w:t>
            </w:r>
          </w:p>
          <w:p>
            <w:pPr>
              <w:pStyle w:val="TableContents"/>
              <w:bidi w:val="0"/>
              <w:spacing w:before="0" w:after="0"/>
              <w:jc w:val="left"/>
              <w:rPr>
                <w:rFonts w:ascii="Times New Roman" w:hAnsi="Times New Roman"/>
                <w:b/>
                <w:sz w:val="20"/>
              </w:rPr>
            </w:pPr>
            <w:r>
              <w:rPr>
                <w:rFonts w:ascii="Times New Roman" w:hAnsi="Times New Roman"/>
                <w:b/>
                <w:sz w:val="20"/>
              </w:rPr>
              <w:t>Peers</w:t>
            </w:r>
          </w:p>
        </w:tc>
        <w:tc>
          <w:tcPr>
            <w:tcW w:w="8670" w:type="dxa"/>
            <w:tcBorders>
              <w:bottom w:val="single" w:sz="12" w:space="0" w:color="4F81BD"/>
            </w:tcBorders>
            <w:tcMar>
              <w:top w:w="0" w:type="dxa"/>
              <w:left w:w="0" w:type="dxa"/>
              <w:bottom w:w="28" w:type="dxa"/>
            </w:tcMar>
            <w:vAlign w:val="center"/>
          </w:tcPr>
          <w:p>
            <w:pPr>
              <w:pStyle w:val="TableContents"/>
              <w:bidi w:val="0"/>
              <w:spacing w:before="0" w:after="0"/>
              <w:jc w:val="both"/>
              <w:rPr>
                <w:rFonts w:ascii="Times New Roman" w:hAnsi="Times New Roman"/>
                <w:sz w:val="20"/>
              </w:rPr>
            </w:pPr>
            <w:r>
              <w:rPr>
                <w:rFonts w:ascii="Times New Roman" w:hAnsi="Times New Roman"/>
                <w:sz w:val="20"/>
              </w:rPr>
              <w:t>TSR of each of the performance peers over the performance period shall be calculated using the methodologies analogous in all material respects to those used for the calculation of CHMI's TSR as described above to provide a fair comparison of TSRs, and as is the case with CHMI, the Compensation Committee shall make equitable adjustments to the TSR of such performance peers to take into account any extraordinary, unusual or non-recurring corporate events affecting such performance peers, such as spin-offs, stock splits, reverse splits, special dividends, recapitalizations, reclassifications and similar events.  The Compensation Committee has discretion in how the required adjustments are determined as long as they are done equitably.</w:t>
            </w:r>
          </w:p>
          <w:p>
            <w:pPr>
              <w:pStyle w:val="TableContents"/>
              <w:bidi w:val="0"/>
              <w:spacing w:before="0" w:after="0"/>
              <w:jc w:val="left"/>
              <w:rPr/>
            </w:pPr>
            <w:r>
              <w:rPr/>
              <w:t> </w:t>
            </w:r>
          </w:p>
          <w:p>
            <w:pPr>
              <w:pStyle w:val="TableContents"/>
              <w:bidi w:val="0"/>
              <w:spacing w:before="0" w:after="0"/>
              <w:jc w:val="both"/>
              <w:rPr>
                <w:rFonts w:ascii="Times New Roman" w:hAnsi="Times New Roman"/>
                <w:sz w:val="20"/>
              </w:rPr>
            </w:pPr>
            <w:r>
              <w:rPr>
                <w:rFonts w:ascii="Times New Roman" w:hAnsi="Times New Roman"/>
                <w:sz w:val="20"/>
              </w:rPr>
              <w:t>CHMI's TSR shall be compared to the TSR of each of the performance peers on a relative percentile ranking basis using the Continuous Percentile Ranking Method (i.e., the subject company is excluded from the calculation of percentile rank for the peers).</w:t>
            </w:r>
          </w:p>
        </w:tc>
        <w:tc>
          <w:tcPr>
            <w:tcW w:w="60" w:type="dxa"/>
            <w:tcBorders>
              <w:bottom w:val="single" w:sz="12" w:space="0" w:color="4F81BD"/>
              <w:right w:val="single" w:sz="12" w:space="0" w:color="4F81BD"/>
            </w:tcBorders>
            <w:tcMar>
              <w:top w:w="0" w:type="dxa"/>
              <w:left w:w="0" w:type="dxa"/>
              <w:bottom w:w="28" w:type="dxa"/>
              <w:right w:w="28" w:type="dxa"/>
            </w:tcMar>
            <w:vAlign w:val="center"/>
          </w:tcPr>
          <w:p>
            <w:pPr>
              <w:pStyle w:val="TableContents"/>
              <w:bidi w:val="0"/>
              <w:spacing w:before="0" w:after="283"/>
              <w:jc w:val="left"/>
              <w:rPr/>
            </w:pPr>
            <w:r>
              <w:rPr/>
              <w:t> </w:t>
            </w:r>
          </w:p>
        </w:tc>
      </w:tr>
    </w:tbl>
    <w:p>
      <w:pPr>
        <w:pStyle w:val="TextBody"/>
        <w:bidi w:val="0"/>
        <w:spacing w:before="0" w:after="0"/>
        <w:jc w:val="left"/>
        <w:rPr>
          <w:sz w:val="20"/>
        </w:rPr>
      </w:pPr>
      <w:r>
        <w:rPr>
          <w:sz w:val="20"/>
        </w:rPr>
      </w:r>
    </w:p>
    <w:tbl>
      <w:tblPr>
        <w:tblW w:w="223" w:type="dxa"/>
        <w:jc w:val="left"/>
        <w:tblInd w:w="0" w:type="dxa"/>
        <w:tblLayout w:type="fixed"/>
        <w:tblCellMar>
          <w:top w:w="28" w:type="dxa"/>
          <w:left w:w="0" w:type="dxa"/>
          <w:bottom w:w="0" w:type="dxa"/>
          <w:right w:w="0" w:type="dxa"/>
        </w:tblCellMar>
      </w:tblPr>
      <w:tblGrid>
        <w:gridCol w:w="140"/>
        <w:gridCol w:w="60"/>
        <w:gridCol w:w="23"/>
      </w:tblGrid>
      <w:tr>
        <w:trPr/>
        <w:tc>
          <w:tcPr>
            <w:tcW w:w="140" w:type="dxa"/>
            <w:tcBorders>
              <w:top w:val="single" w:sz="12" w:space="0" w:color="000000"/>
            </w:tcBorders>
            <w:vAlign w:val="center"/>
          </w:tcPr>
          <w:p>
            <w:pPr>
              <w:pStyle w:val="TableContents"/>
              <w:bidi w:val="0"/>
              <w:spacing w:before="0" w:after="283"/>
              <w:jc w:val="right"/>
              <w:rPr>
                <w:b/>
                <w:color w:val="4F81BD"/>
              </w:rPr>
            </w:pPr>
            <w:r>
              <w:rPr>
                <w:b/>
                <w:color w:val="4F81BD"/>
              </w:rPr>
              <w:t>8</w:t>
            </w:r>
          </w:p>
        </w:tc>
        <w:tc>
          <w:tcPr>
            <w:tcW w:w="60" w:type="dxa"/>
            <w:tcBorders>
              <w:top w:val="single" w:sz="12" w:space="0" w:color="000000"/>
            </w:tcBorders>
            <w:vAlign w:val="center"/>
          </w:tcPr>
          <w:p>
            <w:pPr>
              <w:pStyle w:val="TableContents"/>
              <w:bidi w:val="0"/>
              <w:spacing w:before="0" w:after="283"/>
              <w:jc w:val="right"/>
              <w:rPr>
                <w:color w:val="4F81BD"/>
              </w:rPr>
            </w:pPr>
            <w:r>
              <w:rPr>
                <w:color w:val="4F81BD"/>
              </w:rPr>
              <w:t> </w:t>
            </w:r>
          </w:p>
        </w:tc>
        <w:tc>
          <w:tcPr>
            <w:tcW w:w="23" w:type="dxa"/>
            <w:tcBorders>
              <w:top w:val="single" w:sz="12" w:space="0" w:color="000000"/>
              <w:left w:val="single" w:sz="12" w:space="0" w:color="000000"/>
            </w:tcBorders>
            <w:tcMar>
              <w:left w:w="28" w:type="dxa"/>
            </w:tcMar>
            <w:vAlign w:val="center"/>
          </w:tcPr>
          <w:p>
            <w:pPr>
              <w:pStyle w:val="TableContents"/>
              <w:bidi w:val="0"/>
              <w:spacing w:before="0" w:after="283"/>
              <w:jc w:val="left"/>
              <w:rPr/>
            </w:pPr>
            <w:r>
              <w:rPr/>
            </w:r>
          </w:p>
        </w:tc>
      </w:tr>
    </w:tbl>
    <w:p>
      <w:pPr>
        <w:pStyle w:val="HorizontalLine"/>
        <w:pBdr>
          <w:bottom w:val="single" w:sz="12" w:space="0" w:color="808080"/>
        </w:pBdr>
        <w:bidi w:val="0"/>
        <w:spacing w:before="200" w:after="200"/>
        <w:jc w:val="left"/>
        <w:rPr/>
      </w:pPr>
      <w:r>
        <w:rPr/>
      </w:r>
    </w:p>
    <w:p>
      <w:pPr>
        <w:pStyle w:val="TextBody"/>
        <w:bidi w:val="0"/>
        <w:spacing w:before="0" w:after="0"/>
        <w:jc w:val="both"/>
        <w:rPr>
          <w:rFonts w:ascii="Times New Roman" w:hAnsi="Times New Roman"/>
          <w:i/>
          <w:color w:val="4F81BD"/>
          <w:sz w:val="20"/>
        </w:rPr>
      </w:pPr>
      <w:r>
        <w:rPr>
          <w:rFonts w:ascii="Times New Roman" w:hAnsi="Times New Roman"/>
          <w:i/>
          <w:color w:val="4F81BD"/>
          <w:sz w:val="20"/>
        </w:rPr>
        <w:t>Compensation Peer Group</w:t>
      </w:r>
    </w:p>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86" w:name="zd6402641df7041cca25b5c37cffd2318"/>
      <w:bookmarkStart w:id="87" w:name="zd6402641df7041cca25b5c37cffd2318"/>
      <w:bookmarkEnd w:id="87"/>
    </w:p>
    <w:tbl>
      <w:tblPr>
        <w:tblW w:w="3140" w:type="dxa"/>
        <w:jc w:val="left"/>
        <w:tblInd w:w="0" w:type="dxa"/>
        <w:tblLayout w:type="fixed"/>
        <w:tblCellMar>
          <w:top w:w="0" w:type="dxa"/>
          <w:left w:w="0" w:type="dxa"/>
          <w:bottom w:w="0" w:type="dxa"/>
          <w:right w:w="0" w:type="dxa"/>
        </w:tblCellMar>
      </w:tblPr>
      <w:tblGrid>
        <w:gridCol w:w="3140"/>
      </w:tblGrid>
      <w:tr>
        <w:trPr/>
        <w:tc>
          <w:tcPr>
            <w:tcW w:w="3140" w:type="dxa"/>
            <w:tcBorders/>
            <w:vAlign w:val="center"/>
          </w:tcPr>
          <w:p>
            <w:pPr>
              <w:pStyle w:val="TableContents"/>
              <w:bidi w:val="0"/>
              <w:spacing w:before="0" w:after="0"/>
              <w:jc w:val="left"/>
              <w:rPr>
                <w:rFonts w:ascii="Times New Roman" w:hAnsi="Times New Roman"/>
                <w:b/>
                <w:sz w:val="20"/>
                <w:u w:val="single"/>
              </w:rPr>
            </w:pPr>
            <w:r>
              <w:rPr>
                <w:rFonts w:ascii="Times New Roman" w:hAnsi="Times New Roman"/>
                <w:b/>
                <w:sz w:val="20"/>
                <w:u w:val="single"/>
              </w:rPr>
              <w:t>Company</w:t>
            </w:r>
          </w:p>
        </w:tc>
      </w:tr>
      <w:tr>
        <w:trPr/>
        <w:tc>
          <w:tcPr>
            <w:tcW w:w="3140" w:type="dxa"/>
            <w:tcBorders/>
            <w:vAlign w:val="center"/>
          </w:tcPr>
          <w:p>
            <w:pPr>
              <w:pStyle w:val="TableContents"/>
              <w:bidi w:val="0"/>
              <w:spacing w:before="0" w:after="0"/>
              <w:jc w:val="both"/>
              <w:rPr>
                <w:rFonts w:ascii="Times New Roman" w:hAnsi="Times New Roman"/>
                <w:color w:val="4A4A4A"/>
                <w:sz w:val="20"/>
              </w:rPr>
            </w:pPr>
            <w:r>
              <w:rPr>
                <w:rFonts w:ascii="Times New Roman" w:hAnsi="Times New Roman"/>
                <w:color w:val="4A4A4A"/>
                <w:sz w:val="20"/>
              </w:rPr>
              <w:t>BrightSpire Capital, Inc.</w:t>
            </w:r>
          </w:p>
        </w:tc>
      </w:tr>
      <w:tr>
        <w:trPr/>
        <w:tc>
          <w:tcPr>
            <w:tcW w:w="3140" w:type="dxa"/>
            <w:tcBorders/>
            <w:shd w:fill="D9D9D9" w:val="clear"/>
            <w:vAlign w:val="center"/>
          </w:tcPr>
          <w:p>
            <w:pPr>
              <w:pStyle w:val="TableContents"/>
              <w:bidi w:val="0"/>
              <w:spacing w:before="0" w:after="0"/>
              <w:jc w:val="both"/>
              <w:rPr>
                <w:rFonts w:ascii="Times New Roman" w:hAnsi="Times New Roman"/>
                <w:color w:val="4A4A4A"/>
                <w:sz w:val="20"/>
              </w:rPr>
            </w:pPr>
            <w:r>
              <w:rPr>
                <w:rFonts w:ascii="Times New Roman" w:hAnsi="Times New Roman"/>
                <w:color w:val="4A4A4A"/>
                <w:sz w:val="20"/>
              </w:rPr>
              <w:t>Chimera Investment Corporation</w:t>
            </w:r>
          </w:p>
        </w:tc>
      </w:tr>
      <w:tr>
        <w:trPr/>
        <w:tc>
          <w:tcPr>
            <w:tcW w:w="3140" w:type="dxa"/>
            <w:tcBorders/>
            <w:vAlign w:val="center"/>
          </w:tcPr>
          <w:p>
            <w:pPr>
              <w:pStyle w:val="TableContents"/>
              <w:bidi w:val="0"/>
              <w:spacing w:before="0" w:after="0"/>
              <w:jc w:val="both"/>
              <w:rPr>
                <w:rFonts w:ascii="Times New Roman" w:hAnsi="Times New Roman"/>
                <w:color w:val="4A4A4A"/>
                <w:sz w:val="20"/>
              </w:rPr>
            </w:pPr>
            <w:r>
              <w:rPr>
                <w:rFonts w:ascii="Times New Roman" w:hAnsi="Times New Roman"/>
                <w:color w:val="4A4A4A"/>
                <w:sz w:val="20"/>
              </w:rPr>
              <w:t>Dynex Capital, Inc.</w:t>
            </w:r>
          </w:p>
        </w:tc>
      </w:tr>
      <w:tr>
        <w:trPr/>
        <w:tc>
          <w:tcPr>
            <w:tcW w:w="3140" w:type="dxa"/>
            <w:tcBorders/>
            <w:shd w:fill="D9D9D9" w:val="clear"/>
            <w:vAlign w:val="center"/>
          </w:tcPr>
          <w:p>
            <w:pPr>
              <w:pStyle w:val="TableContents"/>
              <w:bidi w:val="0"/>
              <w:spacing w:before="0" w:after="0"/>
              <w:jc w:val="both"/>
              <w:rPr>
                <w:rFonts w:ascii="Times New Roman" w:hAnsi="Times New Roman"/>
                <w:color w:val="4A4A4A"/>
                <w:sz w:val="20"/>
              </w:rPr>
            </w:pPr>
            <w:r>
              <w:rPr>
                <w:rFonts w:ascii="Times New Roman" w:hAnsi="Times New Roman"/>
                <w:color w:val="4A4A4A"/>
                <w:sz w:val="20"/>
              </w:rPr>
              <w:t>Granite Point Mortgage Trust Inc.</w:t>
            </w:r>
          </w:p>
        </w:tc>
      </w:tr>
      <w:tr>
        <w:trPr/>
        <w:tc>
          <w:tcPr>
            <w:tcW w:w="3140" w:type="dxa"/>
            <w:tcBorders/>
            <w:vAlign w:val="center"/>
          </w:tcPr>
          <w:p>
            <w:pPr>
              <w:pStyle w:val="TableContents"/>
              <w:bidi w:val="0"/>
              <w:spacing w:before="0" w:after="0"/>
              <w:jc w:val="both"/>
              <w:rPr>
                <w:rFonts w:ascii="Times New Roman" w:hAnsi="Times New Roman"/>
                <w:color w:val="4A4A4A"/>
                <w:sz w:val="20"/>
              </w:rPr>
            </w:pPr>
            <w:r>
              <w:rPr>
                <w:rFonts w:ascii="Times New Roman" w:hAnsi="Times New Roman"/>
                <w:color w:val="4A4A4A"/>
                <w:sz w:val="20"/>
              </w:rPr>
              <w:t>Manhattan Bridge Capital, Inc.</w:t>
            </w:r>
          </w:p>
        </w:tc>
      </w:tr>
      <w:tr>
        <w:trPr/>
        <w:tc>
          <w:tcPr>
            <w:tcW w:w="3140" w:type="dxa"/>
            <w:tcBorders/>
            <w:shd w:fill="D9D9D9" w:val="clear"/>
            <w:vAlign w:val="center"/>
          </w:tcPr>
          <w:p>
            <w:pPr>
              <w:pStyle w:val="TableContents"/>
              <w:bidi w:val="0"/>
              <w:spacing w:before="0" w:after="0"/>
              <w:jc w:val="both"/>
              <w:rPr>
                <w:rFonts w:ascii="Times New Roman" w:hAnsi="Times New Roman"/>
                <w:color w:val="4A4A4A"/>
                <w:sz w:val="20"/>
              </w:rPr>
            </w:pPr>
            <w:r>
              <w:rPr>
                <w:rFonts w:ascii="Times New Roman" w:hAnsi="Times New Roman"/>
                <w:color w:val="4A4A4A"/>
                <w:sz w:val="20"/>
              </w:rPr>
              <w:t>MFA Financial, Inc.</w:t>
            </w:r>
          </w:p>
        </w:tc>
      </w:tr>
      <w:tr>
        <w:trPr/>
        <w:tc>
          <w:tcPr>
            <w:tcW w:w="3140" w:type="dxa"/>
            <w:tcBorders/>
            <w:vAlign w:val="center"/>
          </w:tcPr>
          <w:p>
            <w:pPr>
              <w:pStyle w:val="TableContents"/>
              <w:bidi w:val="0"/>
              <w:spacing w:before="0" w:after="0"/>
              <w:jc w:val="both"/>
              <w:rPr>
                <w:rFonts w:ascii="Times New Roman" w:hAnsi="Times New Roman"/>
                <w:color w:val="4A4A4A"/>
                <w:sz w:val="20"/>
              </w:rPr>
            </w:pPr>
            <w:r>
              <w:rPr>
                <w:rFonts w:ascii="Times New Roman" w:hAnsi="Times New Roman"/>
                <w:color w:val="4A4A4A"/>
                <w:sz w:val="20"/>
              </w:rPr>
              <w:t>Adamas Trust (formerly NY Mortgage)</w:t>
            </w:r>
          </w:p>
        </w:tc>
      </w:tr>
      <w:tr>
        <w:trPr/>
        <w:tc>
          <w:tcPr>
            <w:tcW w:w="3140" w:type="dxa"/>
            <w:tcBorders/>
            <w:shd w:fill="D9D9D9" w:val="clear"/>
            <w:vAlign w:val="center"/>
          </w:tcPr>
          <w:p>
            <w:pPr>
              <w:pStyle w:val="TableContents"/>
              <w:bidi w:val="0"/>
              <w:spacing w:before="0" w:after="0"/>
              <w:jc w:val="both"/>
              <w:rPr>
                <w:rFonts w:ascii="Times New Roman" w:hAnsi="Times New Roman"/>
                <w:color w:val="4A4A4A"/>
                <w:sz w:val="20"/>
              </w:rPr>
            </w:pPr>
            <w:r>
              <w:rPr>
                <w:rFonts w:ascii="Times New Roman" w:hAnsi="Times New Roman"/>
                <w:color w:val="4A4A4A"/>
                <w:sz w:val="20"/>
              </w:rPr>
              <w:t>Ready Capital Corporation</w:t>
            </w:r>
          </w:p>
        </w:tc>
      </w:tr>
      <w:tr>
        <w:trPr/>
        <w:tc>
          <w:tcPr>
            <w:tcW w:w="3140" w:type="dxa"/>
            <w:tcBorders/>
            <w:vAlign w:val="center"/>
          </w:tcPr>
          <w:p>
            <w:pPr>
              <w:pStyle w:val="TableContents"/>
              <w:bidi w:val="0"/>
              <w:spacing w:before="0" w:after="0"/>
              <w:jc w:val="both"/>
              <w:rPr>
                <w:rFonts w:ascii="Times New Roman" w:hAnsi="Times New Roman"/>
                <w:color w:val="4A4A4A"/>
                <w:sz w:val="20"/>
              </w:rPr>
            </w:pPr>
            <w:r>
              <w:rPr>
                <w:rFonts w:ascii="Times New Roman" w:hAnsi="Times New Roman"/>
                <w:color w:val="4A4A4A"/>
                <w:sz w:val="20"/>
              </w:rPr>
              <w:t>Sachem Capital Corp.</w:t>
            </w:r>
          </w:p>
        </w:tc>
      </w:tr>
      <w:tr>
        <w:trPr/>
        <w:tc>
          <w:tcPr>
            <w:tcW w:w="3140" w:type="dxa"/>
            <w:tcBorders/>
            <w:shd w:fill="D9D9D9" w:val="clear"/>
            <w:vAlign w:val="center"/>
          </w:tcPr>
          <w:p>
            <w:pPr>
              <w:pStyle w:val="TableContents"/>
              <w:bidi w:val="0"/>
              <w:spacing w:before="0" w:after="0"/>
              <w:jc w:val="both"/>
              <w:rPr>
                <w:rFonts w:ascii="Times New Roman" w:hAnsi="Times New Roman"/>
                <w:color w:val="4A4A4A"/>
                <w:sz w:val="20"/>
              </w:rPr>
            </w:pPr>
            <w:r>
              <w:rPr>
                <w:rFonts w:ascii="Times New Roman" w:hAnsi="Times New Roman"/>
                <w:color w:val="4A4A4A"/>
                <w:sz w:val="20"/>
              </w:rPr>
              <w:t>Two Harbors Investment Corp.</w:t>
            </w:r>
          </w:p>
        </w:tc>
      </w:tr>
    </w:tbl>
    <w:p>
      <w:pPr>
        <w:pStyle w:val="TextBody"/>
        <w:bidi w:val="0"/>
        <w:spacing w:before="0" w:after="0"/>
        <w:jc w:val="left"/>
        <w:rPr>
          <w:sz w:val="20"/>
        </w:rPr>
      </w:pPr>
      <w:r>
        <w:rPr>
          <w:sz w:val="20"/>
        </w:rPr>
      </w:r>
    </w:p>
    <w:p>
      <w:pPr>
        <w:pStyle w:val="TextBody"/>
        <w:bidi w:val="0"/>
        <w:spacing w:before="0" w:after="0"/>
        <w:jc w:val="both"/>
        <w:rPr>
          <w:rFonts w:ascii="Times New Roman" w:hAnsi="Times New Roman"/>
          <w:i/>
          <w:color w:val="4F81BD"/>
          <w:sz w:val="20"/>
        </w:rPr>
      </w:pPr>
      <w:r>
        <w:rPr>
          <w:rFonts w:ascii="Times New Roman" w:hAnsi="Times New Roman"/>
          <w:i/>
          <w:color w:val="4F81BD"/>
          <w:sz w:val="20"/>
        </w:rPr>
        <w:t>Nareit Residential Mortgage REIT Constituents</w:t>
      </w:r>
    </w:p>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88" w:name="z69b4f58a897c42ffaa69234a8b91fe8e"/>
      <w:bookmarkStart w:id="89" w:name="z69b4f58a897c42ffaa69234a8b91fe8e"/>
      <w:bookmarkEnd w:id="89"/>
    </w:p>
    <w:tbl>
      <w:tblPr>
        <w:tblW w:w="3755" w:type="dxa"/>
        <w:jc w:val="left"/>
        <w:tblInd w:w="0" w:type="dxa"/>
        <w:tblLayout w:type="fixed"/>
        <w:tblCellMar>
          <w:top w:w="0" w:type="dxa"/>
          <w:left w:w="0" w:type="dxa"/>
          <w:bottom w:w="0" w:type="dxa"/>
          <w:right w:w="0" w:type="dxa"/>
        </w:tblCellMar>
      </w:tblPr>
      <w:tblGrid>
        <w:gridCol w:w="3755"/>
      </w:tblGrid>
      <w:tr>
        <w:trPr/>
        <w:tc>
          <w:tcPr>
            <w:tcW w:w="3755" w:type="dxa"/>
            <w:tcBorders/>
            <w:vAlign w:val="center"/>
          </w:tcPr>
          <w:p>
            <w:pPr>
              <w:pStyle w:val="TableContents"/>
              <w:bidi w:val="0"/>
              <w:spacing w:before="0" w:after="0"/>
              <w:jc w:val="left"/>
              <w:rPr>
                <w:rFonts w:ascii="Times New Roman" w:hAnsi="Times New Roman"/>
                <w:b/>
                <w:sz w:val="20"/>
                <w:u w:val="single"/>
              </w:rPr>
            </w:pPr>
            <w:r>
              <w:rPr>
                <w:rFonts w:ascii="Times New Roman" w:hAnsi="Times New Roman"/>
                <w:b/>
                <w:sz w:val="20"/>
                <w:u w:val="single"/>
              </w:rPr>
              <w:t>Company</w:t>
            </w:r>
          </w:p>
        </w:tc>
      </w:tr>
      <w:tr>
        <w:trPr/>
        <w:tc>
          <w:tcPr>
            <w:tcW w:w="3755" w:type="dxa"/>
            <w:tcBorders/>
            <w:vAlign w:val="center"/>
          </w:tcPr>
          <w:p>
            <w:pPr>
              <w:pStyle w:val="TableContents"/>
              <w:bidi w:val="0"/>
              <w:spacing w:before="0" w:after="0"/>
              <w:jc w:val="both"/>
              <w:rPr>
                <w:rFonts w:ascii="Times New Roman" w:hAnsi="Times New Roman"/>
                <w:color w:val="4A4A4A"/>
                <w:sz w:val="20"/>
              </w:rPr>
            </w:pPr>
            <w:r>
              <w:rPr>
                <w:rFonts w:ascii="Times New Roman" w:hAnsi="Times New Roman"/>
                <w:color w:val="4A4A4A"/>
                <w:sz w:val="20"/>
              </w:rPr>
              <w:t>Adamas Trust, Inc.</w:t>
            </w:r>
          </w:p>
        </w:tc>
      </w:tr>
      <w:tr>
        <w:trPr/>
        <w:tc>
          <w:tcPr>
            <w:tcW w:w="3755" w:type="dxa"/>
            <w:tcBorders/>
            <w:shd w:fill="D9D9D9" w:val="clear"/>
            <w:vAlign w:val="center"/>
          </w:tcPr>
          <w:p>
            <w:pPr>
              <w:pStyle w:val="TableContents"/>
              <w:bidi w:val="0"/>
              <w:spacing w:before="0" w:after="0"/>
              <w:jc w:val="both"/>
              <w:rPr>
                <w:rFonts w:ascii="Times New Roman" w:hAnsi="Times New Roman"/>
                <w:color w:val="4A4A4A"/>
                <w:sz w:val="20"/>
              </w:rPr>
            </w:pPr>
            <w:r>
              <w:rPr>
                <w:rFonts w:ascii="Times New Roman" w:hAnsi="Times New Roman"/>
                <w:color w:val="4A4A4A"/>
                <w:sz w:val="20"/>
              </w:rPr>
              <w:t>AGNC Investment Corp.</w:t>
            </w:r>
          </w:p>
        </w:tc>
      </w:tr>
      <w:tr>
        <w:trPr/>
        <w:tc>
          <w:tcPr>
            <w:tcW w:w="3755" w:type="dxa"/>
            <w:tcBorders/>
            <w:vAlign w:val="center"/>
          </w:tcPr>
          <w:p>
            <w:pPr>
              <w:pStyle w:val="TableContents"/>
              <w:bidi w:val="0"/>
              <w:spacing w:before="0" w:after="0"/>
              <w:jc w:val="both"/>
              <w:rPr>
                <w:rFonts w:ascii="Times New Roman" w:hAnsi="Times New Roman"/>
                <w:color w:val="4A4A4A"/>
                <w:sz w:val="20"/>
              </w:rPr>
            </w:pPr>
            <w:r>
              <w:rPr>
                <w:rFonts w:ascii="Times New Roman" w:hAnsi="Times New Roman"/>
                <w:color w:val="4A4A4A"/>
                <w:sz w:val="20"/>
              </w:rPr>
              <w:t>Angel Oak Mortgage REIT, Inc.</w:t>
            </w:r>
          </w:p>
        </w:tc>
      </w:tr>
      <w:tr>
        <w:trPr/>
        <w:tc>
          <w:tcPr>
            <w:tcW w:w="3755" w:type="dxa"/>
            <w:tcBorders/>
            <w:shd w:fill="D9D9D9" w:val="clear"/>
            <w:vAlign w:val="center"/>
          </w:tcPr>
          <w:p>
            <w:pPr>
              <w:pStyle w:val="TableContents"/>
              <w:bidi w:val="0"/>
              <w:spacing w:before="0" w:after="0"/>
              <w:jc w:val="both"/>
              <w:rPr>
                <w:rFonts w:ascii="Times New Roman" w:hAnsi="Times New Roman"/>
                <w:color w:val="4A4A4A"/>
                <w:sz w:val="20"/>
              </w:rPr>
            </w:pPr>
            <w:r>
              <w:rPr>
                <w:rFonts w:ascii="Times New Roman" w:hAnsi="Times New Roman"/>
                <w:color w:val="4A4A4A"/>
                <w:sz w:val="20"/>
              </w:rPr>
              <w:t>Annaly Capital Management, Inc.</w:t>
            </w:r>
          </w:p>
        </w:tc>
      </w:tr>
      <w:tr>
        <w:trPr/>
        <w:tc>
          <w:tcPr>
            <w:tcW w:w="3755" w:type="dxa"/>
            <w:tcBorders/>
            <w:vAlign w:val="center"/>
          </w:tcPr>
          <w:p>
            <w:pPr>
              <w:pStyle w:val="TableContents"/>
              <w:bidi w:val="0"/>
              <w:spacing w:before="0" w:after="0"/>
              <w:jc w:val="both"/>
              <w:rPr>
                <w:rFonts w:ascii="Times New Roman" w:hAnsi="Times New Roman"/>
                <w:color w:val="4A4A4A"/>
                <w:sz w:val="20"/>
              </w:rPr>
            </w:pPr>
            <w:r>
              <w:rPr>
                <w:rFonts w:ascii="Times New Roman" w:hAnsi="Times New Roman"/>
                <w:color w:val="4A4A4A"/>
                <w:sz w:val="20"/>
              </w:rPr>
              <w:t>ARMOUR Residential REIT, Inc.</w:t>
            </w:r>
          </w:p>
        </w:tc>
      </w:tr>
      <w:tr>
        <w:trPr/>
        <w:tc>
          <w:tcPr>
            <w:tcW w:w="3755" w:type="dxa"/>
            <w:tcBorders/>
            <w:shd w:fill="D9D9D9" w:val="clear"/>
            <w:vAlign w:val="center"/>
          </w:tcPr>
          <w:p>
            <w:pPr>
              <w:pStyle w:val="TableContents"/>
              <w:bidi w:val="0"/>
              <w:spacing w:before="0" w:after="0"/>
              <w:jc w:val="both"/>
              <w:rPr>
                <w:rFonts w:ascii="Times New Roman" w:hAnsi="Times New Roman"/>
                <w:color w:val="4A4A4A"/>
                <w:sz w:val="20"/>
              </w:rPr>
            </w:pPr>
            <w:r>
              <w:rPr>
                <w:rFonts w:ascii="Times New Roman" w:hAnsi="Times New Roman"/>
                <w:color w:val="4A4A4A"/>
                <w:sz w:val="20"/>
              </w:rPr>
              <w:t>Cherry Hill Mortgage Investment Corporation</w:t>
            </w:r>
          </w:p>
        </w:tc>
      </w:tr>
      <w:tr>
        <w:trPr/>
        <w:tc>
          <w:tcPr>
            <w:tcW w:w="3755" w:type="dxa"/>
            <w:tcBorders/>
            <w:vAlign w:val="center"/>
          </w:tcPr>
          <w:p>
            <w:pPr>
              <w:pStyle w:val="TableContents"/>
              <w:bidi w:val="0"/>
              <w:spacing w:before="0" w:after="0"/>
              <w:jc w:val="both"/>
              <w:rPr>
                <w:rFonts w:ascii="Times New Roman" w:hAnsi="Times New Roman"/>
                <w:color w:val="4A4A4A"/>
                <w:sz w:val="20"/>
              </w:rPr>
            </w:pPr>
            <w:r>
              <w:rPr>
                <w:rFonts w:ascii="Times New Roman" w:hAnsi="Times New Roman"/>
                <w:color w:val="4A4A4A"/>
                <w:sz w:val="20"/>
              </w:rPr>
              <w:t>Chimera Investment Corporation</w:t>
            </w:r>
          </w:p>
        </w:tc>
      </w:tr>
      <w:tr>
        <w:trPr/>
        <w:tc>
          <w:tcPr>
            <w:tcW w:w="3755" w:type="dxa"/>
            <w:tcBorders/>
            <w:shd w:fill="D9D9D9" w:val="clear"/>
            <w:vAlign w:val="center"/>
          </w:tcPr>
          <w:p>
            <w:pPr>
              <w:pStyle w:val="TableContents"/>
              <w:bidi w:val="0"/>
              <w:spacing w:before="0" w:after="0"/>
              <w:jc w:val="both"/>
              <w:rPr>
                <w:rFonts w:ascii="Times New Roman" w:hAnsi="Times New Roman"/>
                <w:color w:val="4A4A4A"/>
                <w:sz w:val="20"/>
              </w:rPr>
            </w:pPr>
            <w:r>
              <w:rPr>
                <w:rFonts w:ascii="Times New Roman" w:hAnsi="Times New Roman"/>
                <w:color w:val="4A4A4A"/>
                <w:sz w:val="20"/>
              </w:rPr>
              <w:t>Dynex Capital, Inc.</w:t>
            </w:r>
          </w:p>
        </w:tc>
      </w:tr>
      <w:tr>
        <w:trPr/>
        <w:tc>
          <w:tcPr>
            <w:tcW w:w="3755" w:type="dxa"/>
            <w:tcBorders/>
            <w:vAlign w:val="center"/>
          </w:tcPr>
          <w:p>
            <w:pPr>
              <w:pStyle w:val="TableContents"/>
              <w:bidi w:val="0"/>
              <w:spacing w:before="0" w:after="0"/>
              <w:jc w:val="both"/>
              <w:rPr>
                <w:rFonts w:ascii="Times New Roman" w:hAnsi="Times New Roman"/>
                <w:color w:val="4A4A4A"/>
                <w:sz w:val="20"/>
              </w:rPr>
            </w:pPr>
            <w:r>
              <w:rPr>
                <w:rFonts w:ascii="Times New Roman" w:hAnsi="Times New Roman"/>
                <w:color w:val="4A4A4A"/>
                <w:sz w:val="20"/>
              </w:rPr>
              <w:t>Ellington Financial Inc.</w:t>
            </w:r>
          </w:p>
        </w:tc>
      </w:tr>
      <w:tr>
        <w:trPr/>
        <w:tc>
          <w:tcPr>
            <w:tcW w:w="3755" w:type="dxa"/>
            <w:tcBorders/>
            <w:shd w:fill="D9D9D9" w:val="clear"/>
            <w:vAlign w:val="center"/>
          </w:tcPr>
          <w:p>
            <w:pPr>
              <w:pStyle w:val="TableContents"/>
              <w:bidi w:val="0"/>
              <w:spacing w:before="0" w:after="0"/>
              <w:jc w:val="both"/>
              <w:rPr>
                <w:rFonts w:ascii="Times New Roman" w:hAnsi="Times New Roman"/>
                <w:color w:val="4A4A4A"/>
                <w:sz w:val="20"/>
              </w:rPr>
            </w:pPr>
            <w:r>
              <w:rPr>
                <w:rFonts w:ascii="Times New Roman" w:hAnsi="Times New Roman"/>
                <w:color w:val="4A4A4A"/>
                <w:sz w:val="20"/>
              </w:rPr>
              <w:t>Invesco Mortgage Capital Inc.</w:t>
            </w:r>
          </w:p>
        </w:tc>
      </w:tr>
      <w:tr>
        <w:trPr/>
        <w:tc>
          <w:tcPr>
            <w:tcW w:w="3755" w:type="dxa"/>
            <w:tcBorders/>
            <w:vAlign w:val="center"/>
          </w:tcPr>
          <w:p>
            <w:pPr>
              <w:pStyle w:val="TableContents"/>
              <w:bidi w:val="0"/>
              <w:spacing w:before="0" w:after="0"/>
              <w:jc w:val="both"/>
              <w:rPr>
                <w:rFonts w:ascii="Times New Roman" w:hAnsi="Times New Roman"/>
                <w:color w:val="4A4A4A"/>
                <w:sz w:val="20"/>
              </w:rPr>
            </w:pPr>
            <w:r>
              <w:rPr>
                <w:rFonts w:ascii="Times New Roman" w:hAnsi="Times New Roman"/>
                <w:color w:val="4A4A4A"/>
                <w:sz w:val="20"/>
              </w:rPr>
              <w:t>Lument Finance Trust, Inc.</w:t>
            </w:r>
          </w:p>
        </w:tc>
      </w:tr>
      <w:tr>
        <w:trPr/>
        <w:tc>
          <w:tcPr>
            <w:tcW w:w="3755" w:type="dxa"/>
            <w:tcBorders/>
            <w:shd w:fill="D9D9D9" w:val="clear"/>
            <w:vAlign w:val="center"/>
          </w:tcPr>
          <w:p>
            <w:pPr>
              <w:pStyle w:val="TableContents"/>
              <w:bidi w:val="0"/>
              <w:spacing w:before="0" w:after="0"/>
              <w:jc w:val="both"/>
              <w:rPr>
                <w:rFonts w:ascii="Times New Roman" w:hAnsi="Times New Roman"/>
                <w:color w:val="4A4A4A"/>
                <w:sz w:val="20"/>
              </w:rPr>
            </w:pPr>
            <w:r>
              <w:rPr>
                <w:rFonts w:ascii="Times New Roman" w:hAnsi="Times New Roman"/>
                <w:color w:val="4A4A4A"/>
                <w:sz w:val="20"/>
              </w:rPr>
              <w:t>Manhattan Bridge Capital, Inc.</w:t>
            </w:r>
          </w:p>
        </w:tc>
      </w:tr>
      <w:tr>
        <w:trPr/>
        <w:tc>
          <w:tcPr>
            <w:tcW w:w="3755" w:type="dxa"/>
            <w:tcBorders/>
            <w:vAlign w:val="center"/>
          </w:tcPr>
          <w:p>
            <w:pPr>
              <w:pStyle w:val="TableContents"/>
              <w:bidi w:val="0"/>
              <w:spacing w:before="0" w:after="0"/>
              <w:jc w:val="both"/>
              <w:rPr>
                <w:rFonts w:ascii="Times New Roman" w:hAnsi="Times New Roman"/>
                <w:color w:val="4A4A4A"/>
                <w:sz w:val="20"/>
              </w:rPr>
            </w:pPr>
            <w:r>
              <w:rPr>
                <w:rFonts w:ascii="Times New Roman" w:hAnsi="Times New Roman"/>
                <w:color w:val="4A4A4A"/>
                <w:sz w:val="20"/>
              </w:rPr>
              <w:t>MFA Financial, Inc.</w:t>
            </w:r>
          </w:p>
        </w:tc>
      </w:tr>
      <w:tr>
        <w:trPr/>
        <w:tc>
          <w:tcPr>
            <w:tcW w:w="3755" w:type="dxa"/>
            <w:tcBorders/>
            <w:shd w:fill="D9D9D9" w:val="clear"/>
            <w:vAlign w:val="center"/>
          </w:tcPr>
          <w:p>
            <w:pPr>
              <w:pStyle w:val="TableContents"/>
              <w:bidi w:val="0"/>
              <w:spacing w:before="0" w:after="0"/>
              <w:jc w:val="both"/>
              <w:rPr>
                <w:rFonts w:ascii="Times New Roman" w:hAnsi="Times New Roman"/>
                <w:color w:val="4A4A4A"/>
                <w:sz w:val="20"/>
              </w:rPr>
            </w:pPr>
            <w:r>
              <w:rPr>
                <w:rFonts w:ascii="Times New Roman" w:hAnsi="Times New Roman"/>
                <w:color w:val="4A4A4A"/>
                <w:sz w:val="20"/>
              </w:rPr>
              <w:t>Orchid Island Capital, Inc.</w:t>
            </w:r>
          </w:p>
        </w:tc>
      </w:tr>
      <w:tr>
        <w:trPr/>
        <w:tc>
          <w:tcPr>
            <w:tcW w:w="3755" w:type="dxa"/>
            <w:tcBorders/>
            <w:vAlign w:val="center"/>
          </w:tcPr>
          <w:p>
            <w:pPr>
              <w:pStyle w:val="TableContents"/>
              <w:bidi w:val="0"/>
              <w:spacing w:before="0" w:after="0"/>
              <w:jc w:val="both"/>
              <w:rPr>
                <w:rFonts w:ascii="Times New Roman" w:hAnsi="Times New Roman"/>
                <w:color w:val="4A4A4A"/>
                <w:sz w:val="20"/>
              </w:rPr>
            </w:pPr>
            <w:r>
              <w:rPr>
                <w:rFonts w:ascii="Times New Roman" w:hAnsi="Times New Roman"/>
                <w:color w:val="4A4A4A"/>
                <w:sz w:val="20"/>
              </w:rPr>
              <w:t>PennyMac Mortgage Investment Trust</w:t>
            </w:r>
          </w:p>
        </w:tc>
      </w:tr>
      <w:tr>
        <w:trPr/>
        <w:tc>
          <w:tcPr>
            <w:tcW w:w="3755" w:type="dxa"/>
            <w:tcBorders/>
            <w:shd w:fill="D9D9D9" w:val="clear"/>
            <w:vAlign w:val="center"/>
          </w:tcPr>
          <w:p>
            <w:pPr>
              <w:pStyle w:val="TableContents"/>
              <w:bidi w:val="0"/>
              <w:spacing w:before="0" w:after="0"/>
              <w:jc w:val="both"/>
              <w:rPr>
                <w:rFonts w:ascii="Times New Roman" w:hAnsi="Times New Roman"/>
                <w:color w:val="4A4A4A"/>
                <w:sz w:val="20"/>
              </w:rPr>
            </w:pPr>
            <w:r>
              <w:rPr>
                <w:rFonts w:ascii="Times New Roman" w:hAnsi="Times New Roman"/>
                <w:color w:val="4A4A4A"/>
                <w:sz w:val="20"/>
              </w:rPr>
              <w:t>Redwood Trust, Inc.</w:t>
            </w:r>
          </w:p>
        </w:tc>
      </w:tr>
      <w:tr>
        <w:trPr/>
        <w:tc>
          <w:tcPr>
            <w:tcW w:w="3755" w:type="dxa"/>
            <w:tcBorders/>
            <w:vAlign w:val="center"/>
          </w:tcPr>
          <w:p>
            <w:pPr>
              <w:pStyle w:val="TableContents"/>
              <w:bidi w:val="0"/>
              <w:spacing w:before="0" w:after="0"/>
              <w:jc w:val="both"/>
              <w:rPr>
                <w:rFonts w:ascii="Times New Roman" w:hAnsi="Times New Roman"/>
                <w:color w:val="4A4A4A"/>
                <w:sz w:val="20"/>
              </w:rPr>
            </w:pPr>
            <w:r>
              <w:rPr>
                <w:rFonts w:ascii="Times New Roman" w:hAnsi="Times New Roman"/>
                <w:color w:val="4A4A4A"/>
                <w:sz w:val="20"/>
              </w:rPr>
              <w:t>Rithm Capital Corp.</w:t>
            </w:r>
          </w:p>
        </w:tc>
      </w:tr>
      <w:tr>
        <w:trPr/>
        <w:tc>
          <w:tcPr>
            <w:tcW w:w="3755" w:type="dxa"/>
            <w:tcBorders/>
            <w:shd w:fill="D9D9D9" w:val="clear"/>
            <w:vAlign w:val="center"/>
          </w:tcPr>
          <w:p>
            <w:pPr>
              <w:pStyle w:val="TableContents"/>
              <w:bidi w:val="0"/>
              <w:spacing w:before="0" w:after="0"/>
              <w:jc w:val="both"/>
              <w:rPr>
                <w:rFonts w:ascii="Times New Roman" w:hAnsi="Times New Roman"/>
                <w:color w:val="4A4A4A"/>
                <w:sz w:val="20"/>
              </w:rPr>
            </w:pPr>
            <w:r>
              <w:rPr>
                <w:rFonts w:ascii="Times New Roman" w:hAnsi="Times New Roman"/>
                <w:color w:val="4A4A4A"/>
                <w:sz w:val="20"/>
              </w:rPr>
              <w:t>Rithm Property Trust Inc.</w:t>
            </w:r>
          </w:p>
        </w:tc>
      </w:tr>
      <w:tr>
        <w:trPr/>
        <w:tc>
          <w:tcPr>
            <w:tcW w:w="3755" w:type="dxa"/>
            <w:tcBorders/>
            <w:vAlign w:val="center"/>
          </w:tcPr>
          <w:p>
            <w:pPr>
              <w:pStyle w:val="TableContents"/>
              <w:bidi w:val="0"/>
              <w:spacing w:before="0" w:after="0"/>
              <w:jc w:val="both"/>
              <w:rPr>
                <w:rFonts w:ascii="Times New Roman" w:hAnsi="Times New Roman"/>
                <w:color w:val="4A4A4A"/>
                <w:sz w:val="20"/>
              </w:rPr>
            </w:pPr>
            <w:r>
              <w:rPr>
                <w:rFonts w:ascii="Times New Roman" w:hAnsi="Times New Roman"/>
                <w:color w:val="4A4A4A"/>
                <w:sz w:val="20"/>
              </w:rPr>
              <w:t>TPG Mortgage Investment Trust, Inc.</w:t>
            </w:r>
          </w:p>
        </w:tc>
      </w:tr>
      <w:tr>
        <w:trPr/>
        <w:tc>
          <w:tcPr>
            <w:tcW w:w="3755" w:type="dxa"/>
            <w:tcBorders/>
            <w:shd w:fill="D9D9D9" w:val="clear"/>
            <w:vAlign w:val="center"/>
          </w:tcPr>
          <w:p>
            <w:pPr>
              <w:pStyle w:val="TableContents"/>
              <w:bidi w:val="0"/>
              <w:spacing w:before="0" w:after="0"/>
              <w:jc w:val="both"/>
              <w:rPr>
                <w:rFonts w:ascii="Times New Roman" w:hAnsi="Times New Roman"/>
                <w:color w:val="4A4A4A"/>
                <w:sz w:val="20"/>
              </w:rPr>
            </w:pPr>
            <w:r>
              <w:rPr>
                <w:rFonts w:ascii="Times New Roman" w:hAnsi="Times New Roman"/>
                <w:color w:val="4A4A4A"/>
                <w:sz w:val="20"/>
              </w:rPr>
              <w:t>Two Harbors Investment Corp.</w:t>
            </w:r>
          </w:p>
        </w:tc>
      </w:tr>
    </w:tbl>
    <w:p>
      <w:pPr>
        <w:pStyle w:val="TextBody"/>
        <w:bidi w:val="0"/>
        <w:spacing w:before="0" w:after="0"/>
        <w:jc w:val="left"/>
        <w:rPr>
          <w:sz w:val="20"/>
        </w:rPr>
      </w:pPr>
      <w:r>
        <w:rPr>
          <w:sz w:val="20"/>
        </w:rPr>
      </w:r>
    </w:p>
    <w:p>
      <w:pPr>
        <w:pStyle w:val="TextBody"/>
        <w:bidi w:val="0"/>
        <w:spacing w:before="0" w:after="0"/>
        <w:jc w:val="left"/>
        <w:rPr>
          <w:sz w:val="20"/>
        </w:rPr>
      </w:pPr>
      <w:r>
        <w:rPr>
          <w:sz w:val="20"/>
        </w:rPr>
      </w:r>
    </w:p>
    <w:tbl>
      <w:tblPr>
        <w:tblW w:w="223" w:type="dxa"/>
        <w:jc w:val="left"/>
        <w:tblInd w:w="0" w:type="dxa"/>
        <w:tblLayout w:type="fixed"/>
        <w:tblCellMar>
          <w:top w:w="28" w:type="dxa"/>
          <w:left w:w="0" w:type="dxa"/>
          <w:bottom w:w="0" w:type="dxa"/>
          <w:right w:w="0" w:type="dxa"/>
        </w:tblCellMar>
      </w:tblPr>
      <w:tblGrid>
        <w:gridCol w:w="140"/>
        <w:gridCol w:w="60"/>
        <w:gridCol w:w="23"/>
      </w:tblGrid>
      <w:tr>
        <w:trPr/>
        <w:tc>
          <w:tcPr>
            <w:tcW w:w="140" w:type="dxa"/>
            <w:tcBorders>
              <w:top w:val="single" w:sz="12" w:space="0" w:color="000000"/>
            </w:tcBorders>
            <w:vAlign w:val="center"/>
          </w:tcPr>
          <w:p>
            <w:pPr>
              <w:pStyle w:val="TableContents"/>
              <w:bidi w:val="0"/>
              <w:spacing w:before="0" w:after="283"/>
              <w:jc w:val="right"/>
              <w:rPr>
                <w:b/>
                <w:color w:val="4F81BD"/>
              </w:rPr>
            </w:pPr>
            <w:r>
              <w:rPr>
                <w:b/>
                <w:color w:val="4F81BD"/>
              </w:rPr>
              <w:t>9</w:t>
            </w:r>
          </w:p>
        </w:tc>
        <w:tc>
          <w:tcPr>
            <w:tcW w:w="60" w:type="dxa"/>
            <w:tcBorders>
              <w:top w:val="single" w:sz="12" w:space="0" w:color="000000"/>
            </w:tcBorders>
            <w:vAlign w:val="center"/>
          </w:tcPr>
          <w:p>
            <w:pPr>
              <w:pStyle w:val="TableContents"/>
              <w:bidi w:val="0"/>
              <w:spacing w:before="0" w:after="283"/>
              <w:jc w:val="right"/>
              <w:rPr>
                <w:color w:val="4F81BD"/>
              </w:rPr>
            </w:pPr>
            <w:r>
              <w:rPr>
                <w:color w:val="4F81BD"/>
              </w:rPr>
              <w:t> </w:t>
            </w:r>
          </w:p>
        </w:tc>
        <w:tc>
          <w:tcPr>
            <w:tcW w:w="23" w:type="dxa"/>
            <w:tcBorders>
              <w:top w:val="single" w:sz="12" w:space="0" w:color="000000"/>
              <w:left w:val="single" w:sz="12" w:space="0" w:color="000000"/>
            </w:tcBorders>
            <w:tcMar>
              <w:left w:w="28" w:type="dxa"/>
            </w:tcMar>
            <w:vAlign w:val="center"/>
          </w:tcPr>
          <w:p>
            <w:pPr>
              <w:pStyle w:val="TableContents"/>
              <w:bidi w:val="0"/>
              <w:spacing w:before="0" w:after="283"/>
              <w:jc w:val="left"/>
              <w:rPr/>
            </w:pPr>
            <w:r>
              <w:rPr/>
            </w:r>
          </w:p>
        </w:tc>
      </w:tr>
    </w:tbl>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90" w:name="ef20075172_ex31-1.htm"/>
      <w:bookmarkStart w:id="91" w:name="ksef20075172_ex311"/>
      <w:bookmarkStart w:id="92" w:name="ef20075172_ex31-1.htm"/>
      <w:bookmarkStart w:id="93" w:name="ksef20075172_ex311"/>
      <w:bookmarkEnd w:id="92"/>
      <w:bookmarkEnd w:id="93"/>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Certification</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 Jeffrey Lown II, certify that:</w:t>
      </w:r>
    </w:p>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94" w:name="zec7ea4fa306649b79f3536167f385a37"/>
      <w:bookmarkStart w:id="95" w:name="zec7ea4fa306649b79f3536167f385a37"/>
      <w:bookmarkEnd w:id="95"/>
    </w:p>
    <w:tbl>
      <w:tblPr>
        <w:tblW w:w="6835" w:type="dxa"/>
        <w:jc w:val="left"/>
        <w:tblInd w:w="0" w:type="dxa"/>
        <w:tblLayout w:type="fixed"/>
        <w:tblCellMar>
          <w:top w:w="0" w:type="dxa"/>
          <w:left w:w="0" w:type="dxa"/>
          <w:bottom w:w="0" w:type="dxa"/>
          <w:right w:w="0" w:type="dxa"/>
        </w:tblCellMar>
      </w:tblPr>
      <w:tblGrid>
        <w:gridCol w:w="215"/>
        <w:gridCol w:w="6620"/>
      </w:tblGrid>
      <w:tr>
        <w:trPr/>
        <w:tc>
          <w:tcPr>
            <w:tcW w:w="215" w:type="dxa"/>
            <w:tcBorders/>
            <w:vAlign w:val="center"/>
          </w:tcPr>
          <w:p>
            <w:pPr>
              <w:pStyle w:val="TableContents"/>
              <w:bidi w:val="0"/>
              <w:spacing w:before="0" w:after="283"/>
              <w:jc w:val="left"/>
              <w:rPr>
                <w:color w:val="000000"/>
              </w:rPr>
            </w:pPr>
            <w:r>
              <w:rPr>
                <w:color w:val="000000"/>
              </w:rPr>
              <w:t>1.</w:t>
            </w:r>
          </w:p>
        </w:tc>
        <w:tc>
          <w:tcPr>
            <w:tcW w:w="6620" w:type="dxa"/>
            <w:tcBorders/>
            <w:vAlign w:val="center"/>
          </w:tcPr>
          <w:p>
            <w:pPr>
              <w:pStyle w:val="TableContents"/>
              <w:bidi w:val="0"/>
              <w:spacing w:before="0" w:after="0"/>
              <w:jc w:val="both"/>
              <w:rPr>
                <w:color w:val="000000"/>
                <w:sz w:val="20"/>
              </w:rPr>
            </w:pPr>
            <w:r>
              <w:rPr>
                <w:color w:val="000000"/>
                <w:sz w:val="20"/>
              </w:rPr>
              <w:t>I have reviewed this Form 10-Q of Cherry Hill Mortgage Investment Corporation;</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96" w:name="z440abdb44c034c7f9f50ea4007b87656"/>
      <w:bookmarkStart w:id="97" w:name="z440abdb44c034c7f9f50ea4007b87656"/>
      <w:bookmarkEnd w:id="97"/>
    </w:p>
    <w:tbl>
      <w:tblPr>
        <w:tblW w:w="10205" w:type="dxa"/>
        <w:jc w:val="left"/>
        <w:tblInd w:w="0" w:type="dxa"/>
        <w:tblLayout w:type="fixed"/>
        <w:tblCellMar>
          <w:top w:w="0" w:type="dxa"/>
          <w:left w:w="0" w:type="dxa"/>
          <w:bottom w:w="0" w:type="dxa"/>
          <w:right w:w="0" w:type="dxa"/>
        </w:tblCellMar>
      </w:tblPr>
      <w:tblGrid>
        <w:gridCol w:w="178"/>
        <w:gridCol w:w="10027"/>
      </w:tblGrid>
      <w:tr>
        <w:trPr/>
        <w:tc>
          <w:tcPr>
            <w:tcW w:w="178" w:type="dxa"/>
            <w:tcBorders/>
            <w:vAlign w:val="center"/>
          </w:tcPr>
          <w:p>
            <w:pPr>
              <w:pStyle w:val="TableContents"/>
              <w:bidi w:val="0"/>
              <w:spacing w:before="0" w:after="283"/>
              <w:jc w:val="left"/>
              <w:rPr>
                <w:color w:val="000000"/>
              </w:rPr>
            </w:pPr>
            <w:r>
              <w:rPr>
                <w:color w:val="000000"/>
              </w:rPr>
              <w:t>2.</w:t>
            </w:r>
          </w:p>
        </w:tc>
        <w:tc>
          <w:tcPr>
            <w:tcW w:w="10027" w:type="dxa"/>
            <w:tcBorders/>
            <w:vAlign w:val="center"/>
          </w:tcPr>
          <w:p>
            <w:pPr>
              <w:pStyle w:val="TableContents"/>
              <w:bidi w:val="0"/>
              <w:spacing w:before="0" w:after="0"/>
              <w:jc w:val="both"/>
              <w:rPr>
                <w:color w:val="000000"/>
                <w:sz w:val="20"/>
              </w:rPr>
            </w:pPr>
            <w:r>
              <w:rPr>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98" w:name="zf829a8c0aab74315adc76d27c0b8f5c7"/>
      <w:bookmarkStart w:id="99" w:name="zf829a8c0aab74315adc76d27c0b8f5c7"/>
      <w:bookmarkEnd w:id="99"/>
    </w:p>
    <w:tbl>
      <w:tblPr>
        <w:tblW w:w="10205" w:type="dxa"/>
        <w:jc w:val="left"/>
        <w:tblInd w:w="0" w:type="dxa"/>
        <w:tblLayout w:type="fixed"/>
        <w:tblCellMar>
          <w:top w:w="0" w:type="dxa"/>
          <w:left w:w="0" w:type="dxa"/>
          <w:bottom w:w="0" w:type="dxa"/>
          <w:right w:w="0" w:type="dxa"/>
        </w:tblCellMar>
      </w:tblPr>
      <w:tblGrid>
        <w:gridCol w:w="181"/>
        <w:gridCol w:w="10024"/>
      </w:tblGrid>
      <w:tr>
        <w:trPr/>
        <w:tc>
          <w:tcPr>
            <w:tcW w:w="181" w:type="dxa"/>
            <w:tcBorders/>
            <w:vAlign w:val="center"/>
          </w:tcPr>
          <w:p>
            <w:pPr>
              <w:pStyle w:val="TableContents"/>
              <w:bidi w:val="0"/>
              <w:spacing w:before="0" w:after="283"/>
              <w:jc w:val="left"/>
              <w:rPr>
                <w:color w:val="000000"/>
              </w:rPr>
            </w:pPr>
            <w:r>
              <w:rPr>
                <w:color w:val="000000"/>
              </w:rPr>
              <w:t>3.</w:t>
            </w:r>
          </w:p>
        </w:tc>
        <w:tc>
          <w:tcPr>
            <w:tcW w:w="10024" w:type="dxa"/>
            <w:tcBorders/>
            <w:vAlign w:val="center"/>
          </w:tcPr>
          <w:p>
            <w:pPr>
              <w:pStyle w:val="TableContents"/>
              <w:bidi w:val="0"/>
              <w:spacing w:before="0" w:after="0"/>
              <w:jc w:val="both"/>
              <w:rPr>
                <w:color w:val="000000"/>
                <w:sz w:val="20"/>
              </w:rPr>
            </w:pPr>
            <w:r>
              <w:rPr>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100" w:name="z16436a14d4b04ffb9de10bf70d78989e"/>
      <w:bookmarkStart w:id="101" w:name="z16436a14d4b04ffb9de10bf70d78989e"/>
      <w:bookmarkEnd w:id="101"/>
    </w:p>
    <w:tbl>
      <w:tblPr>
        <w:tblW w:w="10205" w:type="dxa"/>
        <w:jc w:val="left"/>
        <w:tblInd w:w="0" w:type="dxa"/>
        <w:tblLayout w:type="fixed"/>
        <w:tblCellMar>
          <w:top w:w="0" w:type="dxa"/>
          <w:left w:w="0" w:type="dxa"/>
          <w:bottom w:w="0" w:type="dxa"/>
          <w:right w:w="0" w:type="dxa"/>
        </w:tblCellMar>
      </w:tblPr>
      <w:tblGrid>
        <w:gridCol w:w="176"/>
        <w:gridCol w:w="10029"/>
      </w:tblGrid>
      <w:tr>
        <w:trPr/>
        <w:tc>
          <w:tcPr>
            <w:tcW w:w="176" w:type="dxa"/>
            <w:tcBorders/>
            <w:vAlign w:val="center"/>
          </w:tcPr>
          <w:p>
            <w:pPr>
              <w:pStyle w:val="TableContents"/>
              <w:bidi w:val="0"/>
              <w:spacing w:before="0" w:after="283"/>
              <w:jc w:val="left"/>
              <w:rPr>
                <w:color w:val="000000"/>
              </w:rPr>
            </w:pPr>
            <w:r>
              <w:rPr>
                <w:color w:val="000000"/>
              </w:rPr>
              <w:t>4.</w:t>
            </w:r>
          </w:p>
        </w:tc>
        <w:tc>
          <w:tcPr>
            <w:tcW w:w="10029" w:type="dxa"/>
            <w:tcBorders/>
            <w:vAlign w:val="center"/>
          </w:tcPr>
          <w:p>
            <w:pPr>
              <w:pStyle w:val="TableContents"/>
              <w:bidi w:val="0"/>
              <w:spacing w:before="0" w:after="0"/>
              <w:jc w:val="both"/>
              <w:rPr>
                <w:color w:val="000000"/>
                <w:sz w:val="20"/>
              </w:rPr>
            </w:pPr>
            <w:r>
              <w:rPr>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102" w:name="zf8a86868c72643098e36a8f535de80ee"/>
      <w:bookmarkStart w:id="103" w:name="zf8a86868c72643098e36a8f535de80ee"/>
      <w:bookmarkEnd w:id="103"/>
    </w:p>
    <w:tbl>
      <w:tblPr>
        <w:tblW w:w="10205" w:type="dxa"/>
        <w:jc w:val="left"/>
        <w:tblInd w:w="0" w:type="dxa"/>
        <w:tblLayout w:type="fixed"/>
        <w:tblCellMar>
          <w:top w:w="0" w:type="dxa"/>
          <w:left w:w="0" w:type="dxa"/>
          <w:bottom w:w="0" w:type="dxa"/>
          <w:right w:w="0" w:type="dxa"/>
        </w:tblCellMar>
      </w:tblPr>
      <w:tblGrid>
        <w:gridCol w:w="75"/>
        <w:gridCol w:w="185"/>
        <w:gridCol w:w="9945"/>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color w:val="000000"/>
              </w:rPr>
            </w:pPr>
            <w:r>
              <w:rPr>
                <w:color w:val="000000"/>
              </w:rPr>
              <w:t>a.</w:t>
            </w:r>
          </w:p>
        </w:tc>
        <w:tc>
          <w:tcPr>
            <w:tcW w:w="9945" w:type="dxa"/>
            <w:tcBorders/>
            <w:vAlign w:val="center"/>
          </w:tcPr>
          <w:p>
            <w:pPr>
              <w:pStyle w:val="TableContents"/>
              <w:bidi w:val="0"/>
              <w:spacing w:before="0" w:after="0"/>
              <w:jc w:val="both"/>
              <w:rPr>
                <w:color w:val="000000"/>
                <w:sz w:val="20"/>
              </w:rPr>
            </w:pPr>
            <w:r>
              <w:rPr>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104" w:name="z5dafe5284d114d2ebf30fe1c862917c9"/>
      <w:bookmarkStart w:id="105" w:name="z5dafe5284d114d2ebf30fe1c862917c9"/>
      <w:bookmarkEnd w:id="105"/>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20"/>
              </w:rPr>
            </w:pPr>
            <w:r>
              <w:rPr>
                <w:sz w:val="20"/>
              </w:rPr>
            </w:r>
          </w:p>
        </w:tc>
        <w:tc>
          <w:tcPr>
            <w:tcW w:w="200" w:type="dxa"/>
            <w:tcBorders/>
            <w:vAlign w:val="center"/>
          </w:tcPr>
          <w:p>
            <w:pPr>
              <w:pStyle w:val="TableContents"/>
              <w:bidi w:val="0"/>
              <w:spacing w:before="0" w:after="283"/>
              <w:jc w:val="left"/>
              <w:rPr>
                <w:color w:val="000000"/>
              </w:rPr>
            </w:pPr>
            <w:r>
              <w:rPr>
                <w:color w:val="000000"/>
              </w:rPr>
              <w:t>b.</w:t>
            </w:r>
          </w:p>
        </w:tc>
        <w:tc>
          <w:tcPr>
            <w:tcW w:w="9967" w:type="dxa"/>
            <w:tcBorders/>
            <w:vAlign w:val="center"/>
          </w:tcPr>
          <w:p>
            <w:pPr>
              <w:pStyle w:val="TableContents"/>
              <w:bidi w:val="0"/>
              <w:spacing w:before="0" w:after="0"/>
              <w:jc w:val="both"/>
              <w:rPr>
                <w:color w:val="000000"/>
                <w:sz w:val="20"/>
              </w:rPr>
            </w:pPr>
            <w:r>
              <w:rPr>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106" w:name="ze48539a505b74b0d819a7a5aff578da6"/>
      <w:bookmarkStart w:id="107" w:name="ze48539a505b74b0d819a7a5aff578da6"/>
      <w:bookmarkEnd w:id="107"/>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20"/>
              </w:rPr>
            </w:pPr>
            <w:r>
              <w:rPr>
                <w:sz w:val="20"/>
              </w:rPr>
            </w:r>
          </w:p>
        </w:tc>
        <w:tc>
          <w:tcPr>
            <w:tcW w:w="185" w:type="dxa"/>
            <w:tcBorders/>
            <w:vAlign w:val="center"/>
          </w:tcPr>
          <w:p>
            <w:pPr>
              <w:pStyle w:val="TableContents"/>
              <w:bidi w:val="0"/>
              <w:spacing w:before="0" w:after="283"/>
              <w:jc w:val="left"/>
              <w:rPr>
                <w:color w:val="000000"/>
              </w:rPr>
            </w:pPr>
            <w:r>
              <w:rPr>
                <w:color w:val="000000"/>
              </w:rPr>
              <w:t>c.</w:t>
            </w:r>
          </w:p>
        </w:tc>
        <w:tc>
          <w:tcPr>
            <w:tcW w:w="9982" w:type="dxa"/>
            <w:tcBorders/>
            <w:vAlign w:val="center"/>
          </w:tcPr>
          <w:p>
            <w:pPr>
              <w:pStyle w:val="TableContents"/>
              <w:bidi w:val="0"/>
              <w:spacing w:before="0" w:after="0"/>
              <w:jc w:val="both"/>
              <w:rPr>
                <w:color w:val="000000"/>
                <w:sz w:val="20"/>
              </w:rPr>
            </w:pPr>
            <w:r>
              <w:rPr>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108" w:name="z8cd3022685554dc5bacffd3548fa7fda"/>
      <w:bookmarkStart w:id="109" w:name="z8cd3022685554dc5bacffd3548fa7fda"/>
      <w:bookmarkEnd w:id="109"/>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20"/>
              </w:rPr>
            </w:pPr>
            <w:r>
              <w:rPr>
                <w:sz w:val="20"/>
              </w:rPr>
            </w:r>
          </w:p>
        </w:tc>
        <w:tc>
          <w:tcPr>
            <w:tcW w:w="200" w:type="dxa"/>
            <w:tcBorders/>
            <w:vAlign w:val="center"/>
          </w:tcPr>
          <w:p>
            <w:pPr>
              <w:pStyle w:val="TableContents"/>
              <w:bidi w:val="0"/>
              <w:spacing w:before="0" w:after="283"/>
              <w:jc w:val="left"/>
              <w:rPr>
                <w:color w:val="000000"/>
              </w:rPr>
            </w:pPr>
            <w:r>
              <w:rPr>
                <w:color w:val="000000"/>
              </w:rPr>
              <w:t>d.</w:t>
            </w:r>
          </w:p>
        </w:tc>
        <w:tc>
          <w:tcPr>
            <w:tcW w:w="9967" w:type="dxa"/>
            <w:tcBorders/>
            <w:vAlign w:val="center"/>
          </w:tcPr>
          <w:p>
            <w:pPr>
              <w:pStyle w:val="TableContents"/>
              <w:bidi w:val="0"/>
              <w:spacing w:before="0" w:after="0"/>
              <w:jc w:val="both"/>
              <w:rPr>
                <w:color w:val="000000"/>
                <w:sz w:val="20"/>
              </w:rPr>
            </w:pPr>
            <w:r>
              <w:rPr>
                <w:color w:val="000000"/>
                <w:sz w:val="20"/>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110" w:name="z57e59003f7fc4f0f83fc05113f911131"/>
      <w:bookmarkStart w:id="111" w:name="z57e59003f7fc4f0f83fc05113f911131"/>
      <w:bookmarkEnd w:id="111"/>
    </w:p>
    <w:tbl>
      <w:tblPr>
        <w:tblW w:w="10205" w:type="dxa"/>
        <w:jc w:val="left"/>
        <w:tblInd w:w="0" w:type="dxa"/>
        <w:tblLayout w:type="fixed"/>
        <w:tblCellMar>
          <w:top w:w="0" w:type="dxa"/>
          <w:left w:w="0" w:type="dxa"/>
          <w:bottom w:w="0" w:type="dxa"/>
          <w:right w:w="0" w:type="dxa"/>
        </w:tblCellMar>
      </w:tblPr>
      <w:tblGrid>
        <w:gridCol w:w="180"/>
        <w:gridCol w:w="10025"/>
      </w:tblGrid>
      <w:tr>
        <w:trPr/>
        <w:tc>
          <w:tcPr>
            <w:tcW w:w="180" w:type="dxa"/>
            <w:tcBorders/>
            <w:vAlign w:val="center"/>
          </w:tcPr>
          <w:p>
            <w:pPr>
              <w:pStyle w:val="TableContents"/>
              <w:bidi w:val="0"/>
              <w:spacing w:before="0" w:after="283"/>
              <w:jc w:val="left"/>
              <w:rPr>
                <w:color w:val="000000"/>
              </w:rPr>
            </w:pPr>
            <w:r>
              <w:rPr>
                <w:color w:val="000000"/>
              </w:rPr>
              <w:t>5.</w:t>
            </w:r>
          </w:p>
        </w:tc>
        <w:tc>
          <w:tcPr>
            <w:tcW w:w="10025" w:type="dxa"/>
            <w:tcBorders/>
            <w:vAlign w:val="center"/>
          </w:tcPr>
          <w:p>
            <w:pPr>
              <w:pStyle w:val="TableContents"/>
              <w:bidi w:val="0"/>
              <w:spacing w:before="0" w:after="0"/>
              <w:jc w:val="both"/>
              <w:rPr>
                <w:color w:val="000000"/>
                <w:sz w:val="20"/>
              </w:rPr>
            </w:pPr>
            <w:r>
              <w:rPr>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112" w:name="z3ae6e9d8a8864162938e8c5315b9c7cc"/>
      <w:bookmarkStart w:id="113" w:name="z3ae6e9d8a8864162938e8c5315b9c7cc"/>
      <w:bookmarkEnd w:id="113"/>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20"/>
              </w:rPr>
            </w:pPr>
            <w:r>
              <w:rPr>
                <w:sz w:val="20"/>
              </w:rPr>
            </w:r>
          </w:p>
        </w:tc>
        <w:tc>
          <w:tcPr>
            <w:tcW w:w="185" w:type="dxa"/>
            <w:tcBorders/>
            <w:vAlign w:val="center"/>
          </w:tcPr>
          <w:p>
            <w:pPr>
              <w:pStyle w:val="TableContents"/>
              <w:bidi w:val="0"/>
              <w:spacing w:before="0" w:after="283"/>
              <w:jc w:val="left"/>
              <w:rPr>
                <w:color w:val="000000"/>
              </w:rPr>
            </w:pPr>
            <w:r>
              <w:rPr>
                <w:color w:val="000000"/>
              </w:rPr>
              <w:t>a.</w:t>
            </w:r>
          </w:p>
        </w:tc>
        <w:tc>
          <w:tcPr>
            <w:tcW w:w="9982" w:type="dxa"/>
            <w:tcBorders/>
            <w:vAlign w:val="center"/>
          </w:tcPr>
          <w:p>
            <w:pPr>
              <w:pStyle w:val="TableContents"/>
              <w:bidi w:val="0"/>
              <w:spacing w:before="0" w:after="0"/>
              <w:jc w:val="both"/>
              <w:rPr>
                <w:color w:val="000000"/>
                <w:sz w:val="20"/>
              </w:rPr>
            </w:pPr>
            <w:r>
              <w:rPr>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114" w:name="z199bc19e0e4142cc84938ac543686ddd"/>
      <w:bookmarkStart w:id="115" w:name="z199bc19e0e4142cc84938ac543686ddd"/>
      <w:bookmarkEnd w:id="115"/>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20"/>
              </w:rPr>
            </w:pPr>
            <w:r>
              <w:rPr>
                <w:sz w:val="20"/>
              </w:rPr>
            </w:r>
          </w:p>
        </w:tc>
        <w:tc>
          <w:tcPr>
            <w:tcW w:w="200" w:type="dxa"/>
            <w:tcBorders/>
            <w:vAlign w:val="center"/>
          </w:tcPr>
          <w:p>
            <w:pPr>
              <w:pStyle w:val="TableContents"/>
              <w:bidi w:val="0"/>
              <w:spacing w:before="0" w:after="283"/>
              <w:jc w:val="left"/>
              <w:rPr>
                <w:color w:val="000000"/>
              </w:rPr>
            </w:pPr>
            <w:r>
              <w:rPr>
                <w:color w:val="000000"/>
              </w:rPr>
              <w:t>b.</w:t>
            </w:r>
          </w:p>
        </w:tc>
        <w:tc>
          <w:tcPr>
            <w:tcW w:w="9967" w:type="dxa"/>
            <w:tcBorders/>
            <w:vAlign w:val="center"/>
          </w:tcPr>
          <w:p>
            <w:pPr>
              <w:pStyle w:val="TableContents"/>
              <w:bidi w:val="0"/>
              <w:spacing w:before="0" w:after="0"/>
              <w:jc w:val="both"/>
              <w:rPr>
                <w:color w:val="000000"/>
                <w:sz w:val="20"/>
              </w:rPr>
            </w:pPr>
            <w:r>
              <w:rPr>
                <w:color w:val="000000"/>
                <w:sz w:val="20"/>
              </w:rPr>
              <w:t>Any fraud, whether or not material, that involves management or other employees who have a significant role in the registrant’s internal control over financial reporting.</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116" w:name="zb885a095727c4a8f9ecbc1da3e18e45b"/>
      <w:bookmarkStart w:id="117" w:name="zb885a095727c4a8f9ecbc1da3e18e45b"/>
      <w:bookmarkEnd w:id="117"/>
    </w:p>
    <w:tbl>
      <w:tblPr>
        <w:tblW w:w="3439" w:type="dxa"/>
        <w:jc w:val="left"/>
        <w:tblInd w:w="0" w:type="dxa"/>
        <w:tblLayout w:type="fixed"/>
        <w:tblCellMar>
          <w:top w:w="0" w:type="dxa"/>
          <w:left w:w="0" w:type="dxa"/>
          <w:bottom w:w="0" w:type="dxa"/>
          <w:right w:w="0" w:type="dxa"/>
        </w:tblCellMar>
      </w:tblPr>
      <w:tblGrid>
        <w:gridCol w:w="345"/>
        <w:gridCol w:w="2949"/>
        <w:gridCol w:w="145"/>
      </w:tblGrid>
      <w:tr>
        <w:trPr/>
        <w:tc>
          <w:tcPr>
            <w:tcW w:w="3294" w:type="dxa"/>
            <w:gridSpan w:val="2"/>
            <w:tcBorders/>
            <w:vAlign w:val="center"/>
          </w:tcPr>
          <w:p>
            <w:pPr>
              <w:pStyle w:val="TableContents"/>
              <w:bidi w:val="0"/>
              <w:spacing w:before="0" w:after="0"/>
              <w:jc w:val="left"/>
              <w:rPr>
                <w:color w:val="000000"/>
                <w:sz w:val="20"/>
              </w:rPr>
            </w:pPr>
            <w:r>
              <w:rPr>
                <w:color w:val="000000"/>
                <w:sz w:val="20"/>
              </w:rPr>
              <w:t>Date: August 10, 2026</w:t>
            </w:r>
          </w:p>
        </w:tc>
        <w:tc>
          <w:tcPr>
            <w:tcW w:w="145" w:type="dxa"/>
            <w:tcBorders/>
            <w:vAlign w:val="center"/>
          </w:tcPr>
          <w:p>
            <w:pPr>
              <w:pStyle w:val="TableContents"/>
              <w:bidi w:val="0"/>
              <w:spacing w:before="0" w:after="283"/>
              <w:jc w:val="left"/>
              <w:rPr/>
            </w:pPr>
            <w:r>
              <w:rPr/>
              <w:t> </w:t>
            </w:r>
          </w:p>
        </w:tc>
      </w:tr>
      <w:tr>
        <w:trPr/>
        <w:tc>
          <w:tcPr>
            <w:tcW w:w="3294" w:type="dxa"/>
            <w:gridSpan w:val="2"/>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r>
      <w:tr>
        <w:trPr/>
        <w:tc>
          <w:tcPr>
            <w:tcW w:w="345" w:type="dxa"/>
            <w:tcBorders/>
            <w:vAlign w:val="center"/>
          </w:tcPr>
          <w:p>
            <w:pPr>
              <w:pStyle w:val="TableContents"/>
              <w:bidi w:val="0"/>
              <w:spacing w:before="0" w:after="0"/>
              <w:jc w:val="left"/>
              <w:rPr>
                <w:color w:val="000000"/>
                <w:sz w:val="20"/>
              </w:rPr>
            </w:pPr>
            <w:r>
              <w:rPr>
                <w:color w:val="000000"/>
                <w:sz w:val="20"/>
              </w:rPr>
              <w:t>By:</w:t>
            </w:r>
          </w:p>
        </w:tc>
        <w:tc>
          <w:tcPr>
            <w:tcW w:w="2949" w:type="dxa"/>
            <w:tcBorders>
              <w:bottom w:val="single" w:sz="12" w:space="0" w:color="000000"/>
            </w:tcBorders>
            <w:tcMar>
              <w:bottom w:w="28" w:type="dxa"/>
            </w:tcMar>
            <w:vAlign w:val="center"/>
          </w:tcPr>
          <w:p>
            <w:pPr>
              <w:pStyle w:val="TableContents"/>
              <w:bidi w:val="0"/>
              <w:spacing w:before="0" w:after="0"/>
              <w:jc w:val="left"/>
              <w:rPr>
                <w:color w:val="000000"/>
                <w:sz w:val="20"/>
              </w:rPr>
            </w:pPr>
            <w:r>
              <w:rPr>
                <w:color w:val="000000"/>
                <w:sz w:val="20"/>
              </w:rPr>
              <w:t>/s/ Jeffrey Lown II</w:t>
            </w:r>
          </w:p>
        </w:tc>
        <w:tc>
          <w:tcPr>
            <w:tcW w:w="145" w:type="dxa"/>
            <w:tcBorders/>
            <w:vAlign w:val="center"/>
          </w:tcPr>
          <w:p>
            <w:pPr>
              <w:pStyle w:val="TableContents"/>
              <w:bidi w:val="0"/>
              <w:spacing w:before="0" w:after="283"/>
              <w:jc w:val="left"/>
              <w:rPr/>
            </w:pPr>
            <w:r>
              <w:rPr/>
              <w:t> </w:t>
            </w:r>
          </w:p>
        </w:tc>
      </w:tr>
      <w:tr>
        <w:trPr/>
        <w:tc>
          <w:tcPr>
            <w:tcW w:w="345" w:type="dxa"/>
            <w:tcBorders/>
            <w:vAlign w:val="center"/>
          </w:tcPr>
          <w:p>
            <w:pPr>
              <w:pStyle w:val="TableContents"/>
              <w:bidi w:val="0"/>
              <w:spacing w:before="0" w:after="283"/>
              <w:jc w:val="left"/>
              <w:rPr/>
            </w:pPr>
            <w:r>
              <w:rPr/>
              <w:t> </w:t>
            </w:r>
          </w:p>
        </w:tc>
        <w:tc>
          <w:tcPr>
            <w:tcW w:w="2949" w:type="dxa"/>
            <w:tcBorders/>
            <w:vAlign w:val="center"/>
          </w:tcPr>
          <w:p>
            <w:pPr>
              <w:pStyle w:val="TableContents"/>
              <w:bidi w:val="0"/>
              <w:spacing w:before="0" w:after="0"/>
              <w:jc w:val="left"/>
              <w:rPr>
                <w:color w:val="000000"/>
                <w:sz w:val="20"/>
              </w:rPr>
            </w:pPr>
            <w:r>
              <w:rPr>
                <w:color w:val="000000"/>
                <w:sz w:val="20"/>
              </w:rPr>
              <w:t>Jeffrey Lown II</w:t>
            </w:r>
          </w:p>
        </w:tc>
        <w:tc>
          <w:tcPr>
            <w:tcW w:w="145" w:type="dxa"/>
            <w:tcBorders/>
            <w:vAlign w:val="center"/>
          </w:tcPr>
          <w:p>
            <w:pPr>
              <w:pStyle w:val="TableContents"/>
              <w:bidi w:val="0"/>
              <w:spacing w:before="0" w:after="283"/>
              <w:jc w:val="left"/>
              <w:rPr/>
            </w:pPr>
            <w:r>
              <w:rPr/>
              <w:t> </w:t>
            </w:r>
          </w:p>
        </w:tc>
      </w:tr>
      <w:tr>
        <w:trPr/>
        <w:tc>
          <w:tcPr>
            <w:tcW w:w="345" w:type="dxa"/>
            <w:tcBorders/>
            <w:vAlign w:val="center"/>
          </w:tcPr>
          <w:p>
            <w:pPr>
              <w:pStyle w:val="TableContents"/>
              <w:bidi w:val="0"/>
              <w:spacing w:before="0" w:after="283"/>
              <w:jc w:val="left"/>
              <w:rPr/>
            </w:pPr>
            <w:r>
              <w:rPr/>
              <w:t> </w:t>
            </w:r>
          </w:p>
        </w:tc>
        <w:tc>
          <w:tcPr>
            <w:tcW w:w="3094" w:type="dxa"/>
            <w:gridSpan w:val="2"/>
            <w:tcBorders/>
            <w:vAlign w:val="center"/>
          </w:tcPr>
          <w:p>
            <w:pPr>
              <w:pStyle w:val="TableContents"/>
              <w:bidi w:val="0"/>
              <w:spacing w:before="0" w:after="0"/>
              <w:jc w:val="left"/>
              <w:rPr>
                <w:color w:val="000000"/>
                <w:sz w:val="20"/>
              </w:rPr>
            </w:pPr>
            <w:r>
              <w:rPr>
                <w:color w:val="000000"/>
                <w:sz w:val="20"/>
              </w:rPr>
              <w:t>President and Chief Executive Officer</w:t>
            </w:r>
          </w:p>
        </w:tc>
      </w:tr>
      <w:tr>
        <w:trPr/>
        <w:tc>
          <w:tcPr>
            <w:tcW w:w="345" w:type="dxa"/>
            <w:tcBorders/>
            <w:vAlign w:val="center"/>
          </w:tcPr>
          <w:p>
            <w:pPr>
              <w:pStyle w:val="TableContents"/>
              <w:bidi w:val="0"/>
              <w:spacing w:before="0" w:after="283"/>
              <w:jc w:val="left"/>
              <w:rPr/>
            </w:pPr>
            <w:r>
              <w:rPr/>
              <w:t> </w:t>
            </w:r>
          </w:p>
        </w:tc>
        <w:tc>
          <w:tcPr>
            <w:tcW w:w="3094" w:type="dxa"/>
            <w:gridSpan w:val="2"/>
            <w:tcBorders/>
            <w:vAlign w:val="center"/>
          </w:tcPr>
          <w:p>
            <w:pPr>
              <w:pStyle w:val="TableContents"/>
              <w:bidi w:val="0"/>
              <w:spacing w:before="0" w:after="0"/>
              <w:jc w:val="left"/>
              <w:rPr>
                <w:color w:val="000000"/>
                <w:sz w:val="20"/>
              </w:rPr>
            </w:pPr>
            <w:r>
              <w:rPr>
                <w:color w:val="000000"/>
                <w:sz w:val="20"/>
              </w:rPr>
              <w:t>(Principal Executive Officer)</w:t>
            </w:r>
          </w:p>
        </w:tc>
      </w:tr>
    </w:tbl>
    <w:p>
      <w:pPr>
        <w:pStyle w:val="TextBody"/>
        <w:bidi w:val="0"/>
        <w:spacing w:before="0" w:after="0"/>
        <w:jc w:val="left"/>
        <w:rPr>
          <w:sz w:val="20"/>
        </w:rPr>
      </w:pPr>
      <w:r>
        <w:rPr>
          <w:sz w:val="20"/>
        </w:rPr>
      </w:r>
    </w:p>
    <w:p>
      <w:pPr>
        <w:pStyle w:val="TextBody"/>
        <w:bidi w:val="0"/>
        <w:spacing w:before="0" w:after="0"/>
        <w:jc w:val="left"/>
        <w:rPr/>
      </w:pPr>
      <w:r>
        <w:rPr/>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118" w:name="ef20075172_ex31-2.htm"/>
      <w:bookmarkStart w:id="119" w:name="ksef20075172_ex312"/>
      <w:bookmarkStart w:id="120" w:name="ef20075172_ex31-2.htm"/>
      <w:bookmarkStart w:id="121" w:name="ksef20075172_ex312"/>
      <w:bookmarkEnd w:id="120"/>
      <w:bookmarkEnd w:id="121"/>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Certification</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 Apeksha Patel, certify that:</w:t>
      </w:r>
    </w:p>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122" w:name="zf24f47eb87c54fae9ac0705b3e037bac"/>
      <w:bookmarkStart w:id="123" w:name="zf24f47eb87c54fae9ac0705b3e037bac"/>
      <w:bookmarkEnd w:id="123"/>
    </w:p>
    <w:tbl>
      <w:tblPr>
        <w:tblW w:w="6835" w:type="dxa"/>
        <w:jc w:val="left"/>
        <w:tblInd w:w="0" w:type="dxa"/>
        <w:tblLayout w:type="fixed"/>
        <w:tblCellMar>
          <w:top w:w="0" w:type="dxa"/>
          <w:left w:w="0" w:type="dxa"/>
          <w:bottom w:w="0" w:type="dxa"/>
          <w:right w:w="0" w:type="dxa"/>
        </w:tblCellMar>
      </w:tblPr>
      <w:tblGrid>
        <w:gridCol w:w="215"/>
        <w:gridCol w:w="6620"/>
      </w:tblGrid>
      <w:tr>
        <w:trPr/>
        <w:tc>
          <w:tcPr>
            <w:tcW w:w="215" w:type="dxa"/>
            <w:tcBorders/>
            <w:vAlign w:val="center"/>
          </w:tcPr>
          <w:p>
            <w:pPr>
              <w:pStyle w:val="TableContents"/>
              <w:bidi w:val="0"/>
              <w:spacing w:before="0" w:after="283"/>
              <w:jc w:val="left"/>
              <w:rPr>
                <w:color w:val="000000"/>
              </w:rPr>
            </w:pPr>
            <w:r>
              <w:rPr>
                <w:color w:val="000000"/>
              </w:rPr>
              <w:t>1.</w:t>
            </w:r>
          </w:p>
        </w:tc>
        <w:tc>
          <w:tcPr>
            <w:tcW w:w="6620" w:type="dxa"/>
            <w:tcBorders/>
            <w:vAlign w:val="center"/>
          </w:tcPr>
          <w:p>
            <w:pPr>
              <w:pStyle w:val="TableContents"/>
              <w:bidi w:val="0"/>
              <w:spacing w:before="0" w:after="0"/>
              <w:jc w:val="both"/>
              <w:rPr>
                <w:color w:val="000000"/>
                <w:sz w:val="20"/>
              </w:rPr>
            </w:pPr>
            <w:r>
              <w:rPr>
                <w:color w:val="000000"/>
                <w:sz w:val="20"/>
              </w:rPr>
              <w:t>I have reviewed this Form 10-Q of Cherry Hill Mortgage Investment Corporation;</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124" w:name="z3eb243d675cd490cba7ff3782c269b87"/>
      <w:bookmarkStart w:id="125" w:name="z3eb243d675cd490cba7ff3782c269b87"/>
      <w:bookmarkEnd w:id="125"/>
    </w:p>
    <w:tbl>
      <w:tblPr>
        <w:tblW w:w="10205" w:type="dxa"/>
        <w:jc w:val="left"/>
        <w:tblInd w:w="0" w:type="dxa"/>
        <w:tblLayout w:type="fixed"/>
        <w:tblCellMar>
          <w:top w:w="0" w:type="dxa"/>
          <w:left w:w="0" w:type="dxa"/>
          <w:bottom w:w="0" w:type="dxa"/>
          <w:right w:w="0" w:type="dxa"/>
        </w:tblCellMar>
      </w:tblPr>
      <w:tblGrid>
        <w:gridCol w:w="178"/>
        <w:gridCol w:w="10027"/>
      </w:tblGrid>
      <w:tr>
        <w:trPr/>
        <w:tc>
          <w:tcPr>
            <w:tcW w:w="178" w:type="dxa"/>
            <w:tcBorders/>
            <w:vAlign w:val="center"/>
          </w:tcPr>
          <w:p>
            <w:pPr>
              <w:pStyle w:val="TableContents"/>
              <w:bidi w:val="0"/>
              <w:spacing w:before="0" w:after="283"/>
              <w:jc w:val="left"/>
              <w:rPr>
                <w:color w:val="000000"/>
              </w:rPr>
            </w:pPr>
            <w:r>
              <w:rPr>
                <w:color w:val="000000"/>
              </w:rPr>
              <w:t>2.</w:t>
            </w:r>
          </w:p>
        </w:tc>
        <w:tc>
          <w:tcPr>
            <w:tcW w:w="10027" w:type="dxa"/>
            <w:tcBorders/>
            <w:vAlign w:val="center"/>
          </w:tcPr>
          <w:p>
            <w:pPr>
              <w:pStyle w:val="TableContents"/>
              <w:bidi w:val="0"/>
              <w:spacing w:before="0" w:after="0"/>
              <w:jc w:val="both"/>
              <w:rPr>
                <w:color w:val="000000"/>
                <w:sz w:val="20"/>
              </w:rPr>
            </w:pPr>
            <w:r>
              <w:rPr>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126" w:name="z2db2c7310fd6498d802a73b8ed09dcb1"/>
      <w:bookmarkStart w:id="127" w:name="z2db2c7310fd6498d802a73b8ed09dcb1"/>
      <w:bookmarkEnd w:id="127"/>
    </w:p>
    <w:tbl>
      <w:tblPr>
        <w:tblW w:w="10205" w:type="dxa"/>
        <w:jc w:val="left"/>
        <w:tblInd w:w="0" w:type="dxa"/>
        <w:tblLayout w:type="fixed"/>
        <w:tblCellMar>
          <w:top w:w="0" w:type="dxa"/>
          <w:left w:w="0" w:type="dxa"/>
          <w:bottom w:w="0" w:type="dxa"/>
          <w:right w:w="0" w:type="dxa"/>
        </w:tblCellMar>
      </w:tblPr>
      <w:tblGrid>
        <w:gridCol w:w="181"/>
        <w:gridCol w:w="10024"/>
      </w:tblGrid>
      <w:tr>
        <w:trPr/>
        <w:tc>
          <w:tcPr>
            <w:tcW w:w="181" w:type="dxa"/>
            <w:tcBorders/>
            <w:vAlign w:val="center"/>
          </w:tcPr>
          <w:p>
            <w:pPr>
              <w:pStyle w:val="TableContents"/>
              <w:bidi w:val="0"/>
              <w:spacing w:before="0" w:after="283"/>
              <w:jc w:val="left"/>
              <w:rPr>
                <w:color w:val="000000"/>
              </w:rPr>
            </w:pPr>
            <w:r>
              <w:rPr>
                <w:color w:val="000000"/>
              </w:rPr>
              <w:t>3.</w:t>
            </w:r>
          </w:p>
        </w:tc>
        <w:tc>
          <w:tcPr>
            <w:tcW w:w="10024" w:type="dxa"/>
            <w:tcBorders/>
            <w:vAlign w:val="center"/>
          </w:tcPr>
          <w:p>
            <w:pPr>
              <w:pStyle w:val="TableContents"/>
              <w:bidi w:val="0"/>
              <w:spacing w:before="0" w:after="0"/>
              <w:jc w:val="both"/>
              <w:rPr>
                <w:color w:val="000000"/>
                <w:sz w:val="20"/>
              </w:rPr>
            </w:pPr>
            <w:r>
              <w:rPr>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128" w:name="z8a02728aa0d9439280bfac2b2e1870a7"/>
      <w:bookmarkStart w:id="129" w:name="z8a02728aa0d9439280bfac2b2e1870a7"/>
      <w:bookmarkEnd w:id="129"/>
    </w:p>
    <w:tbl>
      <w:tblPr>
        <w:tblW w:w="10205" w:type="dxa"/>
        <w:jc w:val="left"/>
        <w:tblInd w:w="0" w:type="dxa"/>
        <w:tblLayout w:type="fixed"/>
        <w:tblCellMar>
          <w:top w:w="0" w:type="dxa"/>
          <w:left w:w="0" w:type="dxa"/>
          <w:bottom w:w="0" w:type="dxa"/>
          <w:right w:w="0" w:type="dxa"/>
        </w:tblCellMar>
      </w:tblPr>
      <w:tblGrid>
        <w:gridCol w:w="176"/>
        <w:gridCol w:w="10029"/>
      </w:tblGrid>
      <w:tr>
        <w:trPr/>
        <w:tc>
          <w:tcPr>
            <w:tcW w:w="176" w:type="dxa"/>
            <w:tcBorders/>
            <w:vAlign w:val="center"/>
          </w:tcPr>
          <w:p>
            <w:pPr>
              <w:pStyle w:val="TableContents"/>
              <w:bidi w:val="0"/>
              <w:spacing w:before="0" w:after="283"/>
              <w:jc w:val="left"/>
              <w:rPr>
                <w:color w:val="000000"/>
              </w:rPr>
            </w:pPr>
            <w:r>
              <w:rPr>
                <w:color w:val="000000"/>
              </w:rPr>
              <w:t>4.</w:t>
            </w:r>
          </w:p>
        </w:tc>
        <w:tc>
          <w:tcPr>
            <w:tcW w:w="10029" w:type="dxa"/>
            <w:tcBorders/>
            <w:vAlign w:val="center"/>
          </w:tcPr>
          <w:p>
            <w:pPr>
              <w:pStyle w:val="TableContents"/>
              <w:bidi w:val="0"/>
              <w:spacing w:before="0" w:after="0"/>
              <w:jc w:val="both"/>
              <w:rPr>
                <w:color w:val="000000"/>
                <w:sz w:val="20"/>
              </w:rPr>
            </w:pPr>
            <w:r>
              <w:rPr>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130" w:name="zf6c156664bfc43068bd7818282055ff0"/>
      <w:bookmarkStart w:id="131" w:name="zf6c156664bfc43068bd7818282055ff0"/>
      <w:bookmarkEnd w:id="131"/>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20"/>
              </w:rPr>
            </w:pPr>
            <w:r>
              <w:rPr>
                <w:sz w:val="20"/>
              </w:rPr>
            </w:r>
          </w:p>
        </w:tc>
        <w:tc>
          <w:tcPr>
            <w:tcW w:w="185" w:type="dxa"/>
            <w:tcBorders/>
            <w:vAlign w:val="center"/>
          </w:tcPr>
          <w:p>
            <w:pPr>
              <w:pStyle w:val="TableContents"/>
              <w:bidi w:val="0"/>
              <w:spacing w:before="0" w:after="283"/>
              <w:jc w:val="left"/>
              <w:rPr>
                <w:color w:val="000000"/>
              </w:rPr>
            </w:pPr>
            <w:r>
              <w:rPr>
                <w:color w:val="000000"/>
              </w:rPr>
              <w:t>a.</w:t>
            </w:r>
          </w:p>
        </w:tc>
        <w:tc>
          <w:tcPr>
            <w:tcW w:w="9982" w:type="dxa"/>
            <w:tcBorders/>
            <w:vAlign w:val="center"/>
          </w:tcPr>
          <w:p>
            <w:pPr>
              <w:pStyle w:val="TableContents"/>
              <w:bidi w:val="0"/>
              <w:spacing w:before="0" w:after="0"/>
              <w:jc w:val="both"/>
              <w:rPr>
                <w:color w:val="000000"/>
                <w:sz w:val="20"/>
              </w:rPr>
            </w:pPr>
            <w:r>
              <w:rPr>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132" w:name="z9d7d57cd04c3439f9424cf769f4a78e0"/>
      <w:bookmarkStart w:id="133" w:name="z9d7d57cd04c3439f9424cf769f4a78e0"/>
      <w:bookmarkEnd w:id="133"/>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20"/>
              </w:rPr>
            </w:pPr>
            <w:r>
              <w:rPr>
                <w:sz w:val="20"/>
              </w:rPr>
            </w:r>
          </w:p>
        </w:tc>
        <w:tc>
          <w:tcPr>
            <w:tcW w:w="200" w:type="dxa"/>
            <w:tcBorders/>
            <w:vAlign w:val="center"/>
          </w:tcPr>
          <w:p>
            <w:pPr>
              <w:pStyle w:val="TableContents"/>
              <w:bidi w:val="0"/>
              <w:spacing w:before="0" w:after="283"/>
              <w:jc w:val="left"/>
              <w:rPr>
                <w:color w:val="000000"/>
              </w:rPr>
            </w:pPr>
            <w:r>
              <w:rPr>
                <w:color w:val="000000"/>
              </w:rPr>
              <w:t>b.</w:t>
            </w:r>
          </w:p>
        </w:tc>
        <w:tc>
          <w:tcPr>
            <w:tcW w:w="9967" w:type="dxa"/>
            <w:tcBorders/>
            <w:vAlign w:val="center"/>
          </w:tcPr>
          <w:p>
            <w:pPr>
              <w:pStyle w:val="TableContents"/>
              <w:bidi w:val="0"/>
              <w:spacing w:before="0" w:after="0"/>
              <w:jc w:val="both"/>
              <w:rPr>
                <w:color w:val="000000"/>
                <w:sz w:val="20"/>
              </w:rPr>
            </w:pPr>
            <w:r>
              <w:rPr>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134" w:name="z9f0ce269f48d4aa191be01fb62f4fa38"/>
      <w:bookmarkStart w:id="135" w:name="z9f0ce269f48d4aa191be01fb62f4fa38"/>
      <w:bookmarkEnd w:id="135"/>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20"/>
              </w:rPr>
            </w:pPr>
            <w:r>
              <w:rPr>
                <w:sz w:val="20"/>
              </w:rPr>
            </w:r>
          </w:p>
        </w:tc>
        <w:tc>
          <w:tcPr>
            <w:tcW w:w="185" w:type="dxa"/>
            <w:tcBorders/>
            <w:vAlign w:val="center"/>
          </w:tcPr>
          <w:p>
            <w:pPr>
              <w:pStyle w:val="TableContents"/>
              <w:bidi w:val="0"/>
              <w:spacing w:before="0" w:after="283"/>
              <w:jc w:val="left"/>
              <w:rPr>
                <w:color w:val="000000"/>
              </w:rPr>
            </w:pPr>
            <w:r>
              <w:rPr>
                <w:color w:val="000000"/>
              </w:rPr>
              <w:t>c.</w:t>
            </w:r>
          </w:p>
        </w:tc>
        <w:tc>
          <w:tcPr>
            <w:tcW w:w="9982" w:type="dxa"/>
            <w:tcBorders/>
            <w:vAlign w:val="center"/>
          </w:tcPr>
          <w:p>
            <w:pPr>
              <w:pStyle w:val="TableContents"/>
              <w:bidi w:val="0"/>
              <w:spacing w:before="0" w:after="0"/>
              <w:jc w:val="both"/>
              <w:rPr>
                <w:color w:val="000000"/>
                <w:sz w:val="20"/>
              </w:rPr>
            </w:pPr>
            <w:r>
              <w:rPr>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136" w:name="z97d08e1e4ed24916b7ae536007e80d71"/>
      <w:bookmarkStart w:id="137" w:name="z97d08e1e4ed24916b7ae536007e80d71"/>
      <w:bookmarkEnd w:id="137"/>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20"/>
              </w:rPr>
            </w:pPr>
            <w:r>
              <w:rPr>
                <w:sz w:val="20"/>
              </w:rPr>
            </w:r>
          </w:p>
        </w:tc>
        <w:tc>
          <w:tcPr>
            <w:tcW w:w="200" w:type="dxa"/>
            <w:tcBorders/>
            <w:vAlign w:val="center"/>
          </w:tcPr>
          <w:p>
            <w:pPr>
              <w:pStyle w:val="TableContents"/>
              <w:bidi w:val="0"/>
              <w:spacing w:before="0" w:after="283"/>
              <w:jc w:val="left"/>
              <w:rPr>
                <w:color w:val="000000"/>
              </w:rPr>
            </w:pPr>
            <w:r>
              <w:rPr>
                <w:color w:val="000000"/>
              </w:rPr>
              <w:t>d.</w:t>
            </w:r>
          </w:p>
        </w:tc>
        <w:tc>
          <w:tcPr>
            <w:tcW w:w="9967" w:type="dxa"/>
            <w:tcBorders/>
            <w:vAlign w:val="center"/>
          </w:tcPr>
          <w:p>
            <w:pPr>
              <w:pStyle w:val="TableContents"/>
              <w:bidi w:val="0"/>
              <w:spacing w:before="0" w:after="0"/>
              <w:jc w:val="both"/>
              <w:rPr>
                <w:color w:val="000000"/>
                <w:sz w:val="20"/>
              </w:rPr>
            </w:pPr>
            <w:r>
              <w:rPr>
                <w:color w:val="000000"/>
                <w:sz w:val="20"/>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138" w:name="z447bff0019b04e7a902ec19b2ef3b9aa"/>
      <w:bookmarkStart w:id="139" w:name="z447bff0019b04e7a902ec19b2ef3b9aa"/>
      <w:bookmarkEnd w:id="139"/>
    </w:p>
    <w:tbl>
      <w:tblPr>
        <w:tblW w:w="10205" w:type="dxa"/>
        <w:jc w:val="left"/>
        <w:tblInd w:w="0" w:type="dxa"/>
        <w:tblLayout w:type="fixed"/>
        <w:tblCellMar>
          <w:top w:w="0" w:type="dxa"/>
          <w:left w:w="0" w:type="dxa"/>
          <w:bottom w:w="0" w:type="dxa"/>
          <w:right w:w="0" w:type="dxa"/>
        </w:tblCellMar>
      </w:tblPr>
      <w:tblGrid>
        <w:gridCol w:w="180"/>
        <w:gridCol w:w="10025"/>
      </w:tblGrid>
      <w:tr>
        <w:trPr/>
        <w:tc>
          <w:tcPr>
            <w:tcW w:w="180" w:type="dxa"/>
            <w:tcBorders/>
            <w:vAlign w:val="center"/>
          </w:tcPr>
          <w:p>
            <w:pPr>
              <w:pStyle w:val="TableContents"/>
              <w:bidi w:val="0"/>
              <w:spacing w:before="0" w:after="283"/>
              <w:jc w:val="left"/>
              <w:rPr>
                <w:color w:val="000000"/>
              </w:rPr>
            </w:pPr>
            <w:r>
              <w:rPr>
                <w:color w:val="000000"/>
              </w:rPr>
              <w:t>5.</w:t>
            </w:r>
          </w:p>
        </w:tc>
        <w:tc>
          <w:tcPr>
            <w:tcW w:w="10025" w:type="dxa"/>
            <w:tcBorders/>
            <w:vAlign w:val="center"/>
          </w:tcPr>
          <w:p>
            <w:pPr>
              <w:pStyle w:val="TableContents"/>
              <w:bidi w:val="0"/>
              <w:spacing w:before="0" w:after="0"/>
              <w:jc w:val="both"/>
              <w:rPr>
                <w:color w:val="000000"/>
                <w:sz w:val="20"/>
              </w:rPr>
            </w:pPr>
            <w:r>
              <w:rPr>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140" w:name="z89f549042af74992b43eeb78d50a26d8"/>
      <w:bookmarkStart w:id="141" w:name="z89f549042af74992b43eeb78d50a26d8"/>
      <w:bookmarkEnd w:id="141"/>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20"/>
              </w:rPr>
            </w:pPr>
            <w:r>
              <w:rPr>
                <w:sz w:val="20"/>
              </w:rPr>
            </w:r>
          </w:p>
        </w:tc>
        <w:tc>
          <w:tcPr>
            <w:tcW w:w="185" w:type="dxa"/>
            <w:tcBorders/>
            <w:vAlign w:val="center"/>
          </w:tcPr>
          <w:p>
            <w:pPr>
              <w:pStyle w:val="TableContents"/>
              <w:bidi w:val="0"/>
              <w:spacing w:before="0" w:after="283"/>
              <w:jc w:val="left"/>
              <w:rPr>
                <w:color w:val="000000"/>
              </w:rPr>
            </w:pPr>
            <w:r>
              <w:rPr>
                <w:color w:val="000000"/>
              </w:rPr>
              <w:t>a.</w:t>
            </w:r>
          </w:p>
        </w:tc>
        <w:tc>
          <w:tcPr>
            <w:tcW w:w="9982" w:type="dxa"/>
            <w:tcBorders/>
            <w:vAlign w:val="center"/>
          </w:tcPr>
          <w:p>
            <w:pPr>
              <w:pStyle w:val="TableContents"/>
              <w:bidi w:val="0"/>
              <w:spacing w:before="0" w:after="0"/>
              <w:jc w:val="both"/>
              <w:rPr>
                <w:color w:val="000000"/>
                <w:sz w:val="20"/>
              </w:rPr>
            </w:pPr>
            <w:r>
              <w:rPr>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142" w:name="zb8843eb750a04f158a1fbd7e67d371a9"/>
      <w:bookmarkStart w:id="143" w:name="zb8843eb750a04f158a1fbd7e67d371a9"/>
      <w:bookmarkEnd w:id="143"/>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20"/>
              </w:rPr>
            </w:pPr>
            <w:r>
              <w:rPr>
                <w:sz w:val="20"/>
              </w:rPr>
            </w:r>
          </w:p>
        </w:tc>
        <w:tc>
          <w:tcPr>
            <w:tcW w:w="200" w:type="dxa"/>
            <w:tcBorders/>
            <w:vAlign w:val="center"/>
          </w:tcPr>
          <w:p>
            <w:pPr>
              <w:pStyle w:val="TableContents"/>
              <w:bidi w:val="0"/>
              <w:spacing w:before="0" w:after="283"/>
              <w:jc w:val="left"/>
              <w:rPr>
                <w:color w:val="000000"/>
              </w:rPr>
            </w:pPr>
            <w:r>
              <w:rPr>
                <w:color w:val="000000"/>
              </w:rPr>
              <w:t>b.</w:t>
            </w:r>
          </w:p>
        </w:tc>
        <w:tc>
          <w:tcPr>
            <w:tcW w:w="9967" w:type="dxa"/>
            <w:tcBorders/>
            <w:vAlign w:val="center"/>
          </w:tcPr>
          <w:p>
            <w:pPr>
              <w:pStyle w:val="TableContents"/>
              <w:bidi w:val="0"/>
              <w:spacing w:before="0" w:after="0"/>
              <w:jc w:val="both"/>
              <w:rPr>
                <w:color w:val="000000"/>
                <w:sz w:val="20"/>
              </w:rPr>
            </w:pPr>
            <w:r>
              <w:rPr>
                <w:color w:val="000000"/>
                <w:sz w:val="20"/>
              </w:rPr>
              <w:t>Any fraud, whether or not material, that involves management or other employees who have a significant role in the registrant’s internal control over financial reporting.</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144" w:name="za522418dedb54b55a5ea719e310892ef"/>
      <w:bookmarkStart w:id="145" w:name="za522418dedb54b55a5ea719e310892ef"/>
      <w:bookmarkEnd w:id="145"/>
    </w:p>
    <w:tbl>
      <w:tblPr>
        <w:tblW w:w="3946" w:type="dxa"/>
        <w:jc w:val="left"/>
        <w:tblInd w:w="0" w:type="dxa"/>
        <w:tblLayout w:type="fixed"/>
        <w:tblCellMar>
          <w:top w:w="0" w:type="dxa"/>
          <w:left w:w="0" w:type="dxa"/>
          <w:bottom w:w="0" w:type="dxa"/>
          <w:right w:w="0" w:type="dxa"/>
        </w:tblCellMar>
      </w:tblPr>
      <w:tblGrid>
        <w:gridCol w:w="357"/>
        <w:gridCol w:w="3419"/>
        <w:gridCol w:w="170"/>
      </w:tblGrid>
      <w:tr>
        <w:trPr/>
        <w:tc>
          <w:tcPr>
            <w:tcW w:w="3776" w:type="dxa"/>
            <w:gridSpan w:val="2"/>
            <w:tcBorders/>
            <w:vAlign w:val="center"/>
          </w:tcPr>
          <w:p>
            <w:pPr>
              <w:pStyle w:val="TableContents"/>
              <w:bidi w:val="0"/>
              <w:spacing w:before="0" w:after="0"/>
              <w:jc w:val="left"/>
              <w:rPr>
                <w:color w:val="000000"/>
                <w:sz w:val="20"/>
              </w:rPr>
            </w:pPr>
            <w:r>
              <w:rPr>
                <w:color w:val="000000"/>
                <w:sz w:val="20"/>
              </w:rPr>
              <w:t>Date: August 10, 2026</w:t>
            </w:r>
          </w:p>
        </w:tc>
        <w:tc>
          <w:tcPr>
            <w:tcW w:w="170" w:type="dxa"/>
            <w:tcBorders/>
            <w:vAlign w:val="center"/>
          </w:tcPr>
          <w:p>
            <w:pPr>
              <w:pStyle w:val="TableContents"/>
              <w:bidi w:val="0"/>
              <w:spacing w:before="0" w:after="283"/>
              <w:jc w:val="left"/>
              <w:rPr/>
            </w:pPr>
            <w:r>
              <w:rPr/>
              <w:t> </w:t>
            </w:r>
          </w:p>
        </w:tc>
      </w:tr>
      <w:tr>
        <w:trPr/>
        <w:tc>
          <w:tcPr>
            <w:tcW w:w="3776"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357" w:type="dxa"/>
            <w:tcBorders/>
            <w:vAlign w:val="center"/>
          </w:tcPr>
          <w:p>
            <w:pPr>
              <w:pStyle w:val="TableContents"/>
              <w:bidi w:val="0"/>
              <w:spacing w:before="0" w:after="0"/>
              <w:jc w:val="left"/>
              <w:rPr>
                <w:color w:val="000000"/>
                <w:sz w:val="20"/>
              </w:rPr>
            </w:pPr>
            <w:r>
              <w:rPr>
                <w:color w:val="000000"/>
                <w:sz w:val="20"/>
              </w:rPr>
              <w:t>By:</w:t>
            </w:r>
          </w:p>
        </w:tc>
        <w:tc>
          <w:tcPr>
            <w:tcW w:w="3419" w:type="dxa"/>
            <w:tcBorders>
              <w:bottom w:val="single" w:sz="12" w:space="0" w:color="000000"/>
            </w:tcBorders>
            <w:tcMar>
              <w:bottom w:w="28" w:type="dxa"/>
            </w:tcMar>
            <w:vAlign w:val="center"/>
          </w:tcPr>
          <w:p>
            <w:pPr>
              <w:pStyle w:val="TableContents"/>
              <w:bidi w:val="0"/>
              <w:spacing w:before="0" w:after="0"/>
              <w:jc w:val="left"/>
              <w:rPr>
                <w:color w:val="000000"/>
                <w:sz w:val="20"/>
              </w:rPr>
            </w:pPr>
            <w:r>
              <w:rPr>
                <w:color w:val="000000"/>
                <w:sz w:val="20"/>
              </w:rPr>
              <w:t>/s/ Apeksha Patel</w:t>
            </w:r>
          </w:p>
        </w:tc>
        <w:tc>
          <w:tcPr>
            <w:tcW w:w="170" w:type="dxa"/>
            <w:tcBorders/>
            <w:vAlign w:val="center"/>
          </w:tcPr>
          <w:p>
            <w:pPr>
              <w:pStyle w:val="TableContents"/>
              <w:bidi w:val="0"/>
              <w:spacing w:before="0" w:after="283"/>
              <w:jc w:val="left"/>
              <w:rPr/>
            </w:pPr>
            <w:r>
              <w:rPr/>
              <w:t> </w:t>
            </w:r>
          </w:p>
        </w:tc>
      </w:tr>
      <w:tr>
        <w:trPr/>
        <w:tc>
          <w:tcPr>
            <w:tcW w:w="357" w:type="dxa"/>
            <w:tcBorders/>
            <w:vAlign w:val="center"/>
          </w:tcPr>
          <w:p>
            <w:pPr>
              <w:pStyle w:val="TableContents"/>
              <w:bidi w:val="0"/>
              <w:spacing w:before="0" w:after="283"/>
              <w:jc w:val="left"/>
              <w:rPr/>
            </w:pPr>
            <w:r>
              <w:rPr/>
              <w:t> </w:t>
            </w:r>
          </w:p>
        </w:tc>
        <w:tc>
          <w:tcPr>
            <w:tcW w:w="3419" w:type="dxa"/>
            <w:tcBorders/>
            <w:vAlign w:val="center"/>
          </w:tcPr>
          <w:p>
            <w:pPr>
              <w:pStyle w:val="TableContents"/>
              <w:bidi w:val="0"/>
              <w:spacing w:before="0" w:after="0"/>
              <w:jc w:val="left"/>
              <w:rPr>
                <w:color w:val="000000"/>
                <w:sz w:val="20"/>
              </w:rPr>
            </w:pPr>
            <w:r>
              <w:rPr>
                <w:color w:val="000000"/>
                <w:sz w:val="20"/>
              </w:rPr>
              <w:t>Apeksha Patel</w:t>
            </w:r>
          </w:p>
        </w:tc>
        <w:tc>
          <w:tcPr>
            <w:tcW w:w="170" w:type="dxa"/>
            <w:tcBorders/>
            <w:vAlign w:val="center"/>
          </w:tcPr>
          <w:p>
            <w:pPr>
              <w:pStyle w:val="TableContents"/>
              <w:bidi w:val="0"/>
              <w:spacing w:before="0" w:after="283"/>
              <w:jc w:val="left"/>
              <w:rPr/>
            </w:pPr>
            <w:r>
              <w:rPr/>
              <w:t> </w:t>
            </w:r>
          </w:p>
        </w:tc>
      </w:tr>
      <w:tr>
        <w:trPr/>
        <w:tc>
          <w:tcPr>
            <w:tcW w:w="357" w:type="dxa"/>
            <w:tcBorders/>
            <w:vAlign w:val="center"/>
          </w:tcPr>
          <w:p>
            <w:pPr>
              <w:pStyle w:val="TableContents"/>
              <w:bidi w:val="0"/>
              <w:spacing w:before="0" w:after="283"/>
              <w:jc w:val="left"/>
              <w:rPr/>
            </w:pPr>
            <w:r>
              <w:rPr/>
              <w:t> </w:t>
            </w:r>
          </w:p>
        </w:tc>
        <w:tc>
          <w:tcPr>
            <w:tcW w:w="3589" w:type="dxa"/>
            <w:gridSpan w:val="2"/>
            <w:tcBorders/>
            <w:vAlign w:val="center"/>
          </w:tcPr>
          <w:p>
            <w:pPr>
              <w:pStyle w:val="TableContents"/>
              <w:bidi w:val="0"/>
              <w:spacing w:before="0" w:after="0"/>
              <w:jc w:val="left"/>
              <w:rPr>
                <w:color w:val="000000"/>
              </w:rPr>
            </w:pPr>
            <w:r>
              <w:rPr>
                <w:color w:val="000000"/>
              </w:rPr>
              <w:t>Chief Financial Officer and Treasurer</w:t>
            </w:r>
          </w:p>
          <w:p>
            <w:pPr>
              <w:pStyle w:val="TableContents"/>
              <w:bidi w:val="0"/>
              <w:spacing w:before="0" w:after="0"/>
              <w:jc w:val="left"/>
              <w:rPr>
                <w:color w:val="000000"/>
              </w:rPr>
            </w:pPr>
            <w:r>
              <w:rPr>
                <w:color w:val="000000"/>
              </w:rPr>
              <w:t>(Principal Financial Officer)</w:t>
            </w:r>
          </w:p>
        </w:tc>
      </w:tr>
    </w:tbl>
    <w:p>
      <w:pPr>
        <w:pStyle w:val="TextBody"/>
        <w:bidi w:val="0"/>
        <w:spacing w:before="0" w:after="0"/>
        <w:jc w:val="left"/>
        <w:rPr>
          <w:sz w:val="20"/>
        </w:rPr>
      </w:pPr>
      <w:r>
        <w:rPr>
          <w:sz w:val="20"/>
        </w:rPr>
      </w:r>
    </w:p>
    <w:p>
      <w:pPr>
        <w:pStyle w:val="TextBody"/>
        <w:bidi w:val="0"/>
        <w:spacing w:before="0" w:after="0"/>
        <w:jc w:val="left"/>
        <w:rPr/>
      </w:pPr>
      <w:r>
        <w:rPr/>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146" w:name="ef20075172_ex32-1.htm"/>
      <w:bookmarkStart w:id="147" w:name="ksef20075172_ex321"/>
      <w:bookmarkStart w:id="148" w:name="ef20075172_ex32-1.htm"/>
      <w:bookmarkStart w:id="149" w:name="ksef20075172_ex321"/>
      <w:bookmarkEnd w:id="148"/>
      <w:bookmarkEnd w:id="149"/>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CERTIFICATION PURSUANT TO SECTION 906</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OF THE SARBANES-OXLEY ACT OF 2002, 18 U.S.C. SECTION 1350</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This certification is provided pursuant to Section 906 of the Sarbanes-Oxley Act of 2002 (subsections (a) and (b) of Section 1350, Chapter 63 of Title 18, United States Code) and accompanies the quarterly report on Form 10-Q (the “Form 10-Q”) for the quarter ended June 30, 2026 of Cherry Hill Mortgage Investment Corporation (the “Company”).</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 Jeffrey Lown II, the President and Chief Executive Officer (Principal Executive Officer) of the Company, certify that:</w:t>
      </w:r>
    </w:p>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150" w:name="z851f7558c6b04bf2a113607f1b4294ef"/>
      <w:bookmarkStart w:id="151" w:name="z851f7558c6b04bf2a113607f1b4294ef"/>
      <w:bookmarkEnd w:id="151"/>
    </w:p>
    <w:tbl>
      <w:tblPr>
        <w:tblW w:w="10205" w:type="dxa"/>
        <w:jc w:val="left"/>
        <w:tblInd w:w="0" w:type="dxa"/>
        <w:tblLayout w:type="fixed"/>
        <w:tblCellMar>
          <w:top w:w="0" w:type="dxa"/>
          <w:left w:w="0" w:type="dxa"/>
          <w:bottom w:w="0" w:type="dxa"/>
          <w:right w:w="0" w:type="dxa"/>
        </w:tblCellMar>
      </w:tblPr>
      <w:tblGrid>
        <w:gridCol w:w="38"/>
        <w:gridCol w:w="188"/>
        <w:gridCol w:w="9979"/>
      </w:tblGrid>
      <w:tr>
        <w:trPr/>
        <w:tc>
          <w:tcPr>
            <w:tcW w:w="38" w:type="dxa"/>
            <w:tcBorders/>
            <w:vAlign w:val="center"/>
          </w:tcPr>
          <w:p>
            <w:pPr>
              <w:pStyle w:val="TableContents"/>
              <w:bidi w:val="0"/>
              <w:spacing w:before="0" w:after="283"/>
              <w:jc w:val="left"/>
              <w:rPr>
                <w:sz w:val="20"/>
              </w:rPr>
            </w:pPr>
            <w:r>
              <w:rPr>
                <w:sz w:val="20"/>
              </w:rPr>
            </w:r>
          </w:p>
        </w:tc>
        <w:tc>
          <w:tcPr>
            <w:tcW w:w="188" w:type="dxa"/>
            <w:tcBorders/>
            <w:vAlign w:val="center"/>
          </w:tcPr>
          <w:p>
            <w:pPr>
              <w:pStyle w:val="TableContents"/>
              <w:bidi w:val="0"/>
              <w:spacing w:before="0" w:after="283"/>
              <w:jc w:val="left"/>
              <w:rPr>
                <w:color w:val="000000"/>
              </w:rPr>
            </w:pPr>
            <w:r>
              <w:rPr>
                <w:color w:val="000000"/>
              </w:rPr>
              <w:t>1.</w:t>
            </w:r>
          </w:p>
        </w:tc>
        <w:tc>
          <w:tcPr>
            <w:tcW w:w="9979" w:type="dxa"/>
            <w:tcBorders/>
            <w:vAlign w:val="center"/>
          </w:tcPr>
          <w:p>
            <w:pPr>
              <w:pStyle w:val="TableContents"/>
              <w:bidi w:val="0"/>
              <w:spacing w:before="0" w:after="0"/>
              <w:jc w:val="both"/>
              <w:rPr>
                <w:color w:val="000000"/>
                <w:sz w:val="20"/>
              </w:rPr>
            </w:pPr>
            <w:r>
              <w:rPr>
                <w:color w:val="000000"/>
                <w:sz w:val="20"/>
              </w:rPr>
              <w:t>the Form 10-Q fully complies with the requirements of section 13(a) or 15(d) of the Securities Exchange Act of 1934 (15 U.S.C. 78m(a) or 78o(d)); and</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152" w:name="z481a6af0cf8b4b43a9d1ba1dc6910241"/>
      <w:bookmarkStart w:id="153" w:name="z481a6af0cf8b4b43a9d1ba1dc6910241"/>
      <w:bookmarkEnd w:id="153"/>
    </w:p>
    <w:tbl>
      <w:tblPr>
        <w:tblW w:w="10205" w:type="dxa"/>
        <w:jc w:val="left"/>
        <w:tblInd w:w="0" w:type="dxa"/>
        <w:tblLayout w:type="fixed"/>
        <w:tblCellMar>
          <w:top w:w="0" w:type="dxa"/>
          <w:left w:w="0" w:type="dxa"/>
          <w:bottom w:w="0" w:type="dxa"/>
          <w:right w:w="0" w:type="dxa"/>
        </w:tblCellMar>
      </w:tblPr>
      <w:tblGrid>
        <w:gridCol w:w="38"/>
        <w:gridCol w:w="188"/>
        <w:gridCol w:w="9979"/>
      </w:tblGrid>
      <w:tr>
        <w:trPr/>
        <w:tc>
          <w:tcPr>
            <w:tcW w:w="38" w:type="dxa"/>
            <w:tcBorders/>
            <w:vAlign w:val="center"/>
          </w:tcPr>
          <w:p>
            <w:pPr>
              <w:pStyle w:val="TableContents"/>
              <w:bidi w:val="0"/>
              <w:spacing w:before="0" w:after="283"/>
              <w:jc w:val="left"/>
              <w:rPr>
                <w:sz w:val="20"/>
              </w:rPr>
            </w:pPr>
            <w:r>
              <w:rPr>
                <w:sz w:val="20"/>
              </w:rPr>
            </w:r>
          </w:p>
        </w:tc>
        <w:tc>
          <w:tcPr>
            <w:tcW w:w="188" w:type="dxa"/>
            <w:tcBorders/>
            <w:vAlign w:val="center"/>
          </w:tcPr>
          <w:p>
            <w:pPr>
              <w:pStyle w:val="TableContents"/>
              <w:bidi w:val="0"/>
              <w:spacing w:before="0" w:after="283"/>
              <w:jc w:val="left"/>
              <w:rPr>
                <w:color w:val="000000"/>
              </w:rPr>
            </w:pPr>
            <w:r>
              <w:rPr>
                <w:color w:val="000000"/>
              </w:rPr>
              <w:t>2.</w:t>
            </w:r>
          </w:p>
        </w:tc>
        <w:tc>
          <w:tcPr>
            <w:tcW w:w="9979" w:type="dxa"/>
            <w:tcBorders/>
            <w:vAlign w:val="center"/>
          </w:tcPr>
          <w:p>
            <w:pPr>
              <w:pStyle w:val="TableContents"/>
              <w:bidi w:val="0"/>
              <w:spacing w:before="0" w:after="0"/>
              <w:jc w:val="both"/>
              <w:rPr>
                <w:color w:val="000000"/>
                <w:sz w:val="20"/>
              </w:rPr>
            </w:pPr>
            <w:r>
              <w:rPr>
                <w:color w:val="000000"/>
                <w:sz w:val="20"/>
              </w:rPr>
              <w:t>the information contained in the Form 10-Q fairly presents, in all material respects, the financial condition and results of operations of the Company.</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154" w:name="z516c564aed7b4552b09b77aff3b302df"/>
      <w:bookmarkStart w:id="155" w:name="z516c564aed7b4552b09b77aff3b302df"/>
      <w:bookmarkEnd w:id="155"/>
    </w:p>
    <w:tbl>
      <w:tblPr>
        <w:tblW w:w="3458" w:type="dxa"/>
        <w:jc w:val="left"/>
        <w:tblInd w:w="0" w:type="dxa"/>
        <w:tblLayout w:type="fixed"/>
        <w:tblCellMar>
          <w:top w:w="0" w:type="dxa"/>
          <w:left w:w="0" w:type="dxa"/>
          <w:bottom w:w="0" w:type="dxa"/>
          <w:right w:w="0" w:type="dxa"/>
        </w:tblCellMar>
      </w:tblPr>
      <w:tblGrid>
        <w:gridCol w:w="364"/>
        <w:gridCol w:w="2956"/>
        <w:gridCol w:w="138"/>
      </w:tblGrid>
      <w:tr>
        <w:trPr/>
        <w:tc>
          <w:tcPr>
            <w:tcW w:w="3320" w:type="dxa"/>
            <w:gridSpan w:val="2"/>
            <w:tcBorders/>
            <w:vAlign w:val="center"/>
          </w:tcPr>
          <w:p>
            <w:pPr>
              <w:pStyle w:val="TableContents"/>
              <w:bidi w:val="0"/>
              <w:spacing w:before="0" w:after="0"/>
              <w:jc w:val="left"/>
              <w:rPr>
                <w:color w:val="000000"/>
                <w:sz w:val="20"/>
              </w:rPr>
            </w:pPr>
            <w:r>
              <w:rPr>
                <w:color w:val="000000"/>
                <w:sz w:val="20"/>
              </w:rPr>
              <w:t>Dated: August 10, 2026</w:t>
            </w:r>
          </w:p>
        </w:tc>
        <w:tc>
          <w:tcPr>
            <w:tcW w:w="138" w:type="dxa"/>
            <w:tcBorders/>
            <w:vAlign w:val="center"/>
          </w:tcPr>
          <w:p>
            <w:pPr>
              <w:pStyle w:val="TableContents"/>
              <w:bidi w:val="0"/>
              <w:spacing w:before="0" w:after="283"/>
              <w:jc w:val="left"/>
              <w:rPr/>
            </w:pPr>
            <w:r>
              <w:rPr/>
              <w:t> </w:t>
            </w:r>
          </w:p>
        </w:tc>
      </w:tr>
      <w:tr>
        <w:trPr/>
        <w:tc>
          <w:tcPr>
            <w:tcW w:w="3320" w:type="dxa"/>
            <w:gridSpan w:val="2"/>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r>
      <w:tr>
        <w:trPr/>
        <w:tc>
          <w:tcPr>
            <w:tcW w:w="364" w:type="dxa"/>
            <w:tcBorders/>
            <w:vAlign w:val="center"/>
          </w:tcPr>
          <w:p>
            <w:pPr>
              <w:pStyle w:val="TableContents"/>
              <w:bidi w:val="0"/>
              <w:spacing w:before="0" w:after="0"/>
              <w:jc w:val="left"/>
              <w:rPr>
                <w:color w:val="000000"/>
                <w:sz w:val="20"/>
              </w:rPr>
            </w:pPr>
            <w:r>
              <w:rPr>
                <w:color w:val="000000"/>
                <w:sz w:val="20"/>
              </w:rPr>
              <w:t>By:</w:t>
            </w:r>
          </w:p>
        </w:tc>
        <w:tc>
          <w:tcPr>
            <w:tcW w:w="2956" w:type="dxa"/>
            <w:tcBorders>
              <w:bottom w:val="single" w:sz="12" w:space="0" w:color="000000"/>
            </w:tcBorders>
            <w:tcMar>
              <w:bottom w:w="28" w:type="dxa"/>
            </w:tcMar>
            <w:vAlign w:val="center"/>
          </w:tcPr>
          <w:p>
            <w:pPr>
              <w:pStyle w:val="TableContents"/>
              <w:bidi w:val="0"/>
              <w:spacing w:before="0" w:after="0"/>
              <w:jc w:val="left"/>
              <w:rPr>
                <w:color w:val="000000"/>
                <w:sz w:val="20"/>
              </w:rPr>
            </w:pPr>
            <w:r>
              <w:rPr>
                <w:color w:val="000000"/>
                <w:sz w:val="20"/>
              </w:rPr>
              <w:t>/s/ Jeffrey Lown II</w:t>
            </w:r>
          </w:p>
        </w:tc>
        <w:tc>
          <w:tcPr>
            <w:tcW w:w="138" w:type="dxa"/>
            <w:tcBorders/>
            <w:vAlign w:val="center"/>
          </w:tcPr>
          <w:p>
            <w:pPr>
              <w:pStyle w:val="TableContents"/>
              <w:bidi w:val="0"/>
              <w:spacing w:before="0" w:after="283"/>
              <w:jc w:val="left"/>
              <w:rPr/>
            </w:pPr>
            <w:r>
              <w:rPr/>
              <w:t> </w:t>
            </w:r>
          </w:p>
        </w:tc>
      </w:tr>
      <w:tr>
        <w:trPr/>
        <w:tc>
          <w:tcPr>
            <w:tcW w:w="364" w:type="dxa"/>
            <w:tcBorders/>
            <w:vAlign w:val="center"/>
          </w:tcPr>
          <w:p>
            <w:pPr>
              <w:pStyle w:val="TableContents"/>
              <w:bidi w:val="0"/>
              <w:spacing w:before="0" w:after="283"/>
              <w:jc w:val="left"/>
              <w:rPr/>
            </w:pPr>
            <w:r>
              <w:rPr/>
              <w:t> </w:t>
            </w:r>
          </w:p>
        </w:tc>
        <w:tc>
          <w:tcPr>
            <w:tcW w:w="2956" w:type="dxa"/>
            <w:tcBorders/>
            <w:vAlign w:val="center"/>
          </w:tcPr>
          <w:p>
            <w:pPr>
              <w:pStyle w:val="TableContents"/>
              <w:bidi w:val="0"/>
              <w:spacing w:before="0" w:after="0"/>
              <w:jc w:val="left"/>
              <w:rPr>
                <w:color w:val="000000"/>
                <w:sz w:val="20"/>
              </w:rPr>
            </w:pPr>
            <w:r>
              <w:rPr>
                <w:color w:val="000000"/>
                <w:sz w:val="20"/>
              </w:rPr>
              <w:t>Jeffrey Lown II</w:t>
            </w:r>
          </w:p>
        </w:tc>
        <w:tc>
          <w:tcPr>
            <w:tcW w:w="138" w:type="dxa"/>
            <w:tcBorders/>
            <w:vAlign w:val="center"/>
          </w:tcPr>
          <w:p>
            <w:pPr>
              <w:pStyle w:val="TableContents"/>
              <w:bidi w:val="0"/>
              <w:spacing w:before="0" w:after="283"/>
              <w:jc w:val="left"/>
              <w:rPr/>
            </w:pPr>
            <w:r>
              <w:rPr/>
              <w:t> </w:t>
            </w:r>
          </w:p>
        </w:tc>
      </w:tr>
      <w:tr>
        <w:trPr/>
        <w:tc>
          <w:tcPr>
            <w:tcW w:w="364" w:type="dxa"/>
            <w:tcBorders/>
            <w:vAlign w:val="center"/>
          </w:tcPr>
          <w:p>
            <w:pPr>
              <w:pStyle w:val="TableContents"/>
              <w:bidi w:val="0"/>
              <w:spacing w:before="0" w:after="283"/>
              <w:jc w:val="left"/>
              <w:rPr/>
            </w:pPr>
            <w:r>
              <w:rPr/>
              <w:t> </w:t>
            </w:r>
          </w:p>
        </w:tc>
        <w:tc>
          <w:tcPr>
            <w:tcW w:w="3094" w:type="dxa"/>
            <w:gridSpan w:val="2"/>
            <w:tcBorders/>
            <w:vAlign w:val="center"/>
          </w:tcPr>
          <w:p>
            <w:pPr>
              <w:pStyle w:val="TableContents"/>
              <w:bidi w:val="0"/>
              <w:spacing w:before="0" w:after="0"/>
              <w:jc w:val="left"/>
              <w:rPr>
                <w:color w:val="000000"/>
                <w:sz w:val="20"/>
              </w:rPr>
            </w:pPr>
            <w:r>
              <w:rPr>
                <w:color w:val="000000"/>
                <w:sz w:val="20"/>
              </w:rPr>
              <w:t>President and Chief Executive Officer</w:t>
            </w:r>
          </w:p>
        </w:tc>
      </w:tr>
      <w:tr>
        <w:trPr/>
        <w:tc>
          <w:tcPr>
            <w:tcW w:w="364" w:type="dxa"/>
            <w:tcBorders/>
            <w:vAlign w:val="center"/>
          </w:tcPr>
          <w:p>
            <w:pPr>
              <w:pStyle w:val="TableContents"/>
              <w:bidi w:val="0"/>
              <w:spacing w:before="0" w:after="283"/>
              <w:jc w:val="left"/>
              <w:rPr/>
            </w:pPr>
            <w:r>
              <w:rPr/>
              <w:t> </w:t>
            </w:r>
          </w:p>
        </w:tc>
        <w:tc>
          <w:tcPr>
            <w:tcW w:w="3094" w:type="dxa"/>
            <w:gridSpan w:val="2"/>
            <w:tcBorders/>
            <w:vAlign w:val="center"/>
          </w:tcPr>
          <w:p>
            <w:pPr>
              <w:pStyle w:val="TableContents"/>
              <w:bidi w:val="0"/>
              <w:spacing w:before="0" w:after="0"/>
              <w:jc w:val="left"/>
              <w:rPr>
                <w:color w:val="000000"/>
                <w:sz w:val="20"/>
              </w:rPr>
            </w:pPr>
            <w:r>
              <w:rPr>
                <w:color w:val="000000"/>
                <w:sz w:val="20"/>
              </w:rPr>
              <w:t>(Principal Executive Officer)</w:t>
            </w:r>
          </w:p>
        </w:tc>
      </w:tr>
    </w:tbl>
    <w:p>
      <w:pPr>
        <w:pStyle w:val="TextBody"/>
        <w:bidi w:val="0"/>
        <w:spacing w:before="0" w:after="0"/>
        <w:jc w:val="left"/>
        <w:rPr>
          <w:sz w:val="20"/>
        </w:rPr>
      </w:pPr>
      <w:r>
        <w:rPr>
          <w:sz w:val="20"/>
        </w:rPr>
      </w:r>
    </w:p>
    <w:p>
      <w:pPr>
        <w:pStyle w:val="TextBody"/>
        <w:bidi w:val="0"/>
        <w:spacing w:before="0" w:after="0"/>
        <w:jc w:val="left"/>
        <w:rPr/>
      </w:pPr>
      <w:r>
        <w:rPr/>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156" w:name="ef20075172_ex32-2.htm"/>
      <w:bookmarkStart w:id="157" w:name="ksef20075172_ex322"/>
      <w:bookmarkStart w:id="158" w:name="ef20075172_ex32-2.htm"/>
      <w:bookmarkStart w:id="159" w:name="ksef20075172_ex322"/>
      <w:bookmarkEnd w:id="158"/>
      <w:bookmarkEnd w:id="159"/>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32.2</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CERTIFICATION PURSUANT TO SECTION 906</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OF THE SARBANES-OXLEY ACT OF 2002, 18 U.S.C. SECTION 1350</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This certification is provided pursuant to Section 906 of the Sarbanes-Oxley Act of 2002 (subsections (a) and (b) of Section 1350, Chapter 63 of Title 18, United States Code) and accompanies the quarterly report on Form 10-Q (the “Form 10-Q”) for the quarter ended June 30, 2026 of Cherry Hill Mortgage Investment Corporation (the “Company”).</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 Apeksha Patel, the Chief Financial Officer and Treasurer (Principal Financial Officer) of the Company, certify that:</w:t>
      </w:r>
    </w:p>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160" w:name="z7d589d9d384a45d2a920a77fdec7097a"/>
      <w:bookmarkStart w:id="161" w:name="z7d589d9d384a45d2a920a77fdec7097a"/>
      <w:bookmarkEnd w:id="161"/>
    </w:p>
    <w:tbl>
      <w:tblPr>
        <w:tblW w:w="10205" w:type="dxa"/>
        <w:jc w:val="left"/>
        <w:tblInd w:w="0" w:type="dxa"/>
        <w:tblLayout w:type="fixed"/>
        <w:tblCellMar>
          <w:top w:w="0" w:type="dxa"/>
          <w:left w:w="0" w:type="dxa"/>
          <w:bottom w:w="0" w:type="dxa"/>
          <w:right w:w="0" w:type="dxa"/>
        </w:tblCellMar>
      </w:tblPr>
      <w:tblGrid>
        <w:gridCol w:w="38"/>
        <w:gridCol w:w="188"/>
        <w:gridCol w:w="9979"/>
      </w:tblGrid>
      <w:tr>
        <w:trPr/>
        <w:tc>
          <w:tcPr>
            <w:tcW w:w="38" w:type="dxa"/>
            <w:tcBorders/>
            <w:vAlign w:val="center"/>
          </w:tcPr>
          <w:p>
            <w:pPr>
              <w:pStyle w:val="TableContents"/>
              <w:bidi w:val="0"/>
              <w:spacing w:before="0" w:after="283"/>
              <w:jc w:val="left"/>
              <w:rPr>
                <w:sz w:val="20"/>
              </w:rPr>
            </w:pPr>
            <w:r>
              <w:rPr>
                <w:sz w:val="20"/>
              </w:rPr>
            </w:r>
          </w:p>
        </w:tc>
        <w:tc>
          <w:tcPr>
            <w:tcW w:w="188" w:type="dxa"/>
            <w:tcBorders/>
            <w:vAlign w:val="center"/>
          </w:tcPr>
          <w:p>
            <w:pPr>
              <w:pStyle w:val="TableContents"/>
              <w:bidi w:val="0"/>
              <w:spacing w:before="0" w:after="283"/>
              <w:jc w:val="left"/>
              <w:rPr>
                <w:color w:val="000000"/>
              </w:rPr>
            </w:pPr>
            <w:r>
              <w:rPr>
                <w:color w:val="000000"/>
              </w:rPr>
              <w:t>1.</w:t>
            </w:r>
          </w:p>
        </w:tc>
        <w:tc>
          <w:tcPr>
            <w:tcW w:w="9979" w:type="dxa"/>
            <w:tcBorders/>
            <w:vAlign w:val="center"/>
          </w:tcPr>
          <w:p>
            <w:pPr>
              <w:pStyle w:val="TableContents"/>
              <w:bidi w:val="0"/>
              <w:spacing w:before="0" w:after="0"/>
              <w:jc w:val="both"/>
              <w:rPr>
                <w:color w:val="000000"/>
                <w:sz w:val="20"/>
              </w:rPr>
            </w:pPr>
            <w:r>
              <w:rPr>
                <w:color w:val="000000"/>
                <w:sz w:val="20"/>
              </w:rPr>
              <w:t>the Form 10-Q fully complies with the requirements of section 13(a) or 15(d) of the Securities Exchange Act of 1934 (15 U.S.C. 78m(a) or 78o(d)); and</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162" w:name="z9ec5ab520c5c492fbd345886cad690e5"/>
      <w:bookmarkStart w:id="163" w:name="z9ec5ab520c5c492fbd345886cad690e5"/>
      <w:bookmarkEnd w:id="163"/>
    </w:p>
    <w:tbl>
      <w:tblPr>
        <w:tblW w:w="10205" w:type="dxa"/>
        <w:jc w:val="left"/>
        <w:tblInd w:w="0" w:type="dxa"/>
        <w:tblLayout w:type="fixed"/>
        <w:tblCellMar>
          <w:top w:w="0" w:type="dxa"/>
          <w:left w:w="0" w:type="dxa"/>
          <w:bottom w:w="0" w:type="dxa"/>
          <w:right w:w="0" w:type="dxa"/>
        </w:tblCellMar>
      </w:tblPr>
      <w:tblGrid>
        <w:gridCol w:w="38"/>
        <w:gridCol w:w="188"/>
        <w:gridCol w:w="9979"/>
      </w:tblGrid>
      <w:tr>
        <w:trPr/>
        <w:tc>
          <w:tcPr>
            <w:tcW w:w="38" w:type="dxa"/>
            <w:tcBorders/>
            <w:vAlign w:val="center"/>
          </w:tcPr>
          <w:p>
            <w:pPr>
              <w:pStyle w:val="TableContents"/>
              <w:bidi w:val="0"/>
              <w:spacing w:before="0" w:after="283"/>
              <w:jc w:val="left"/>
              <w:rPr>
                <w:sz w:val="20"/>
              </w:rPr>
            </w:pPr>
            <w:r>
              <w:rPr>
                <w:sz w:val="20"/>
              </w:rPr>
            </w:r>
          </w:p>
        </w:tc>
        <w:tc>
          <w:tcPr>
            <w:tcW w:w="188" w:type="dxa"/>
            <w:tcBorders/>
            <w:vAlign w:val="center"/>
          </w:tcPr>
          <w:p>
            <w:pPr>
              <w:pStyle w:val="TableContents"/>
              <w:bidi w:val="0"/>
              <w:spacing w:before="0" w:after="283"/>
              <w:jc w:val="left"/>
              <w:rPr>
                <w:color w:val="000000"/>
              </w:rPr>
            </w:pPr>
            <w:r>
              <w:rPr>
                <w:color w:val="000000"/>
              </w:rPr>
              <w:t>2.</w:t>
            </w:r>
          </w:p>
        </w:tc>
        <w:tc>
          <w:tcPr>
            <w:tcW w:w="9979" w:type="dxa"/>
            <w:tcBorders/>
            <w:vAlign w:val="center"/>
          </w:tcPr>
          <w:p>
            <w:pPr>
              <w:pStyle w:val="TableContents"/>
              <w:bidi w:val="0"/>
              <w:spacing w:before="0" w:after="0"/>
              <w:jc w:val="both"/>
              <w:rPr>
                <w:color w:val="000000"/>
                <w:sz w:val="20"/>
              </w:rPr>
            </w:pPr>
            <w:r>
              <w:rPr>
                <w:color w:val="000000"/>
                <w:sz w:val="20"/>
              </w:rPr>
              <w:t>the information contained in the Form 10-Q fairly presents, in all material respects, the financial condition and results of operations of the Company.</w:t>
            </w:r>
          </w:p>
        </w:tc>
      </w:tr>
    </w:tbl>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164" w:name="z4ef1a34b3a524b89993c7582cecd0653"/>
      <w:bookmarkStart w:id="165" w:name="z4ef1a34b3a524b89993c7582cecd0653"/>
      <w:bookmarkEnd w:id="165"/>
    </w:p>
    <w:tbl>
      <w:tblPr>
        <w:tblW w:w="3966" w:type="dxa"/>
        <w:jc w:val="left"/>
        <w:tblInd w:w="0" w:type="dxa"/>
        <w:tblLayout w:type="fixed"/>
        <w:tblCellMar>
          <w:top w:w="0" w:type="dxa"/>
          <w:left w:w="0" w:type="dxa"/>
          <w:bottom w:w="0" w:type="dxa"/>
          <w:right w:w="0" w:type="dxa"/>
        </w:tblCellMar>
      </w:tblPr>
      <w:tblGrid>
        <w:gridCol w:w="377"/>
        <w:gridCol w:w="3428"/>
        <w:gridCol w:w="161"/>
      </w:tblGrid>
      <w:tr>
        <w:trPr/>
        <w:tc>
          <w:tcPr>
            <w:tcW w:w="3805" w:type="dxa"/>
            <w:gridSpan w:val="2"/>
            <w:tcBorders/>
            <w:vAlign w:val="center"/>
          </w:tcPr>
          <w:p>
            <w:pPr>
              <w:pStyle w:val="TableContents"/>
              <w:bidi w:val="0"/>
              <w:spacing w:before="0" w:after="0"/>
              <w:jc w:val="left"/>
              <w:rPr>
                <w:color w:val="000000"/>
                <w:sz w:val="20"/>
              </w:rPr>
            </w:pPr>
            <w:r>
              <w:rPr>
                <w:color w:val="000000"/>
                <w:sz w:val="20"/>
              </w:rPr>
              <w:t>Dated: August 10, 2026</w:t>
            </w:r>
          </w:p>
        </w:tc>
        <w:tc>
          <w:tcPr>
            <w:tcW w:w="161" w:type="dxa"/>
            <w:tcBorders/>
            <w:vAlign w:val="center"/>
          </w:tcPr>
          <w:p>
            <w:pPr>
              <w:pStyle w:val="TableContents"/>
              <w:bidi w:val="0"/>
              <w:spacing w:before="0" w:after="283"/>
              <w:jc w:val="left"/>
              <w:rPr/>
            </w:pPr>
            <w:r>
              <w:rPr/>
              <w:t> </w:t>
            </w:r>
          </w:p>
        </w:tc>
      </w:tr>
      <w:tr>
        <w:trPr/>
        <w:tc>
          <w:tcPr>
            <w:tcW w:w="3805" w:type="dxa"/>
            <w:gridSpan w:val="2"/>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r>
      <w:tr>
        <w:trPr/>
        <w:tc>
          <w:tcPr>
            <w:tcW w:w="377" w:type="dxa"/>
            <w:tcBorders/>
            <w:vAlign w:val="center"/>
          </w:tcPr>
          <w:p>
            <w:pPr>
              <w:pStyle w:val="TableContents"/>
              <w:bidi w:val="0"/>
              <w:spacing w:before="0" w:after="0"/>
              <w:jc w:val="left"/>
              <w:rPr>
                <w:color w:val="000000"/>
                <w:sz w:val="20"/>
              </w:rPr>
            </w:pPr>
            <w:r>
              <w:rPr>
                <w:color w:val="000000"/>
                <w:sz w:val="20"/>
              </w:rPr>
              <w:t>By:</w:t>
            </w:r>
          </w:p>
        </w:tc>
        <w:tc>
          <w:tcPr>
            <w:tcW w:w="3428" w:type="dxa"/>
            <w:tcBorders>
              <w:bottom w:val="single" w:sz="12" w:space="0" w:color="000000"/>
            </w:tcBorders>
            <w:tcMar>
              <w:bottom w:w="28" w:type="dxa"/>
            </w:tcMar>
            <w:vAlign w:val="center"/>
          </w:tcPr>
          <w:p>
            <w:pPr>
              <w:pStyle w:val="TableContents"/>
              <w:bidi w:val="0"/>
              <w:spacing w:before="0" w:after="0"/>
              <w:jc w:val="left"/>
              <w:rPr>
                <w:color w:val="000000"/>
                <w:sz w:val="20"/>
              </w:rPr>
            </w:pPr>
            <w:r>
              <w:rPr>
                <w:color w:val="000000"/>
                <w:sz w:val="20"/>
              </w:rPr>
              <w:t>/s/ Apeksha Patel</w:t>
            </w:r>
          </w:p>
        </w:tc>
        <w:tc>
          <w:tcPr>
            <w:tcW w:w="161" w:type="dxa"/>
            <w:tcBorders/>
            <w:vAlign w:val="center"/>
          </w:tcPr>
          <w:p>
            <w:pPr>
              <w:pStyle w:val="TableContents"/>
              <w:bidi w:val="0"/>
              <w:spacing w:before="0" w:after="283"/>
              <w:jc w:val="left"/>
              <w:rPr/>
            </w:pPr>
            <w:r>
              <w:rPr/>
              <w:t> </w:t>
            </w:r>
          </w:p>
        </w:tc>
      </w:tr>
      <w:tr>
        <w:trPr/>
        <w:tc>
          <w:tcPr>
            <w:tcW w:w="377" w:type="dxa"/>
            <w:tcBorders/>
            <w:vAlign w:val="center"/>
          </w:tcPr>
          <w:p>
            <w:pPr>
              <w:pStyle w:val="TableContents"/>
              <w:bidi w:val="0"/>
              <w:spacing w:before="0" w:after="283"/>
              <w:jc w:val="left"/>
              <w:rPr/>
            </w:pPr>
            <w:r>
              <w:rPr/>
              <w:t> </w:t>
            </w:r>
          </w:p>
        </w:tc>
        <w:tc>
          <w:tcPr>
            <w:tcW w:w="3428" w:type="dxa"/>
            <w:tcBorders/>
            <w:vAlign w:val="center"/>
          </w:tcPr>
          <w:p>
            <w:pPr>
              <w:pStyle w:val="TableContents"/>
              <w:bidi w:val="0"/>
              <w:spacing w:before="0" w:after="0"/>
              <w:jc w:val="left"/>
              <w:rPr>
                <w:color w:val="000000"/>
                <w:sz w:val="20"/>
              </w:rPr>
            </w:pPr>
            <w:r>
              <w:rPr>
                <w:color w:val="000000"/>
                <w:sz w:val="20"/>
              </w:rPr>
              <w:t>Apeksha Patel</w:t>
            </w:r>
          </w:p>
        </w:tc>
        <w:tc>
          <w:tcPr>
            <w:tcW w:w="161" w:type="dxa"/>
            <w:tcBorders/>
            <w:vAlign w:val="center"/>
          </w:tcPr>
          <w:p>
            <w:pPr>
              <w:pStyle w:val="TableContents"/>
              <w:bidi w:val="0"/>
              <w:spacing w:before="0" w:after="283"/>
              <w:jc w:val="left"/>
              <w:rPr/>
            </w:pPr>
            <w:r>
              <w:rPr/>
              <w:t> </w:t>
            </w:r>
          </w:p>
        </w:tc>
      </w:tr>
      <w:tr>
        <w:trPr/>
        <w:tc>
          <w:tcPr>
            <w:tcW w:w="377" w:type="dxa"/>
            <w:tcBorders/>
            <w:vAlign w:val="center"/>
          </w:tcPr>
          <w:p>
            <w:pPr>
              <w:pStyle w:val="TableContents"/>
              <w:bidi w:val="0"/>
              <w:spacing w:before="0" w:after="283"/>
              <w:jc w:val="left"/>
              <w:rPr/>
            </w:pPr>
            <w:r>
              <w:rPr/>
              <w:t> </w:t>
            </w:r>
          </w:p>
        </w:tc>
        <w:tc>
          <w:tcPr>
            <w:tcW w:w="3589" w:type="dxa"/>
            <w:gridSpan w:val="2"/>
            <w:tcBorders/>
            <w:vAlign w:val="center"/>
          </w:tcPr>
          <w:p>
            <w:pPr>
              <w:pStyle w:val="TableContents"/>
              <w:bidi w:val="0"/>
              <w:spacing w:before="0" w:after="0"/>
              <w:jc w:val="left"/>
              <w:rPr>
                <w:color w:val="000000"/>
              </w:rPr>
            </w:pPr>
            <w:r>
              <w:rPr>
                <w:color w:val="000000"/>
              </w:rPr>
              <w:t>Chief Financial Officer and Treasurer</w:t>
            </w:r>
          </w:p>
          <w:p>
            <w:pPr>
              <w:pStyle w:val="TableContents"/>
              <w:bidi w:val="0"/>
              <w:spacing w:before="0" w:after="0"/>
              <w:jc w:val="left"/>
              <w:rPr>
                <w:color w:val="000000"/>
              </w:rPr>
            </w:pPr>
            <w:r>
              <w:rPr>
                <w:color w:val="000000"/>
              </w:rPr>
              <w:t>(Principal Financial Officer)</w:t>
            </w:r>
          </w:p>
        </w:tc>
      </w:tr>
    </w:tbl>
    <w:p>
      <w:pPr>
        <w:pStyle w:val="TextBody"/>
        <w:bidi w:val="0"/>
        <w:spacing w:before="0" w:after="0"/>
        <w:jc w:val="left"/>
        <w:rPr>
          <w:sz w:val="20"/>
        </w:rPr>
      </w:pPr>
      <w:r>
        <w:rPr>
          <w:sz w:val="20"/>
        </w:rPr>
      </w:r>
    </w:p>
    <w:p>
      <w:pPr>
        <w:pStyle w:val="TextBody"/>
        <w:bidi w:val="0"/>
        <w:spacing w:before="0" w:after="0"/>
        <w:jc w:val="left"/>
        <w:rPr>
          <w:sz w:val="20"/>
        </w:rPr>
      </w:pPr>
      <w:r>
        <w:rPr>
          <w:sz w:val="20"/>
        </w:rPr>
      </w:r>
    </w:p>
    <w:p>
      <w:pPr>
        <w:pStyle w:val="HorizontalLine"/>
        <w:pBdr>
          <w:bottom w:val="single" w:sz="1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44770</Words>
  <Characters>235361</Characters>
  <CharactersWithSpaces>283167</CharactersWithSpaces>
  <Paragraphs>16703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