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11, 2026</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CHERRY HILL MORTGAGE INVESTMENT</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CORPORATION</w:t>
      </w: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3800" w:type="dxa"/>
            <w:vAlign w:val="bottom"/>
            <w:tcBorders>
              <w:top w:val="single" w:sz="8" w:color="auto"/>
              <w:bottom w:val="single" w:sz="8" w:color="auto"/>
              <w:right w:val="single" w:sz="8" w:color="auto"/>
            </w:tcBorders>
          </w:tcPr>
          <w:p>
            <w:pPr>
              <w:jc w:val="right"/>
              <w:ind w:right="1430"/>
              <w:spacing w:after="0"/>
              <w:rPr>
                <w:sz w:val="20"/>
                <w:szCs w:val="20"/>
                <w:color w:val="auto"/>
              </w:rPr>
            </w:pPr>
            <w:r>
              <w:rPr>
                <w:rFonts w:ascii="Times New Roman" w:cs="Times New Roman" w:eastAsia="Times New Roman" w:hAnsi="Times New Roman"/>
                <w:sz w:val="18"/>
                <w:szCs w:val="18"/>
                <w:b w:val="1"/>
                <w:bCs w:val="1"/>
                <w:color w:val="auto"/>
              </w:rPr>
              <w:t>001-36099</w:t>
            </w:r>
          </w:p>
        </w:tc>
        <w:tc>
          <w:tcPr>
            <w:tcW w:w="3660" w:type="dxa"/>
            <w:vAlign w:val="bottom"/>
            <w:tcBorders>
              <w:top w:val="single" w:sz="8" w:color="auto"/>
              <w:bottom w:val="single" w:sz="8" w:color="auto"/>
              <w:right w:val="single" w:sz="8" w:color="auto"/>
            </w:tcBorders>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46-1315605</w:t>
            </w:r>
          </w:p>
        </w:tc>
      </w:tr>
      <w:tr>
        <w:trPr>
          <w:trHeight w:val="223"/>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tc>
        <w:tc>
          <w:tcPr>
            <w:tcW w:w="3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3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bl>
    <w:p>
      <w:pPr>
        <w:jc w:val="center"/>
        <w:spacing w:after="0"/>
        <w:rPr>
          <w:sz w:val="20"/>
          <w:szCs w:val="20"/>
          <w:color w:val="auto"/>
        </w:rPr>
      </w:pPr>
      <w:r>
        <w:rPr>
          <w:rFonts w:ascii="Times New Roman" w:cs="Times New Roman" w:eastAsia="Times New Roman" w:hAnsi="Times New Roman"/>
          <w:sz w:val="18"/>
          <w:szCs w:val="18"/>
          <w:b w:val="1"/>
          <w:bCs w:val="1"/>
          <w:color w:val="auto"/>
        </w:rPr>
        <w:t>4000 Route 66, Suite 310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Tinton Falls, New Jersey 07753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877.870.7005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7" w:lineRule="exact"/>
        <w:rPr>
          <w:sz w:val="24"/>
          <w:szCs w:val="24"/>
          <w:color w:val="auto"/>
        </w:rPr>
      </w:pPr>
    </w:p>
    <w:tbl>
      <w:tblPr>
        <w:tblLayout w:type="fixed"/>
        <w:tblInd w:w="10" w:type="dxa"/>
        <w:tblCellMar>
          <w:top w:w="0" w:type="dxa"/>
          <w:left w:w="0" w:type="dxa"/>
          <w:bottom w:w="0" w:type="dxa"/>
          <w:right w:w="0" w:type="dxa"/>
        </w:tblCellMar>
      </w:tblPr>
      <w:tr>
        <w:trPr>
          <w:trHeight w:val="221"/>
        </w:trPr>
        <w:tc>
          <w:tcPr>
            <w:tcW w:w="4360" w:type="dxa"/>
            <w:vAlign w:val="bottom"/>
            <w:tcBorders>
              <w:top w:val="single" w:sz="8" w:color="auto"/>
              <w:left w:val="single" w:sz="8" w:color="auto"/>
              <w:right w:val="single" w:sz="8" w:color="auto"/>
            </w:tcBorders>
          </w:tcPr>
          <w:p>
            <w:pPr>
              <w:spacing w:after="0"/>
              <w:rPr>
                <w:sz w:val="19"/>
                <w:szCs w:val="19"/>
                <w:color w:val="auto"/>
              </w:rPr>
            </w:pPr>
          </w:p>
        </w:tc>
        <w:tc>
          <w:tcPr>
            <w:tcW w:w="2560" w:type="dxa"/>
            <w:vAlign w:val="bottom"/>
            <w:tcBorders>
              <w:top w:val="single" w:sz="8" w:color="auto"/>
              <w:right w:val="single" w:sz="8" w:color="auto"/>
            </w:tcBorders>
          </w:tcPr>
          <w:p>
            <w:pPr>
              <w:spacing w:after="0"/>
              <w:rPr>
                <w:sz w:val="19"/>
                <w:szCs w:val="19"/>
                <w:color w:val="auto"/>
              </w:rPr>
            </w:pPr>
          </w:p>
        </w:tc>
        <w:tc>
          <w:tcPr>
            <w:tcW w:w="4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23"/>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CHMI</w:t>
            </w:r>
          </w:p>
        </w:tc>
        <w:tc>
          <w:tcPr>
            <w:tcW w:w="4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NYSE</w:t>
            </w:r>
          </w:p>
        </w:tc>
      </w:tr>
      <w:tr>
        <w:trPr>
          <w:trHeight w:val="198"/>
        </w:trPr>
        <w:tc>
          <w:tcPr>
            <w:tcW w:w="4360" w:type="dxa"/>
            <w:vAlign w:val="bottom"/>
            <w:tcBorders>
              <w:left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8.20% Series A Cumulative Redeemable Preferred Stock,</w:t>
            </w:r>
          </w:p>
        </w:tc>
        <w:tc>
          <w:tcPr>
            <w:tcW w:w="25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CHMI-PRA</w:t>
            </w:r>
          </w:p>
        </w:tc>
        <w:tc>
          <w:tcPr>
            <w:tcW w:w="432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NYSE</w:t>
            </w:r>
          </w:p>
        </w:tc>
      </w:tr>
      <w:tr>
        <w:trPr>
          <w:trHeight w:val="24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$0.01 par value</w:t>
            </w:r>
          </w:p>
        </w:tc>
        <w:tc>
          <w:tcPr>
            <w:tcW w:w="2560" w:type="dxa"/>
            <w:vAlign w:val="bottom"/>
            <w:tcBorders>
              <w:bottom w:val="single" w:sz="8" w:color="auto"/>
              <w:right w:val="single" w:sz="8" w:color="auto"/>
            </w:tcBorders>
          </w:tcPr>
          <w:p>
            <w:pPr>
              <w:spacing w:after="0"/>
              <w:rPr>
                <w:sz w:val="20"/>
                <w:szCs w:val="20"/>
                <w:color w:val="auto"/>
              </w:rPr>
            </w:pPr>
          </w:p>
        </w:tc>
        <w:tc>
          <w:tcPr>
            <w:tcW w:w="4320" w:type="dxa"/>
            <w:vAlign w:val="bottom"/>
            <w:tcBorders>
              <w:bottom w:val="single" w:sz="8" w:color="auto"/>
              <w:right w:val="single" w:sz="8" w:color="auto"/>
            </w:tcBorders>
          </w:tcPr>
          <w:p>
            <w:pPr>
              <w:spacing w:after="0"/>
              <w:rPr>
                <w:sz w:val="20"/>
                <w:szCs w:val="20"/>
                <w:color w:val="auto"/>
              </w:rPr>
            </w:pPr>
          </w:p>
        </w:tc>
      </w:tr>
      <w:tr>
        <w:trPr>
          <w:trHeight w:val="198"/>
        </w:trPr>
        <w:tc>
          <w:tcPr>
            <w:tcW w:w="4360" w:type="dxa"/>
            <w:vAlign w:val="bottom"/>
            <w:tcBorders>
              <w:left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8.250% Series B Fixed-to-Floating Rate Cumulative</w:t>
            </w:r>
          </w:p>
        </w:tc>
        <w:tc>
          <w:tcPr>
            <w:tcW w:w="25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CHMI-PRB</w:t>
            </w:r>
          </w:p>
        </w:tc>
        <w:tc>
          <w:tcPr>
            <w:tcW w:w="432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NYSE</w:t>
            </w:r>
          </w:p>
        </w:tc>
      </w:tr>
      <w:tr>
        <w:trPr>
          <w:trHeight w:val="24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Redeemable</w:t>
            </w:r>
          </w:p>
        </w:tc>
        <w:tc>
          <w:tcPr>
            <w:tcW w:w="2560" w:type="dxa"/>
            <w:vAlign w:val="bottom"/>
            <w:tcBorders>
              <w:bottom w:val="single" w:sz="8" w:color="auto"/>
              <w:right w:val="single" w:sz="8" w:color="auto"/>
            </w:tcBorders>
          </w:tcPr>
          <w:p>
            <w:pPr>
              <w:spacing w:after="0"/>
              <w:rPr>
                <w:sz w:val="20"/>
                <w:szCs w:val="20"/>
                <w:color w:val="auto"/>
              </w:rPr>
            </w:pPr>
          </w:p>
        </w:tc>
        <w:tc>
          <w:tcPr>
            <w:tcW w:w="4320" w:type="dxa"/>
            <w:vAlign w:val="bottom"/>
            <w:tcBorders>
              <w:bottom w:val="single" w:sz="8" w:color="auto"/>
              <w:right w:val="single" w:sz="8" w:color="auto"/>
            </w:tcBorders>
          </w:tcPr>
          <w:p>
            <w:pPr>
              <w:spacing w:after="0"/>
              <w:rPr>
                <w:sz w:val="20"/>
                <w:szCs w:val="20"/>
                <w:color w:val="auto"/>
              </w:rPr>
            </w:pPr>
          </w:p>
        </w:tc>
      </w:tr>
      <w:tr>
        <w:trPr>
          <w:trHeight w:val="297"/>
        </w:trPr>
        <w:tc>
          <w:tcPr>
            <w:tcW w:w="43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r>
      <w:tr>
        <w:trPr>
          <w:trHeight w:val="163"/>
        </w:trPr>
        <w:tc>
          <w:tcPr>
            <w:tcW w:w="43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tcPr>
          <w:p>
            <w:pPr>
              <w:spacing w:after="0"/>
              <w:rPr>
                <w:sz w:val="14"/>
                <w:szCs w:val="14"/>
                <w:color w:val="auto"/>
              </w:rPr>
            </w:pPr>
          </w:p>
        </w:tc>
        <w:tc>
          <w:tcPr>
            <w:tcW w:w="4320" w:type="dxa"/>
            <w:vAlign w:val="bottom"/>
            <w:tcBorders>
              <w:bottom w:val="single" w:sz="8" w:color="auto"/>
            </w:tcBorders>
          </w:tcPr>
          <w:p>
            <w:pPr>
              <w:spacing w:after="0"/>
              <w:rPr>
                <w:sz w:val="14"/>
                <w:szCs w:val="14"/>
                <w:color w:val="auto"/>
              </w:rPr>
            </w:pPr>
          </w:p>
        </w:tc>
      </w:tr>
      <w:tr>
        <w:trPr>
          <w:trHeight w:val="196"/>
        </w:trPr>
        <w:tc>
          <w:tcPr>
            <w:tcW w:w="436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spacing w:after="0"/>
              <w:rPr>
                <w:sz w:val="17"/>
                <w:szCs w:val="17"/>
                <w:color w:val="auto"/>
              </w:rPr>
            </w:pPr>
          </w:p>
        </w:tc>
        <w:tc>
          <w:tcPr>
            <w:tcW w:w="4320" w:type="dxa"/>
            <w:vAlign w:val="bottom"/>
            <w:tcBorders>
              <w:bottom w:val="single" w:sz="8" w:color="auto"/>
            </w:tcBorders>
          </w:tcPr>
          <w:p>
            <w:pPr>
              <w:spacing w:after="0"/>
              <w:rPr>
                <w:sz w:val="17"/>
                <w:szCs w:val="17"/>
                <w:color w:val="auto"/>
              </w:rPr>
            </w:pPr>
          </w:p>
        </w:tc>
      </w:tr>
    </w:tbl>
    <w:p>
      <w:pPr>
        <w:sectPr>
          <w:pgSz w:w="11900" w:h="16838" w:orient="portrait"/>
          <w:cols w:equalWidth="0" w:num="1">
            <w:col w:w="11240"/>
          </w:cols>
          <w:pgMar w:left="320" w:top="516"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Vote of Security Holders</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On June 11, 2026, Cherry Hill Mortgage Investment Corporation, a Maryland corporation (the “Company”), held its annual meeting of stockholders (the “Annual Meeting”). At the Annual Meeting, the Company stockholders voted to (i) re-elect Jeffrey B. Lown II, Joseph Murin, Robert C. Mercer, Jr., Sharon Lee Cook, and Dale Hoffman to the board of directors of the Company (the “Board of Directors), to hold office until the next annual meeting of the stockholders and until their successors are duly elected and qualified, (ii) approve, on a non-binding advisory basis, the compensation of the named executive officers of the Company for the year ended December 31, 2025, as described in the proxy statement for the Annual Meeting, (iii) ratify the appointment of Ernst &amp; Young LLP (“EY”) as the Company’s independent public auditors for the fiscal year ending December 31, 2026, and (iv) approve the proposed amendment to the Company’s charter to remove the Board of Director’s exclusive power to amend the Company’s bylaws and make new bylaws (the “Charter Amendment”). The voting results with respect to each of these matters is set forth below:</w:t>
      </w:r>
    </w:p>
    <w:p>
      <w:pPr>
        <w:spacing w:after="0" w:line="192" w:lineRule="exact"/>
        <w:rPr>
          <w:sz w:val="20"/>
          <w:szCs w:val="20"/>
          <w:color w:val="auto"/>
        </w:rPr>
      </w:pPr>
    </w:p>
    <w:p>
      <w:pPr>
        <w:ind w:right="280" w:firstLine="8"/>
        <w:spacing w:after="0" w:line="282" w:lineRule="auto"/>
        <w:tabs>
          <w:tab w:leader="none" w:pos="62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nominees for election to the Board of Directors was re-elected based on the votes for, votes withheld and broker non-votes set forth below after each respective name: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Votes</w:t>
            </w: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Votes</w:t>
            </w:r>
          </w:p>
        </w:tc>
        <w:tc>
          <w:tcPr>
            <w:tcW w:w="1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94"/>
        </w:trPr>
        <w:tc>
          <w:tcPr>
            <w:tcW w:w="2920" w:type="dxa"/>
            <w:vAlign w:val="bottom"/>
            <w:gridSpan w:val="3"/>
          </w:tcPr>
          <w:p>
            <w:pPr>
              <w:ind w:left="120"/>
              <w:spacing w:after="0" w:line="194" w:lineRule="exact"/>
              <w:rPr>
                <w:sz w:val="20"/>
                <w:szCs w:val="20"/>
                <w:color w:val="auto"/>
              </w:rPr>
            </w:pPr>
            <w:r>
              <w:rPr>
                <w:rFonts w:ascii="Times New Roman" w:cs="Times New Roman" w:eastAsia="Times New Roman" w:hAnsi="Times New Roman"/>
                <w:sz w:val="18"/>
                <w:szCs w:val="18"/>
                <w:color w:val="auto"/>
              </w:rPr>
              <w:t>Name</w:t>
            </w:r>
          </w:p>
        </w:tc>
        <w:tc>
          <w:tcPr>
            <w:tcW w:w="28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For</w:t>
            </w:r>
          </w:p>
        </w:tc>
        <w:tc>
          <w:tcPr>
            <w:tcW w:w="17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Withheld</w:t>
            </w:r>
          </w:p>
        </w:tc>
        <w:tc>
          <w:tcPr>
            <w:tcW w:w="3740" w:type="dxa"/>
            <w:vAlign w:val="bottom"/>
            <w:gridSpan w:val="3"/>
          </w:tcPr>
          <w:p>
            <w:pPr>
              <w:ind w:left="1060"/>
              <w:spacing w:after="0" w:line="194" w:lineRule="exact"/>
              <w:rPr>
                <w:sz w:val="20"/>
                <w:szCs w:val="20"/>
                <w:color w:val="auto"/>
              </w:rPr>
            </w:pPr>
            <w:r>
              <w:rPr>
                <w:rFonts w:ascii="Times New Roman" w:cs="Times New Roman" w:eastAsia="Times New Roman" w:hAnsi="Times New Roman"/>
                <w:sz w:val="18"/>
                <w:szCs w:val="18"/>
                <w:color w:val="auto"/>
              </w:rPr>
              <w:t>Broker Non-Vote</w:t>
            </w:r>
          </w:p>
        </w:tc>
      </w:tr>
      <w:tr>
        <w:trPr>
          <w:trHeight w:val="20"/>
        </w:trPr>
        <w:tc>
          <w:tcPr>
            <w:tcW w:w="1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16"/>
        </w:trPr>
        <w:tc>
          <w:tcPr>
            <w:tcW w:w="2920" w:type="dxa"/>
            <w:vAlign w:val="bottom"/>
            <w:gridSpan w:val="3"/>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Jeffrey B. Lown II</w:t>
            </w:r>
          </w:p>
        </w:tc>
        <w:tc>
          <w:tcPr>
            <w:tcW w:w="28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8"/>
                <w:szCs w:val="18"/>
                <w:color w:val="auto"/>
              </w:rPr>
              <w:t>9,184,252</w:t>
            </w:r>
          </w:p>
        </w:tc>
        <w:tc>
          <w:tcPr>
            <w:tcW w:w="17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8"/>
                <w:szCs w:val="18"/>
                <w:color w:val="auto"/>
              </w:rPr>
              <w:t>2,052,934</w:t>
            </w:r>
          </w:p>
        </w:tc>
        <w:tc>
          <w:tcPr>
            <w:tcW w:w="2300" w:type="dxa"/>
            <w:vAlign w:val="bottom"/>
            <w:gridSpan w:val="2"/>
            <w:shd w:val="clear" w:color="auto" w:fill="CCECFF"/>
          </w:tcPr>
          <w:p>
            <w:pPr>
              <w:ind w:left="1060"/>
              <w:spacing w:after="0"/>
              <w:rPr>
                <w:sz w:val="20"/>
                <w:szCs w:val="20"/>
                <w:color w:val="auto"/>
              </w:rPr>
            </w:pPr>
            <w:r>
              <w:rPr>
                <w:rFonts w:ascii="Times New Roman" w:cs="Times New Roman" w:eastAsia="Times New Roman" w:hAnsi="Times New Roman"/>
                <w:sz w:val="18"/>
                <w:szCs w:val="18"/>
                <w:color w:val="auto"/>
              </w:rPr>
              <w:t>11,592,342</w:t>
            </w:r>
          </w:p>
        </w:tc>
        <w:tc>
          <w:tcPr>
            <w:tcW w:w="1440" w:type="dxa"/>
            <w:vAlign w:val="bottom"/>
            <w:shd w:val="clear" w:color="auto" w:fill="CCECFF"/>
          </w:tcPr>
          <w:p>
            <w:pPr>
              <w:spacing w:after="0"/>
              <w:rPr>
                <w:sz w:val="18"/>
                <w:szCs w:val="18"/>
                <w:color w:val="auto"/>
              </w:rPr>
            </w:pPr>
          </w:p>
        </w:tc>
      </w:tr>
      <w:tr>
        <w:trPr>
          <w:trHeight w:val="216"/>
        </w:trPr>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Joseph Murin</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9,189,112</w:t>
            </w: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2,048,074</w:t>
            </w:r>
          </w:p>
        </w:tc>
        <w:tc>
          <w:tcPr>
            <w:tcW w:w="23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11,592,342</w:t>
            </w:r>
          </w:p>
        </w:tc>
        <w:tc>
          <w:tcPr>
            <w:tcW w:w="1440" w:type="dxa"/>
            <w:vAlign w:val="bottom"/>
          </w:tcPr>
          <w:p>
            <w:pPr>
              <w:spacing w:after="0"/>
              <w:rPr>
                <w:sz w:val="18"/>
                <w:szCs w:val="18"/>
                <w:color w:val="auto"/>
              </w:rPr>
            </w:pPr>
          </w:p>
        </w:tc>
      </w:tr>
      <w:tr>
        <w:trPr>
          <w:trHeight w:val="216"/>
        </w:trPr>
        <w:tc>
          <w:tcPr>
            <w:tcW w:w="2920" w:type="dxa"/>
            <w:vAlign w:val="bottom"/>
            <w:gridSpan w:val="3"/>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Robert C. Mercer Jr.</w:t>
            </w:r>
          </w:p>
        </w:tc>
        <w:tc>
          <w:tcPr>
            <w:tcW w:w="28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8"/>
                <w:szCs w:val="18"/>
                <w:color w:val="auto"/>
              </w:rPr>
              <w:t>9,184,495</w:t>
            </w:r>
          </w:p>
        </w:tc>
        <w:tc>
          <w:tcPr>
            <w:tcW w:w="17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8"/>
                <w:szCs w:val="18"/>
                <w:color w:val="auto"/>
              </w:rPr>
              <w:t>2,052,691</w:t>
            </w:r>
          </w:p>
        </w:tc>
        <w:tc>
          <w:tcPr>
            <w:tcW w:w="2300" w:type="dxa"/>
            <w:vAlign w:val="bottom"/>
            <w:gridSpan w:val="2"/>
            <w:shd w:val="clear" w:color="auto" w:fill="CCECFF"/>
          </w:tcPr>
          <w:p>
            <w:pPr>
              <w:ind w:left="1060"/>
              <w:spacing w:after="0"/>
              <w:rPr>
                <w:sz w:val="20"/>
                <w:szCs w:val="20"/>
                <w:color w:val="auto"/>
              </w:rPr>
            </w:pPr>
            <w:r>
              <w:rPr>
                <w:rFonts w:ascii="Times New Roman" w:cs="Times New Roman" w:eastAsia="Times New Roman" w:hAnsi="Times New Roman"/>
                <w:sz w:val="18"/>
                <w:szCs w:val="18"/>
                <w:color w:val="auto"/>
              </w:rPr>
              <w:t>11,592,342</w:t>
            </w:r>
          </w:p>
        </w:tc>
        <w:tc>
          <w:tcPr>
            <w:tcW w:w="1440" w:type="dxa"/>
            <w:vAlign w:val="bottom"/>
            <w:shd w:val="clear" w:color="auto" w:fill="CCECFF"/>
          </w:tcPr>
          <w:p>
            <w:pPr>
              <w:spacing w:after="0"/>
              <w:rPr>
                <w:sz w:val="18"/>
                <w:szCs w:val="18"/>
                <w:color w:val="auto"/>
              </w:rPr>
            </w:pPr>
          </w:p>
        </w:tc>
      </w:tr>
      <w:tr>
        <w:trPr>
          <w:trHeight w:val="216"/>
        </w:trPr>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Sharon Lee Cook</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9,173,986</w:t>
            </w: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2,063,200</w:t>
            </w:r>
          </w:p>
        </w:tc>
        <w:tc>
          <w:tcPr>
            <w:tcW w:w="23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11,592,342</w:t>
            </w:r>
          </w:p>
        </w:tc>
        <w:tc>
          <w:tcPr>
            <w:tcW w:w="1440" w:type="dxa"/>
            <w:vAlign w:val="bottom"/>
          </w:tcPr>
          <w:p>
            <w:pPr>
              <w:spacing w:after="0"/>
              <w:rPr>
                <w:sz w:val="18"/>
                <w:szCs w:val="18"/>
                <w:color w:val="auto"/>
              </w:rPr>
            </w:pPr>
          </w:p>
        </w:tc>
      </w:tr>
      <w:tr>
        <w:trPr>
          <w:trHeight w:val="216"/>
        </w:trPr>
        <w:tc>
          <w:tcPr>
            <w:tcW w:w="2920" w:type="dxa"/>
            <w:vAlign w:val="bottom"/>
            <w:gridSpan w:val="3"/>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Dale Hoffman</w:t>
            </w:r>
          </w:p>
        </w:tc>
        <w:tc>
          <w:tcPr>
            <w:tcW w:w="28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8"/>
                <w:szCs w:val="18"/>
                <w:color w:val="auto"/>
              </w:rPr>
              <w:t>9,209,225</w:t>
            </w:r>
          </w:p>
        </w:tc>
        <w:tc>
          <w:tcPr>
            <w:tcW w:w="17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8"/>
                <w:szCs w:val="18"/>
                <w:color w:val="auto"/>
              </w:rPr>
              <w:t>2,027,961</w:t>
            </w:r>
          </w:p>
        </w:tc>
        <w:tc>
          <w:tcPr>
            <w:tcW w:w="2300" w:type="dxa"/>
            <w:vAlign w:val="bottom"/>
            <w:gridSpan w:val="2"/>
            <w:shd w:val="clear" w:color="auto" w:fill="CCECFF"/>
          </w:tcPr>
          <w:p>
            <w:pPr>
              <w:ind w:left="1060"/>
              <w:spacing w:after="0"/>
              <w:rPr>
                <w:sz w:val="20"/>
                <w:szCs w:val="20"/>
                <w:color w:val="auto"/>
              </w:rPr>
            </w:pPr>
            <w:r>
              <w:rPr>
                <w:rFonts w:ascii="Times New Roman" w:cs="Times New Roman" w:eastAsia="Times New Roman" w:hAnsi="Times New Roman"/>
                <w:sz w:val="18"/>
                <w:szCs w:val="18"/>
                <w:color w:val="auto"/>
              </w:rPr>
              <w:t>11,592,342</w:t>
            </w:r>
          </w:p>
        </w:tc>
        <w:tc>
          <w:tcPr>
            <w:tcW w:w="1440" w:type="dxa"/>
            <w:vAlign w:val="bottom"/>
            <w:shd w:val="clear" w:color="auto" w:fill="CCECFF"/>
          </w:tcPr>
          <w:p>
            <w:pPr>
              <w:spacing w:after="0"/>
              <w:rPr>
                <w:sz w:val="18"/>
                <w:szCs w:val="18"/>
                <w:color w:val="auto"/>
              </w:rPr>
            </w:pPr>
          </w:p>
        </w:tc>
      </w:tr>
    </w:tbl>
    <w:p>
      <w:pPr>
        <w:spacing w:after="0" w:line="198" w:lineRule="exact"/>
        <w:rPr>
          <w:sz w:val="20"/>
          <w:szCs w:val="20"/>
          <w:color w:val="auto"/>
        </w:rPr>
      </w:pPr>
    </w:p>
    <w:p>
      <w:pPr>
        <w:ind w:right="40" w:firstLine="8"/>
        <w:spacing w:after="0" w:line="266" w:lineRule="auto"/>
        <w:tabs>
          <w:tab w:leader="none" w:pos="62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proposal to approve, on a non-binding, advisory basis, the compensation of the Company’s named executive officers for the year ended December 31, 2025, as described in the proxy statement for the Annual Meeting, was approved based on the following votes for, votes against, abstentions, and broker non-votes: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Votes</w:t>
            </w: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194"/>
        </w:trPr>
        <w:tc>
          <w:tcPr>
            <w:tcW w:w="120" w:type="dxa"/>
            <w:vAlign w:val="bottom"/>
          </w:tcPr>
          <w:p>
            <w:pPr>
              <w:spacing w:after="0"/>
              <w:rPr>
                <w:sz w:val="16"/>
                <w:szCs w:val="16"/>
                <w:color w:val="auto"/>
              </w:rPr>
            </w:pPr>
          </w:p>
        </w:tc>
        <w:tc>
          <w:tcPr>
            <w:tcW w:w="17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For</w:t>
            </w:r>
          </w:p>
        </w:tc>
        <w:tc>
          <w:tcPr>
            <w:tcW w:w="2940" w:type="dxa"/>
            <w:vAlign w:val="bottom"/>
            <w:gridSpan w:val="3"/>
          </w:tcPr>
          <w:p>
            <w:pPr>
              <w:ind w:left="1040"/>
              <w:spacing w:after="0" w:line="194" w:lineRule="exact"/>
              <w:rPr>
                <w:sz w:val="20"/>
                <w:szCs w:val="20"/>
                <w:color w:val="auto"/>
              </w:rPr>
            </w:pPr>
            <w:r>
              <w:rPr>
                <w:rFonts w:ascii="Times New Roman" w:cs="Times New Roman" w:eastAsia="Times New Roman" w:hAnsi="Times New Roman"/>
                <w:sz w:val="18"/>
                <w:szCs w:val="18"/>
                <w:color w:val="auto"/>
              </w:rPr>
              <w:t>Votes Against</w:t>
            </w:r>
          </w:p>
        </w:tc>
        <w:tc>
          <w:tcPr>
            <w:tcW w:w="3720" w:type="dxa"/>
            <w:vAlign w:val="bottom"/>
            <w:gridSpan w:val="3"/>
          </w:tcPr>
          <w:p>
            <w:pPr>
              <w:ind w:left="900"/>
              <w:spacing w:after="0" w:line="194" w:lineRule="exact"/>
              <w:rPr>
                <w:sz w:val="20"/>
                <w:szCs w:val="20"/>
                <w:color w:val="auto"/>
              </w:rPr>
            </w:pPr>
            <w:r>
              <w:rPr>
                <w:rFonts w:ascii="Times New Roman" w:cs="Times New Roman" w:eastAsia="Times New Roman" w:hAnsi="Times New Roman"/>
                <w:sz w:val="18"/>
                <w:szCs w:val="18"/>
                <w:color w:val="auto"/>
              </w:rPr>
              <w:t>Abstentions</w:t>
            </w:r>
          </w:p>
        </w:tc>
        <w:tc>
          <w:tcPr>
            <w:tcW w:w="27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Broker Non-Vote</w:t>
            </w:r>
          </w:p>
        </w:tc>
      </w:tr>
      <w:tr>
        <w:trPr>
          <w:trHeight w:val="21"/>
        </w:trPr>
        <w:tc>
          <w:tcPr>
            <w:tcW w:w="12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6"/>
        </w:trPr>
        <w:tc>
          <w:tcPr>
            <w:tcW w:w="1880" w:type="dxa"/>
            <w:vAlign w:val="bottom"/>
            <w:gridSpan w:val="3"/>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7,958,045</w:t>
            </w:r>
          </w:p>
        </w:tc>
        <w:tc>
          <w:tcPr>
            <w:tcW w:w="2040" w:type="dxa"/>
            <w:vAlign w:val="bottom"/>
            <w:gridSpan w:val="2"/>
            <w:shd w:val="clear" w:color="auto" w:fill="CCECFF"/>
          </w:tcPr>
          <w:p>
            <w:pPr>
              <w:ind w:left="1040"/>
              <w:spacing w:after="0"/>
              <w:rPr>
                <w:sz w:val="20"/>
                <w:szCs w:val="20"/>
                <w:color w:val="auto"/>
              </w:rPr>
            </w:pPr>
            <w:r>
              <w:rPr>
                <w:rFonts w:ascii="Times New Roman" w:cs="Times New Roman" w:eastAsia="Times New Roman" w:hAnsi="Times New Roman"/>
                <w:sz w:val="18"/>
                <w:szCs w:val="18"/>
                <w:color w:val="auto"/>
              </w:rPr>
              <w:t>2,415,169</w:t>
            </w:r>
          </w:p>
        </w:tc>
        <w:tc>
          <w:tcPr>
            <w:tcW w:w="900" w:type="dxa"/>
            <w:vAlign w:val="bottom"/>
            <w:shd w:val="clear" w:color="auto" w:fill="CCECFF"/>
          </w:tcPr>
          <w:p>
            <w:pPr>
              <w:spacing w:after="0"/>
              <w:rPr>
                <w:sz w:val="18"/>
                <w:szCs w:val="18"/>
                <w:color w:val="auto"/>
              </w:rPr>
            </w:pPr>
          </w:p>
        </w:tc>
        <w:tc>
          <w:tcPr>
            <w:tcW w:w="1760" w:type="dxa"/>
            <w:vAlign w:val="bottom"/>
            <w:gridSpan w:val="2"/>
            <w:shd w:val="clear" w:color="auto" w:fill="CCECFF"/>
          </w:tcPr>
          <w:p>
            <w:pPr>
              <w:ind w:left="900"/>
              <w:spacing w:after="0"/>
              <w:rPr>
                <w:sz w:val="20"/>
                <w:szCs w:val="20"/>
                <w:color w:val="auto"/>
              </w:rPr>
            </w:pPr>
            <w:r>
              <w:rPr>
                <w:rFonts w:ascii="Times New Roman" w:cs="Times New Roman" w:eastAsia="Times New Roman" w:hAnsi="Times New Roman"/>
                <w:sz w:val="18"/>
                <w:szCs w:val="18"/>
                <w:color w:val="auto"/>
              </w:rPr>
              <w:t>863,972</w:t>
            </w:r>
          </w:p>
        </w:tc>
        <w:tc>
          <w:tcPr>
            <w:tcW w:w="1960" w:type="dxa"/>
            <w:vAlign w:val="bottom"/>
            <w:shd w:val="clear" w:color="auto" w:fill="CCECFF"/>
          </w:tcPr>
          <w:p>
            <w:pPr>
              <w:spacing w:after="0"/>
              <w:rPr>
                <w:sz w:val="18"/>
                <w:szCs w:val="18"/>
                <w:color w:val="auto"/>
              </w:rPr>
            </w:pPr>
          </w:p>
        </w:tc>
        <w:tc>
          <w:tcPr>
            <w:tcW w:w="12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11,592,342</w:t>
            </w:r>
          </w:p>
        </w:tc>
        <w:tc>
          <w:tcPr>
            <w:tcW w:w="1460" w:type="dxa"/>
            <w:vAlign w:val="bottom"/>
            <w:shd w:val="clear" w:color="auto" w:fill="CCECFF"/>
          </w:tcPr>
          <w:p>
            <w:pPr>
              <w:spacing w:after="0"/>
              <w:rPr>
                <w:sz w:val="18"/>
                <w:szCs w:val="18"/>
                <w:color w:val="auto"/>
              </w:rPr>
            </w:pPr>
          </w:p>
        </w:tc>
      </w:tr>
    </w:tbl>
    <w:p>
      <w:pPr>
        <w:spacing w:after="0" w:line="198" w:lineRule="exact"/>
        <w:rPr>
          <w:sz w:val="20"/>
          <w:szCs w:val="20"/>
          <w:color w:val="auto"/>
        </w:rPr>
      </w:pPr>
    </w:p>
    <w:p>
      <w:pPr>
        <w:ind w:left="640" w:hanging="632"/>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proposal to ratify the Company’s appointment of EY as the Company’s independent public auditors for the fiscal year ending December 31,</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2026 was approved based on the following votes for, votes against, and abstentions: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Votes</w:t>
            </w: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94"/>
        </w:trPr>
        <w:tc>
          <w:tcPr>
            <w:tcW w:w="2060" w:type="dxa"/>
            <w:vAlign w:val="bottom"/>
            <w:gridSpan w:val="3"/>
          </w:tcPr>
          <w:p>
            <w:pPr>
              <w:ind w:left="100"/>
              <w:spacing w:after="0" w:line="194" w:lineRule="exact"/>
              <w:rPr>
                <w:sz w:val="20"/>
                <w:szCs w:val="20"/>
                <w:color w:val="auto"/>
              </w:rPr>
            </w:pPr>
            <w:r>
              <w:rPr>
                <w:rFonts w:ascii="Times New Roman" w:cs="Times New Roman" w:eastAsia="Times New Roman" w:hAnsi="Times New Roman"/>
                <w:sz w:val="18"/>
                <w:szCs w:val="18"/>
                <w:color w:val="auto"/>
              </w:rPr>
              <w:t>For</w:t>
            </w:r>
          </w:p>
        </w:tc>
        <w:tc>
          <w:tcPr>
            <w:tcW w:w="4160" w:type="dxa"/>
            <w:vAlign w:val="bottom"/>
            <w:gridSpan w:val="3"/>
          </w:tcPr>
          <w:p>
            <w:pPr>
              <w:ind w:left="1140"/>
              <w:spacing w:after="0" w:line="194" w:lineRule="exact"/>
              <w:rPr>
                <w:sz w:val="20"/>
                <w:szCs w:val="20"/>
                <w:color w:val="auto"/>
              </w:rPr>
            </w:pPr>
            <w:r>
              <w:rPr>
                <w:rFonts w:ascii="Times New Roman" w:cs="Times New Roman" w:eastAsia="Times New Roman" w:hAnsi="Times New Roman"/>
                <w:sz w:val="18"/>
                <w:szCs w:val="18"/>
                <w:color w:val="auto"/>
              </w:rPr>
              <w:t>Votes Against</w:t>
            </w:r>
          </w:p>
        </w:tc>
        <w:tc>
          <w:tcPr>
            <w:tcW w:w="16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Abstentions</w:t>
            </w:r>
          </w:p>
        </w:tc>
      </w:tr>
      <w:tr>
        <w:trPr>
          <w:trHeight w:val="20"/>
        </w:trPr>
        <w:tc>
          <w:tcPr>
            <w:tcW w:w="10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6"/>
        </w:trPr>
        <w:tc>
          <w:tcPr>
            <w:tcW w:w="2060" w:type="dxa"/>
            <w:vAlign w:val="bottom"/>
            <w:gridSpan w:val="3"/>
            <w:shd w:val="clear" w:color="auto" w:fill="CCECFF"/>
          </w:tcPr>
          <w:p>
            <w:pPr>
              <w:ind w:left="100"/>
              <w:spacing w:after="0"/>
              <w:rPr>
                <w:sz w:val="20"/>
                <w:szCs w:val="20"/>
                <w:color w:val="auto"/>
              </w:rPr>
            </w:pPr>
            <w:r>
              <w:rPr>
                <w:rFonts w:ascii="Times New Roman" w:cs="Times New Roman" w:eastAsia="Times New Roman" w:hAnsi="Times New Roman"/>
                <w:sz w:val="18"/>
                <w:szCs w:val="18"/>
                <w:color w:val="auto"/>
              </w:rPr>
              <w:t>20,191,515</w:t>
            </w:r>
          </w:p>
        </w:tc>
        <w:tc>
          <w:tcPr>
            <w:tcW w:w="2140" w:type="dxa"/>
            <w:vAlign w:val="bottom"/>
            <w:gridSpan w:val="2"/>
            <w:shd w:val="clear" w:color="auto" w:fill="CCECFF"/>
          </w:tcPr>
          <w:p>
            <w:pPr>
              <w:ind w:left="1140"/>
              <w:spacing w:after="0"/>
              <w:rPr>
                <w:sz w:val="20"/>
                <w:szCs w:val="20"/>
                <w:color w:val="auto"/>
              </w:rPr>
            </w:pPr>
            <w:r>
              <w:rPr>
                <w:rFonts w:ascii="Times New Roman" w:cs="Times New Roman" w:eastAsia="Times New Roman" w:hAnsi="Times New Roman"/>
                <w:sz w:val="18"/>
                <w:szCs w:val="18"/>
                <w:color w:val="auto"/>
              </w:rPr>
              <w:t>2,116,312</w:t>
            </w:r>
          </w:p>
        </w:tc>
        <w:tc>
          <w:tcPr>
            <w:tcW w:w="2020" w:type="dxa"/>
            <w:vAlign w:val="bottom"/>
            <w:shd w:val="clear" w:color="auto" w:fill="CCECFF"/>
          </w:tcPr>
          <w:p>
            <w:pPr>
              <w:spacing w:after="0"/>
              <w:rPr>
                <w:sz w:val="18"/>
                <w:szCs w:val="18"/>
                <w:color w:val="auto"/>
              </w:rPr>
            </w:pPr>
          </w:p>
        </w:tc>
        <w:tc>
          <w:tcPr>
            <w:tcW w:w="8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521,701</w:t>
            </w:r>
          </w:p>
        </w:tc>
        <w:tc>
          <w:tcPr>
            <w:tcW w:w="780" w:type="dxa"/>
            <w:vAlign w:val="bottom"/>
            <w:shd w:val="clear" w:color="auto" w:fill="CCECFF"/>
          </w:tcPr>
          <w:p>
            <w:pPr>
              <w:spacing w:after="0"/>
              <w:rPr>
                <w:sz w:val="18"/>
                <w:szCs w:val="18"/>
                <w:color w:val="auto"/>
              </w:rPr>
            </w:pPr>
          </w:p>
        </w:tc>
      </w:tr>
    </w:tbl>
    <w:p>
      <w:pPr>
        <w:spacing w:after="0" w:line="198" w:lineRule="exact"/>
        <w:rPr>
          <w:sz w:val="20"/>
          <w:szCs w:val="20"/>
          <w:color w:val="auto"/>
        </w:rPr>
      </w:pPr>
    </w:p>
    <w:p>
      <w:pPr>
        <w:ind w:left="640" w:hanging="632"/>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proposal to approve the Charter Amendment was not approved. The voting results of the proposal to approve the Charter Amendment were as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Votes</w:t>
            </w: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194"/>
        </w:trPr>
        <w:tc>
          <w:tcPr>
            <w:tcW w:w="120" w:type="dxa"/>
            <w:vAlign w:val="bottom"/>
          </w:tcPr>
          <w:p>
            <w:pPr>
              <w:spacing w:after="0"/>
              <w:rPr>
                <w:sz w:val="16"/>
                <w:szCs w:val="16"/>
                <w:color w:val="auto"/>
              </w:rPr>
            </w:pPr>
          </w:p>
        </w:tc>
        <w:tc>
          <w:tcPr>
            <w:tcW w:w="17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For</w:t>
            </w:r>
          </w:p>
        </w:tc>
        <w:tc>
          <w:tcPr>
            <w:tcW w:w="2940" w:type="dxa"/>
            <w:vAlign w:val="bottom"/>
            <w:gridSpan w:val="3"/>
          </w:tcPr>
          <w:p>
            <w:pPr>
              <w:ind w:left="1040"/>
              <w:spacing w:after="0" w:line="194" w:lineRule="exact"/>
              <w:rPr>
                <w:sz w:val="20"/>
                <w:szCs w:val="20"/>
                <w:color w:val="auto"/>
              </w:rPr>
            </w:pPr>
            <w:r>
              <w:rPr>
                <w:rFonts w:ascii="Times New Roman" w:cs="Times New Roman" w:eastAsia="Times New Roman" w:hAnsi="Times New Roman"/>
                <w:sz w:val="18"/>
                <w:szCs w:val="18"/>
                <w:color w:val="auto"/>
              </w:rPr>
              <w:t>Votes Against</w:t>
            </w:r>
          </w:p>
        </w:tc>
        <w:tc>
          <w:tcPr>
            <w:tcW w:w="3720" w:type="dxa"/>
            <w:vAlign w:val="bottom"/>
            <w:gridSpan w:val="3"/>
          </w:tcPr>
          <w:p>
            <w:pPr>
              <w:ind w:left="900"/>
              <w:spacing w:after="0" w:line="194" w:lineRule="exact"/>
              <w:rPr>
                <w:sz w:val="20"/>
                <w:szCs w:val="20"/>
                <w:color w:val="auto"/>
              </w:rPr>
            </w:pPr>
            <w:r>
              <w:rPr>
                <w:rFonts w:ascii="Times New Roman" w:cs="Times New Roman" w:eastAsia="Times New Roman" w:hAnsi="Times New Roman"/>
                <w:sz w:val="18"/>
                <w:szCs w:val="18"/>
                <w:color w:val="auto"/>
              </w:rPr>
              <w:t>Abstentions</w:t>
            </w:r>
          </w:p>
        </w:tc>
        <w:tc>
          <w:tcPr>
            <w:tcW w:w="27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Broker Non-Vote</w:t>
            </w:r>
          </w:p>
        </w:tc>
      </w:tr>
      <w:tr>
        <w:trPr>
          <w:trHeight w:val="20"/>
        </w:trPr>
        <w:tc>
          <w:tcPr>
            <w:tcW w:w="12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6"/>
        </w:trPr>
        <w:tc>
          <w:tcPr>
            <w:tcW w:w="1880" w:type="dxa"/>
            <w:vAlign w:val="bottom"/>
            <w:gridSpan w:val="3"/>
            <w:shd w:val="clear" w:color="auto" w:fill="CCECFF"/>
          </w:tcPr>
          <w:p>
            <w:pPr>
              <w:ind w:left="120"/>
              <w:spacing w:after="0"/>
              <w:rPr>
                <w:sz w:val="20"/>
                <w:szCs w:val="20"/>
                <w:color w:val="auto"/>
              </w:rPr>
            </w:pPr>
            <w:r>
              <w:rPr>
                <w:rFonts w:ascii="Times New Roman" w:cs="Times New Roman" w:eastAsia="Times New Roman" w:hAnsi="Times New Roman"/>
                <w:sz w:val="18"/>
                <w:szCs w:val="18"/>
                <w:color w:val="auto"/>
              </w:rPr>
              <w:t>9,644,152</w:t>
            </w:r>
          </w:p>
        </w:tc>
        <w:tc>
          <w:tcPr>
            <w:tcW w:w="2040" w:type="dxa"/>
            <w:vAlign w:val="bottom"/>
            <w:gridSpan w:val="2"/>
            <w:shd w:val="clear" w:color="auto" w:fill="CCECFF"/>
          </w:tcPr>
          <w:p>
            <w:pPr>
              <w:ind w:left="1040"/>
              <w:spacing w:after="0"/>
              <w:rPr>
                <w:sz w:val="20"/>
                <w:szCs w:val="20"/>
                <w:color w:val="auto"/>
              </w:rPr>
            </w:pPr>
            <w:r>
              <w:rPr>
                <w:rFonts w:ascii="Times New Roman" w:cs="Times New Roman" w:eastAsia="Times New Roman" w:hAnsi="Times New Roman"/>
                <w:sz w:val="18"/>
                <w:szCs w:val="18"/>
                <w:color w:val="auto"/>
              </w:rPr>
              <w:t>1,384,973</w:t>
            </w:r>
          </w:p>
        </w:tc>
        <w:tc>
          <w:tcPr>
            <w:tcW w:w="900" w:type="dxa"/>
            <w:vAlign w:val="bottom"/>
            <w:shd w:val="clear" w:color="auto" w:fill="CCECFF"/>
          </w:tcPr>
          <w:p>
            <w:pPr>
              <w:spacing w:after="0"/>
              <w:rPr>
                <w:sz w:val="18"/>
                <w:szCs w:val="18"/>
                <w:color w:val="auto"/>
              </w:rPr>
            </w:pPr>
          </w:p>
        </w:tc>
        <w:tc>
          <w:tcPr>
            <w:tcW w:w="1760" w:type="dxa"/>
            <w:vAlign w:val="bottom"/>
            <w:gridSpan w:val="2"/>
            <w:shd w:val="clear" w:color="auto" w:fill="CCECFF"/>
          </w:tcPr>
          <w:p>
            <w:pPr>
              <w:ind w:left="900"/>
              <w:spacing w:after="0"/>
              <w:rPr>
                <w:sz w:val="20"/>
                <w:szCs w:val="20"/>
                <w:color w:val="auto"/>
              </w:rPr>
            </w:pPr>
            <w:r>
              <w:rPr>
                <w:rFonts w:ascii="Times New Roman" w:cs="Times New Roman" w:eastAsia="Times New Roman" w:hAnsi="Times New Roman"/>
                <w:sz w:val="18"/>
                <w:szCs w:val="18"/>
                <w:color w:val="auto"/>
              </w:rPr>
              <w:t>208,061</w:t>
            </w:r>
          </w:p>
        </w:tc>
        <w:tc>
          <w:tcPr>
            <w:tcW w:w="1960" w:type="dxa"/>
            <w:vAlign w:val="bottom"/>
            <w:shd w:val="clear" w:color="auto" w:fill="CCECFF"/>
          </w:tcPr>
          <w:p>
            <w:pPr>
              <w:spacing w:after="0"/>
              <w:rPr>
                <w:sz w:val="18"/>
                <w:szCs w:val="18"/>
                <w:color w:val="auto"/>
              </w:rPr>
            </w:pPr>
          </w:p>
        </w:tc>
        <w:tc>
          <w:tcPr>
            <w:tcW w:w="12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11,592,342</w:t>
            </w:r>
          </w:p>
        </w:tc>
        <w:tc>
          <w:tcPr>
            <w:tcW w:w="1460" w:type="dxa"/>
            <w:vAlign w:val="bottom"/>
            <w:shd w:val="clear" w:color="auto" w:fill="CCECFF"/>
          </w:tcPr>
          <w:p>
            <w:pPr>
              <w:spacing w:after="0"/>
              <w:rPr>
                <w:sz w:val="18"/>
                <w:szCs w:val="18"/>
                <w:color w:val="auto"/>
              </w:rPr>
            </w:pPr>
          </w:p>
        </w:tc>
      </w:tr>
      <w:tr>
        <w:trPr>
          <w:trHeight w:val="399"/>
        </w:trPr>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Company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CHERRY HILL MORTGAGE INVESTMENT CORPORATION</w:t>
      </w:r>
    </w:p>
    <w:p>
      <w:pPr>
        <w:spacing w:after="0" w:line="22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June 12, 2026</w:t>
      </w:r>
      <w:r>
        <w:rPr>
          <w:sz w:val="20"/>
          <w:szCs w:val="20"/>
          <w:color w:val="auto"/>
        </w:rPr>
        <w:tab/>
      </w:r>
      <w:r>
        <w:rPr>
          <w:rFonts w:ascii="Times New Roman" w:cs="Times New Roman" w:eastAsia="Times New Roman" w:hAnsi="Times New Roman"/>
          <w:sz w:val="18"/>
          <w:szCs w:val="18"/>
          <w:color w:val="auto"/>
        </w:rPr>
        <w:t>By: /s/ Susan Healey</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Susan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620"/>
      </w:cols>
      <w:pgMar w:left="320" w:top="117"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2026-06-12T10:41:52Z</dcterms:created>
  <dcterms:modified xsi:type="dcterms:W3CDTF">2026-06-12T10:41:52Z</dcterms:modified>
</cp:coreProperties>
</file>