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4529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52945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Lown Jeffrey B</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(Last)</w:t>
            </w:r>
          </w:p>
        </w:tc>
        <w:tc>
          <w:tcPr>
            <w:tcW w:w="840" w:type="dxa"/>
            <w:vAlign w:val="bottom"/>
          </w:tcPr>
          <w:p>
            <w:pPr>
              <w:ind w:left="4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5"/>
        </w:trPr>
        <w:tc>
          <w:tcPr>
            <w:tcW w:w="20" w:type="dxa"/>
            <w:vAlign w:val="bottom"/>
          </w:tcPr>
          <w:p>
            <w:pPr>
              <w:spacing w:after="0"/>
              <w:rPr>
                <w:sz w:val="23"/>
                <w:szCs w:val="23"/>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9"/>
              </w:rPr>
              <w:t>4000 ROUTE 66</w:t>
            </w:r>
          </w:p>
        </w:tc>
        <w:tc>
          <w:tcPr>
            <w:tcW w:w="84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55"/>
        </w:trPr>
        <w:tc>
          <w:tcPr>
            <w:tcW w:w="20" w:type="dxa"/>
            <w:vAlign w:val="bottom"/>
          </w:tcPr>
          <w:p>
            <w:pPr>
              <w:spacing w:after="0"/>
              <w:rPr>
                <w:sz w:val="22"/>
                <w:szCs w:val="22"/>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SUITE 310</w:t>
            </w:r>
          </w:p>
        </w:tc>
        <w:tc>
          <w:tcPr>
            <w:tcW w:w="84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146"/>
        </w:trPr>
        <w:tc>
          <w:tcPr>
            <w:tcW w:w="2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56"/>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TINTON FALLS NJ</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07753</w:t>
            </w:r>
          </w:p>
        </w:tc>
      </w:tr>
      <w:tr>
        <w:trPr>
          <w:trHeight w:val="146"/>
        </w:trPr>
        <w:tc>
          <w:tcPr>
            <w:tcW w:w="2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840" w:type="dxa"/>
            <w:vAlign w:val="bottom"/>
          </w:tcPr>
          <w:p>
            <w:pPr>
              <w:ind w:left="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3"/>
          </w:tcPr>
          <w:p>
            <w:pPr>
              <w:ind w:left="8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Cherry Hill Mortgage Investment Corp </w:t>
              </w:r>
            </w:hyperlink>
            <w:r>
              <w:rPr>
                <w:rFonts w:ascii="Times New Roman" w:cs="Times New Roman" w:eastAsia="Times New Roman" w:hAnsi="Times New Roman"/>
                <w:sz w:val="16"/>
                <w:szCs w:val="16"/>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318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3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CHMI </w:t>
            </w:r>
            <w:r>
              <w:rPr>
                <w:rFonts w:ascii="Times New Roman" w:cs="Times New Roman" w:eastAsia="Times New Roman" w:hAnsi="Times New Roman"/>
                <w:sz w:val="20"/>
                <w:szCs w:val="20"/>
                <w:color w:val="000000"/>
              </w:rPr>
              <w:t>]</w:t>
            </w:r>
          </w:p>
        </w:tc>
        <w:tc>
          <w:tcPr>
            <w:tcW w:w="182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3840" w:type="dxa"/>
            <w:vAlign w:val="bottom"/>
            <w:gridSpan w:val="3"/>
            <w:vMerge w:val="continue"/>
          </w:tcPr>
          <w:p>
            <w:pPr>
              <w:spacing w:after="0"/>
              <w:rPr>
                <w:sz w:val="9"/>
                <w:szCs w:val="9"/>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80" w:type="dxa"/>
            <w:vAlign w:val="bottom"/>
          </w:tcPr>
          <w:p>
            <w:pPr>
              <w:spacing w:after="0"/>
              <w:rPr>
                <w:sz w:val="6"/>
                <w:szCs w:val="6"/>
                <w:color w:val="auto"/>
              </w:rPr>
            </w:pPr>
          </w:p>
        </w:tc>
        <w:tc>
          <w:tcPr>
            <w:tcW w:w="3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80" w:type="dxa"/>
            <w:vAlign w:val="bottom"/>
            <w:tcBorders>
              <w:bottom w:val="single" w:sz="8" w:color="2C2C2C"/>
            </w:tcBorders>
          </w:tcPr>
          <w:p>
            <w:pPr>
              <w:spacing w:after="0"/>
              <w:rPr>
                <w:sz w:val="12"/>
                <w:szCs w:val="12"/>
                <w:color w:val="auto"/>
              </w:rPr>
            </w:pPr>
          </w:p>
        </w:tc>
        <w:tc>
          <w:tcPr>
            <w:tcW w:w="3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20" w:type="dxa"/>
            <w:vAlign w:val="bottom"/>
          </w:tcPr>
          <w:p>
            <w:pPr>
              <w:ind w:left="580"/>
              <w:spacing w:after="0" w:line="14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4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91"/>
        </w:trPr>
        <w:tc>
          <w:tcPr>
            <w:tcW w:w="384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3280" w:type="dxa"/>
            <w:vAlign w:val="bottom"/>
            <w:gridSpan w:val="2"/>
          </w:tcPr>
          <w:p>
            <w:pPr>
              <w:ind w:left="1000"/>
              <w:spacing w:after="0" w:line="191" w:lineRule="exact"/>
              <w:rPr>
                <w:sz w:val="20"/>
                <w:szCs w:val="20"/>
                <w:color w:val="auto"/>
              </w:rPr>
            </w:pPr>
            <w:r>
              <w:rPr>
                <w:rFonts w:ascii="Times New Roman" w:cs="Times New Roman" w:eastAsia="Times New Roman" w:hAnsi="Times New Roman"/>
                <w:sz w:val="17"/>
                <w:szCs w:val="17"/>
                <w:color w:val="0000FF"/>
              </w:rPr>
              <w:t>President and CEO</w:t>
            </w:r>
          </w:p>
        </w:tc>
        <w:tc>
          <w:tcPr>
            <w:tcW w:w="0" w:type="dxa"/>
            <w:vAlign w:val="bottom"/>
          </w:tcPr>
          <w:p>
            <w:pPr>
              <w:spacing w:after="0"/>
              <w:rPr>
                <w:sz w:val="1"/>
                <w:szCs w:val="1"/>
                <w:color w:val="auto"/>
              </w:rPr>
            </w:pPr>
          </w:p>
        </w:tc>
      </w:tr>
      <w:tr>
        <w:trPr>
          <w:trHeight w:val="215"/>
        </w:trPr>
        <w:tc>
          <w:tcPr>
            <w:tcW w:w="32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04/21/2026</w:t>
            </w:r>
          </w:p>
        </w:tc>
        <w:tc>
          <w:tcPr>
            <w:tcW w:w="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0" w:type="dxa"/>
            <w:vAlign w:val="bottom"/>
            <w:tcBorders>
              <w:bottom w:val="single" w:sz="8" w:color="2C2C2C"/>
            </w:tcBorders>
          </w:tcPr>
          <w:p>
            <w:pPr>
              <w:spacing w:after="0"/>
              <w:rPr>
                <w:sz w:val="13"/>
                <w:szCs w:val="13"/>
                <w:color w:val="auto"/>
              </w:rPr>
            </w:pPr>
          </w:p>
        </w:tc>
        <w:tc>
          <w:tcPr>
            <w:tcW w:w="31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280" w:type="dxa"/>
            <w:vAlign w:val="bottom"/>
            <w:tcBorders>
              <w:bottom w:val="single" w:sz="8" w:color="2C2C2C"/>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840" w:type="dxa"/>
            <w:vAlign w:val="bottom"/>
            <w:gridSpan w:val="3"/>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170,455</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80" w:type="dxa"/>
            <w:vAlign w:val="bottom"/>
          </w:tcPr>
          <w:p>
            <w:pPr>
              <w:jc w:val="right"/>
              <w:ind w:right="181"/>
              <w:spacing w:after="0" w:line="140" w:lineRule="exact"/>
              <w:rPr>
                <w:sz w:val="20"/>
                <w:szCs w:val="20"/>
                <w:color w:val="auto"/>
              </w:rPr>
            </w:pPr>
            <w:r>
              <w:rPr>
                <w:rFonts w:ascii="Times New Roman" w:cs="Times New Roman" w:eastAsia="Times New Roman" w:hAnsi="Times New Roman"/>
                <w:sz w:val="13"/>
                <w:szCs w:val="13"/>
                <w:color w:val="0000FF"/>
              </w:rPr>
              <w:t>04/21/2026</w:t>
            </w:r>
          </w:p>
        </w:tc>
        <w:tc>
          <w:tcPr>
            <w:tcW w:w="1060" w:type="dxa"/>
            <w:vAlign w:val="bottom"/>
          </w:tcPr>
          <w:p>
            <w:pPr>
              <w:spacing w:after="0"/>
              <w:rPr>
                <w:sz w:val="12"/>
                <w:szCs w:val="12"/>
                <w:color w:val="auto"/>
              </w:rPr>
            </w:pPr>
          </w:p>
        </w:tc>
        <w:tc>
          <w:tcPr>
            <w:tcW w:w="80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170,455</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par value</w:t>
            </w:r>
          </w:p>
        </w:tc>
        <w:tc>
          <w:tcPr>
            <w:tcW w:w="6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line="140" w:lineRule="exact"/>
              <w:rPr>
                <w:sz w:val="20"/>
                <w:szCs w:val="20"/>
                <w:color w:val="auto"/>
              </w:rPr>
            </w:pPr>
            <w:r>
              <w:rPr>
                <w:rFonts w:ascii="Times New Roman" w:cs="Times New Roman" w:eastAsia="Times New Roman" w:hAnsi="Times New Roman"/>
                <w:sz w:val="13"/>
                <w:szCs w:val="13"/>
                <w:color w:val="0000FF"/>
              </w:rPr>
              <w:t>170,455</w:t>
            </w:r>
          </w:p>
        </w:tc>
        <w:tc>
          <w:tcPr>
            <w:tcW w:w="7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$0.01 per</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share</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60"/>
        <w:spacing w:after="0" w:line="235"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granted restricted stock unit ("RSU") represents the right to receive one share of the Issuer's common stock. Vested RSUs are payable in the form of shares of the Issuer's common stock, delivered to the reporting person no later than sixty days after the date on which vesting occurs, subject to the collection of withholding taxes. Dividend equivalent rights accrue with respect to unvested RSUs in the form of cash, securities, or other property when and as dividends are paid on the Issuer's common stock, and are paid or distributed to the reporting person within thirty days of the date that the corresponding dividend payment or distribution is made to shareholders of the company, subject to the collection of withholding taxes.</w:t>
      </w:r>
    </w:p>
    <w:p>
      <w:pPr>
        <w:spacing w:after="0" w:line="25" w:lineRule="exact"/>
        <w:rPr>
          <w:rFonts w:ascii="Times New Roman" w:cs="Times New Roman" w:eastAsia="Times New Roman" w:hAnsi="Times New Roman"/>
          <w:sz w:val="13"/>
          <w:szCs w:val="13"/>
          <w:color w:val="008000"/>
        </w:rPr>
      </w:pPr>
    </w:p>
    <w:p>
      <w:pPr>
        <w:jc w:val="both"/>
        <w:ind w:left="40" w:right="28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RSUs which vest ratable over a three-year period, with one-third vesting on April 21, 2027, one-third on April 21, 2028, and one-third on April 21, 2029, subject to the terms and conditions of the previously disclosed Cherry Hill Mortgage Investment Corporation 2023 Equity Incentive Plan (the "Plan") and the Restricted Stock Unit Agreement entered into between the Issuer and the Reporting Person.</w:t>
      </w:r>
    </w:p>
    <w:p>
      <w:pPr>
        <w:spacing w:after="0" w:line="3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Jeffrey B. Lown II</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04/22/2026</w:t>
            </w:r>
          </w:p>
        </w:tc>
      </w:tr>
      <w:tr>
        <w:trPr>
          <w:trHeight w:val="20"/>
        </w:trPr>
        <w:tc>
          <w:tcPr>
            <w:tcW w:w="14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76644" TargetMode="External"/><Relationship Id="rId14" Type="http://schemas.openxmlformats.org/officeDocument/2006/relationships/hyperlink" Target="http://www.sec.gov/cgi-bin/browse-edgar?action=getcompany&amp;CIK=00015717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2026-04-23T15:42:50Z</dcterms:created>
  <dcterms:modified xsi:type="dcterms:W3CDTF">2026-04-23T15:42:50Z</dcterms:modified>
</cp:coreProperties>
</file>