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Cherry Hill Mortgage Investment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440"/>
        <w:spacing w:after="0"/>
        <w:rPr>
          <w:sz w:val="20"/>
          <w:szCs w:val="20"/>
          <w:color w:val="auto"/>
        </w:rPr>
      </w:pPr>
      <w:r>
        <w:rPr>
          <w:rFonts w:ascii="Arial" w:cs="Arial" w:eastAsia="Arial" w:hAnsi="Arial"/>
          <w:sz w:val="22"/>
          <w:szCs w:val="22"/>
          <w:color w:val="auto"/>
        </w:rPr>
        <w:t>REIT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164651101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164651101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AllianceBernstein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13-4064930</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[X]</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6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60" w:type="dxa"/>
            <w:vAlign w:val="bottom"/>
          </w:tcPr>
          <w:p>
            <w:pPr>
              <w:ind w:left="1960"/>
              <w:spacing w:after="0"/>
              <w:rPr>
                <w:sz w:val="20"/>
                <w:szCs w:val="20"/>
                <w:color w:val="auto"/>
              </w:rPr>
            </w:pPr>
            <w:r>
              <w:rPr>
                <w:rFonts w:ascii="Arial" w:cs="Arial" w:eastAsia="Arial" w:hAnsi="Arial"/>
                <w:sz w:val="22"/>
                <w:szCs w:val="22"/>
                <w:color w:val="auto"/>
                <w:w w:val="85"/>
              </w:rPr>
              <w:t>499,232</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499,232</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499,232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[X]</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280" w:top="388" w:right="1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Cherry Hill Mortgage Investment Corp</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301 HARPER DRIVE, Suite 100, Moorestown NJ 08057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01015</w:t>
      </w:r>
    </w:p>
    <w:p>
      <w:pPr>
        <w:spacing w:after="0" w:line="125" w:lineRule="exact"/>
        <w:rPr>
          <w:rFonts w:ascii="Arial" w:cs="Arial" w:eastAsia="Arial" w:hAnsi="Arial"/>
          <w:sz w:val="19"/>
          <w:szCs w:val="19"/>
          <w:b w:val="1"/>
          <w:bCs w:val="1"/>
          <w:color w:val="auto"/>
        </w:rPr>
      </w:pPr>
    </w:p>
    <w:p>
      <w:pPr>
        <w:ind w:left="1780" w:right="80"/>
        <w:spacing w:after="0" w:line="274" w:lineRule="auto"/>
        <w:rPr>
          <w:rFonts w:ascii="Arial" w:cs="Arial" w:eastAsia="Arial" w:hAnsi="Arial"/>
          <w:sz w:val="19"/>
          <w:szCs w:val="19"/>
          <w:b w:val="1"/>
          <w:bCs w:val="1"/>
          <w:color w:val="auto"/>
        </w:rPr>
      </w:pPr>
      <w:r>
        <w:rPr>
          <w:rFonts w:ascii="Arial" w:cs="Arial" w:eastAsia="Arial" w:hAnsi="Arial"/>
          <w:sz w:val="21"/>
          <w:szCs w:val="21"/>
          <w:color w:val="auto"/>
        </w:rPr>
        <w:t>All media outlets, please contact Andrea Prochniak at AllianceBernstein (212-756-4542) with any questions. All other questions can be directed to Section13USFilings@alliancebernstein.com.</w:t>
      </w:r>
    </w:p>
    <w:p>
      <w:pPr>
        <w:spacing w:after="0" w:line="63"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Title of Class of Securities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REIT</w:t>
      </w:r>
    </w:p>
    <w:p>
      <w:pPr>
        <w:spacing w:after="0" w:line="101" w:lineRule="exact"/>
        <w:rPr>
          <w:rFonts w:ascii="Arial" w:cs="Arial" w:eastAsia="Arial" w:hAnsi="Arial"/>
          <w:sz w:val="22"/>
          <w:szCs w:val="22"/>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164651101</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80"/>
        <w:spacing w:after="0" w:line="251" w:lineRule="auto"/>
        <w:rPr>
          <w:rFonts w:ascii="Arial" w:cs="Arial" w:eastAsia="Arial" w:hAnsi="Arial"/>
          <w:sz w:val="22"/>
          <w:szCs w:val="22"/>
          <w:color w:val="auto"/>
        </w:rPr>
      </w:pPr>
      <w:r>
        <w:rPr>
          <w:rFonts w:ascii="Arial" w:cs="Arial" w:eastAsia="Arial" w:hAnsi="Arial"/>
          <w:sz w:val="22"/>
          <w:szCs w:val="22"/>
          <w:color w:val="auto"/>
        </w:rPr>
        <w:t>499,232 shares acquired solely for investment purposes on behalf of client discretionary investment advisory accounts.*</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499,232</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499,232</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bl>
    <w:p>
      <w:pPr>
        <w:spacing w:after="0" w:line="104"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line="251" w:lineRule="auto"/>
        <w:rPr>
          <w:sz w:val="20"/>
          <w:szCs w:val="20"/>
          <w:color w:val="auto"/>
        </w:rPr>
      </w:pPr>
      <w:r>
        <w:rPr>
          <w:rFonts w:ascii="Arial" w:cs="Arial" w:eastAsia="Arial" w:hAnsi="Arial"/>
          <w:sz w:val="22"/>
          <w:szCs w:val="22"/>
          <w:color w:val="auto"/>
        </w:rPr>
        <w:t>from AllianceBernstein pursuant to guidance provided by the Securities and Exchange Commission in Release Number 34-39538 (January 12, 1998).</w:t>
      </w:r>
    </w:p>
    <w:p>
      <w:pPr>
        <w:spacing w:after="0" w:line="201"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AllianceBernstein may be deemed to share beneficial ownership with AXA reporting persons by virtue of 0 shares of common stock acquired on behalf of the general and special accounts of the affiliated entities for which AllianceBernstein serves as a subadvisor. Each of AllianceBernstein and the AXA entities reporting herein acquired their shares of common stock for investment purposes in the ordinary course of their investment management and insurance businesses.</w:t>
      </w:r>
    </w:p>
    <w:p>
      <w:pPr>
        <w:spacing w:after="0" w:line="5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right="4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80" w:right="12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20"/>
          </w:cols>
          <w:pgMar w:left="320" w:top="1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Laurence Bertan</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Date: February 16, 2016</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Name: Laurence Bertan</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Title: SVP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2019-12-07T07:06:02Z</dcterms:created>
  <dcterms:modified xsi:type="dcterms:W3CDTF">2019-12-07T07:06:02Z</dcterms:modified>
</cp:coreProperties>
</file>