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529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52945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Evans Julian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(Last)</w:t>
            </w:r>
          </w:p>
        </w:tc>
        <w:tc>
          <w:tcPr>
            <w:tcW w:w="840" w:type="dxa"/>
            <w:vAlign w:val="bottom"/>
          </w:tcPr>
          <w:p>
            <w:pPr>
              <w:ind w:left="4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9"/>
              </w:rPr>
              <w:t>1451 ROUTE 34</w:t>
            </w:r>
          </w:p>
        </w:tc>
        <w:tc>
          <w:tcPr>
            <w:tcW w:w="84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303</w:t>
            </w:r>
          </w:p>
        </w:tc>
        <w:tc>
          <w:tcPr>
            <w:tcW w:w="84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146"/>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6"/>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FARMINGDALE NJ</w:t>
            </w:r>
          </w:p>
        </w:tc>
        <w:tc>
          <w:tcPr>
            <w:tcW w:w="16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07727</w:t>
            </w:r>
          </w:p>
        </w:tc>
      </w:tr>
      <w:tr>
        <w:trPr>
          <w:trHeight w:val="146"/>
        </w:trPr>
        <w:tc>
          <w:tcPr>
            <w:tcW w:w="2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3"/>
                <w:szCs w:val="13"/>
                <w:color w:val="auto"/>
              </w:rPr>
              <w:t>(City)</w:t>
            </w:r>
          </w:p>
        </w:tc>
        <w:tc>
          <w:tcPr>
            <w:tcW w:w="840" w:type="dxa"/>
            <w:vAlign w:val="bottom"/>
          </w:tcPr>
          <w:p>
            <w:pPr>
              <w:ind w:left="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3"/>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Cherry Hill Mortgage Investment Corp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318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3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CHMI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840" w:type="dxa"/>
            <w:vAlign w:val="bottom"/>
            <w:gridSpan w:val="3"/>
            <w:vMerge w:val="continue"/>
          </w:tcPr>
          <w:p>
            <w:pPr>
              <w:spacing w:after="0"/>
              <w:rPr>
                <w:sz w:val="11"/>
                <w:szCs w:val="11"/>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3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820" w:type="dxa"/>
            <w:vAlign w:val="bottom"/>
          </w:tcPr>
          <w:p>
            <w:pPr>
              <w:ind w:left="58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8"/>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280" w:type="dxa"/>
            <w:vAlign w:val="bottom"/>
            <w:gridSpan w:val="2"/>
          </w:tcPr>
          <w:p>
            <w:pPr>
              <w:ind w:left="820"/>
              <w:spacing w:after="0" w:line="178" w:lineRule="exact"/>
              <w:rPr>
                <w:sz w:val="20"/>
                <w:szCs w:val="20"/>
                <w:color w:val="auto"/>
              </w:rPr>
            </w:pPr>
            <w:r>
              <w:rPr>
                <w:rFonts w:ascii="Times New Roman" w:cs="Times New Roman" w:eastAsia="Times New Roman" w:hAnsi="Times New Roman"/>
                <w:sz w:val="17"/>
                <w:szCs w:val="17"/>
                <w:color w:val="0000FF"/>
              </w:rPr>
              <w:t>Chief Investment Officer</w:t>
            </w:r>
          </w:p>
        </w:tc>
        <w:tc>
          <w:tcPr>
            <w:tcW w:w="0" w:type="dxa"/>
            <w:vAlign w:val="bottom"/>
          </w:tcPr>
          <w:p>
            <w:pPr>
              <w:spacing w:after="0"/>
              <w:rPr>
                <w:sz w:val="1"/>
                <w:szCs w:val="1"/>
                <w:color w:val="auto"/>
              </w:rPr>
            </w:pPr>
          </w:p>
        </w:tc>
      </w:tr>
      <w:tr>
        <w:trPr>
          <w:trHeight w:val="215"/>
        </w:trPr>
        <w:tc>
          <w:tcPr>
            <w:tcW w:w="3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04/21/2026</w:t>
            </w: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0" w:type="dxa"/>
            <w:vAlign w:val="bottom"/>
            <w:tcBorders>
              <w:bottom w:val="single" w:sz="8" w:color="2C2C2C"/>
            </w:tcBorders>
          </w:tcPr>
          <w:p>
            <w:pPr>
              <w:spacing w:after="0"/>
              <w:rPr>
                <w:sz w:val="14"/>
                <w:szCs w:val="14"/>
                <w:color w:val="auto"/>
              </w:rPr>
            </w:pPr>
          </w:p>
        </w:tc>
        <w:tc>
          <w:tcPr>
            <w:tcW w:w="31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104,167</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04/21/2026</w:t>
            </w:r>
          </w:p>
        </w:tc>
        <w:tc>
          <w:tcPr>
            <w:tcW w:w="1060" w:type="dxa"/>
            <w:vAlign w:val="bottom"/>
          </w:tcPr>
          <w:p>
            <w:pPr>
              <w:spacing w:after="0"/>
              <w:rPr>
                <w:sz w:val="12"/>
                <w:szCs w:val="12"/>
                <w:color w:val="auto"/>
              </w:rPr>
            </w:pPr>
          </w:p>
        </w:tc>
        <w:tc>
          <w:tcPr>
            <w:tcW w:w="80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104,167</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par value</w:t>
            </w: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40" w:lineRule="exact"/>
              <w:rPr>
                <w:sz w:val="20"/>
                <w:szCs w:val="20"/>
                <w:color w:val="auto"/>
              </w:rPr>
            </w:pPr>
            <w:r>
              <w:rPr>
                <w:rFonts w:ascii="Times New Roman" w:cs="Times New Roman" w:eastAsia="Times New Roman" w:hAnsi="Times New Roman"/>
                <w:sz w:val="13"/>
                <w:szCs w:val="13"/>
                <w:color w:val="0000FF"/>
              </w:rPr>
              <w:t>104,167</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$0.01 per</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share</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3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granted restricted stock unit ("RSU") represents the right to receive one share of the Issuer's common stock. Vested RSUs are payable in the form of shares of the Issuer's common stock, delivered to the reporting person no later than sixty days after the date on which vesting occurs, subject to the collection of withholding taxes. Dividend equivalent rights accrue with respect to unvested RSUs in the form of cash, securities, or other property when and as dividends are paid on the Issuer's common stock, and are paid or distributed to the reporting person within thirty days of the date that the corresponding dividend payment or distribution is made to shareholders of the company, subject to the collection of withholding taxes.</w:t>
      </w:r>
    </w:p>
    <w:p>
      <w:pPr>
        <w:spacing w:after="0" w:line="25" w:lineRule="exact"/>
        <w:rPr>
          <w:rFonts w:ascii="Times New Roman" w:cs="Times New Roman" w:eastAsia="Times New Roman" w:hAnsi="Times New Roman"/>
          <w:sz w:val="13"/>
          <w:szCs w:val="13"/>
          <w:color w:val="008000"/>
        </w:rPr>
      </w:pPr>
    </w:p>
    <w:p>
      <w:pPr>
        <w:jc w:val="both"/>
        <w:ind w:left="40" w:right="2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RSUs which vest ratable over a three-year period, with one-third vesting on April 21, 2027, one-third on April 21, 2028, and one-third on April 21, 2029, subject to the terms and conditions of the previously disclosed Cherry Hill Mortgage Investment Corporation 2023 Equity Incentive Plan (the "Plan") and the Restricted Stock Unit Agreement entered into between the Issuer and the Reporting Person.</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Julian Evans</w:t>
            </w:r>
          </w:p>
        </w:tc>
        <w:tc>
          <w:tcPr>
            <w:tcW w:w="11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04/22/2026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71047" TargetMode="External"/><Relationship Id="rId14" Type="http://schemas.openxmlformats.org/officeDocument/2006/relationships/hyperlink" Target="http://www.sec.gov/cgi-bin/browse-edgar?action=getcompany&amp;CIK=00015717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2026-04-23T15:42:03Z</dcterms:created>
  <dcterms:modified xsi:type="dcterms:W3CDTF">2026-04-23T15:42:03Z</dcterms:modified>
</cp:coreProperties>
</file>